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(Mark One)</w:t>
      </w:r>
    </w:p>
    <w:p>
      <w:pPr>
        <w:ind w:left="1380" w:hanging="951"/>
        <w:spacing w:after="0" w:line="238" w:lineRule="auto"/>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EXCHANGE ACT OF 1934</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THE QUARTERLY PERIOD ENDED SEPTEMBER 30, 2002</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OR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640" w:hanging="211"/>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TRANSITION REPORT PURSUANT TO SECTION 13 OR 15(d)</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EXCHANGE ACT OF 1934</w:t>
      </w:r>
    </w:p>
    <w:p>
      <w:pPr>
        <w:sectPr>
          <w:pgSz w:w="11900" w:h="16838" w:orient="portrait"/>
          <w:cols w:equalWidth="0" w:num="1">
            <w:col w:w="10219"/>
          </w:cols>
          <w:pgMar w:left="240" w:top="655" w:right="1440" w:bottom="1440" w:gutter="0" w:footer="0" w:header="0"/>
        </w:sectPr>
      </w:pPr>
    </w:p>
    <w:p>
      <w:pPr>
        <w:spacing w:after="0" w:line="207"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200" w:lineRule="exact"/>
        <w:rPr>
          <w:sz w:val="24"/>
          <w:szCs w:val="24"/>
          <w:color w:val="auto"/>
        </w:rPr>
      </w:pPr>
    </w:p>
    <w:p>
      <w:pPr>
        <w:sectPr>
          <w:pgSz w:w="11900" w:h="16838" w:orient="portrait"/>
          <w:cols w:equalWidth="0" w:num="2">
            <w:col w:w="4980" w:space="720"/>
            <w:col w:w="4519"/>
          </w:cols>
          <w:pgMar w:left="240" w:top="655" w:right="1440" w:bottom="1440" w:gutter="0" w:footer="0" w:header="0"/>
          <w:type w:val="continuous"/>
        </w:sect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COMMISSION FILE NUMBER 1-12154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655"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73-1309529</w:t>
      </w:r>
    </w:p>
    <w:p>
      <w:pPr>
        <w:ind w:left="2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600" w:space="720"/>
            <w:col w:w="3899"/>
          </w:cols>
          <w:pgMar w:left="240" w:top="655" w:right="1440" w:bottom="1440" w:gutter="0" w:footer="0" w:header="0"/>
          <w:type w:val="continuous"/>
        </w:sectPr>
      </w:pPr>
    </w:p>
    <w:p>
      <w:pPr>
        <w:spacing w:after="0" w:line="22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1001 FANNIN</w:t>
      </w:r>
    </w:p>
    <w:p>
      <w:pPr>
        <w:ind w:left="3700"/>
        <w:spacing w:after="0" w:line="238" w:lineRule="auto"/>
        <w:rPr>
          <w:sz w:val="20"/>
          <w:szCs w:val="20"/>
          <w:color w:val="auto"/>
        </w:rPr>
      </w:pPr>
      <w:r>
        <w:rPr>
          <w:rFonts w:ascii="Courier New" w:cs="Courier New" w:eastAsia="Courier New" w:hAnsi="Courier New"/>
          <w:sz w:val="18"/>
          <w:szCs w:val="18"/>
          <w:color w:val="auto"/>
        </w:rPr>
        <w:t>SUITE 4000</w:t>
      </w:r>
    </w:p>
    <w:p>
      <w:pPr>
        <w:ind w:left="3160"/>
        <w:spacing w:after="0"/>
        <w:rPr>
          <w:sz w:val="20"/>
          <w:szCs w:val="20"/>
          <w:color w:val="auto"/>
        </w:rPr>
      </w:pPr>
      <w:r>
        <w:rPr>
          <w:rFonts w:ascii="Courier New" w:cs="Courier New" w:eastAsia="Courier New" w:hAnsi="Courier New"/>
          <w:sz w:val="18"/>
          <w:szCs w:val="18"/>
          <w:color w:val="auto"/>
        </w:rPr>
        <w:t>HOUSTON, TEXAS 77002</w:t>
      </w:r>
    </w:p>
    <w:p>
      <w:pPr>
        <w:spacing w:after="0" w:line="3" w:lineRule="exact"/>
        <w:rPr>
          <w:sz w:val="24"/>
          <w:szCs w:val="24"/>
          <w:color w:val="auto"/>
        </w:rPr>
      </w:pPr>
    </w:p>
    <w:p>
      <w:pPr>
        <w:ind w:left="212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18"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(713) 512-6200</w:t>
      </w:r>
    </w:p>
    <w:p>
      <w:pPr>
        <w:sectPr>
          <w:pgSz w:w="11900" w:h="16838" w:orient="portrait"/>
          <w:cols w:equalWidth="0" w:num="1">
            <w:col w:w="10219"/>
          </w:cols>
          <w:pgMar w:left="240" w:top="655" w:right="1440" w:bottom="1440" w:gutter="0" w:footer="0" w:header="0"/>
          <w:type w:val="continuous"/>
        </w:sectPr>
      </w:pPr>
    </w:p>
    <w:p>
      <w:pPr>
        <w:ind w:left="1480"/>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7"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9" w:lineRule="exact"/>
        <w:rPr>
          <w:sz w:val="24"/>
          <w:szCs w:val="24"/>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The number of shares of Common Stock, $.01 par value, of the registrant outstanding at October 28, 2002 was 608,679,670 (excluding treasury shares of 21,628,363).</w:t>
      </w:r>
    </w:p>
    <w:p>
      <w:pPr>
        <w:spacing w:after="0" w:line="209"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5" w:right="1440" w:bottom="1440" w:gutter="0" w:footer="0" w:header="0"/>
          <w:type w:val="continuous"/>
        </w:sectPr>
      </w:pPr>
    </w:p>
    <w:bookmarkStart w:id="1" w:name="page2"/>
    <w:bookmarkEnd w:id="1"/>
    <w:p>
      <w:pPr>
        <w:ind w:left="3900"/>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FINANCIAL STATEMENTS.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WASTE MANAGEMENT, INC.</w:t>
      </w:r>
    </w:p>
    <w:p>
      <w:pPr>
        <w:ind w:left="2220"/>
        <w:spacing w:after="0" w:line="238" w:lineRule="auto"/>
        <w:rPr>
          <w:sz w:val="20"/>
          <w:szCs w:val="20"/>
          <w:color w:val="auto"/>
        </w:rPr>
      </w:pPr>
      <w:r>
        <w:rPr>
          <w:rFonts w:ascii="Courier New" w:cs="Courier New" w:eastAsia="Courier New" w:hAnsi="Courier New"/>
          <w:sz w:val="18"/>
          <w:szCs w:val="18"/>
          <w:color w:val="auto"/>
        </w:rPr>
        <w:t>CONDENSED CONSOLIDATED BALANCE SHEETS</w:t>
      </w:r>
    </w:p>
    <w:p>
      <w:pPr>
        <w:ind w:left="1580"/>
        <w:spacing w:after="0"/>
        <w:rPr>
          <w:sz w:val="20"/>
          <w:szCs w:val="20"/>
          <w:color w:val="auto"/>
        </w:rPr>
      </w:pPr>
      <w:r>
        <w:rPr>
          <w:rFonts w:ascii="Courier New" w:cs="Courier New" w:eastAsia="Courier New" w:hAnsi="Courier New"/>
          <w:sz w:val="18"/>
          <w:szCs w:val="18"/>
          <w:color w:val="auto"/>
        </w:rPr>
        <w:t>(IN MILLIONS, EXCEPT SHARE AND PAR VALUE AMOUNTS)</w:t>
      </w:r>
    </w:p>
    <w:p>
      <w:pPr>
        <w:spacing w:after="0" w:line="206" w:lineRule="exact"/>
        <w:rPr>
          <w:sz w:val="20"/>
          <w:szCs w:val="20"/>
          <w:color w:val="auto"/>
        </w:rPr>
      </w:pPr>
    </w:p>
    <w:p>
      <w:pPr>
        <w:jc w:val="center"/>
        <w:ind w:right="3879"/>
        <w:spacing w:after="0" w:line="268" w:lineRule="auto"/>
        <w:rPr>
          <w:sz w:val="20"/>
          <w:szCs w:val="20"/>
          <w:color w:val="auto"/>
        </w:rPr>
      </w:pPr>
      <w:r>
        <w:rPr>
          <w:rFonts w:ascii="Courier New" w:cs="Courier New" w:eastAsia="Courier New" w:hAnsi="Courier New"/>
          <w:sz w:val="16"/>
          <w:szCs w:val="16"/>
          <w:color w:val="auto"/>
        </w:rPr>
        <w:t>SEPTEMBER 30, DECEMBER 31, 2002 2001 ------------- -------- ---- (UNAUDITED) ASSETS Current assets: Cash and cash equivalents................................. $ 656 $ 730 Accounts receivable, net of allowance for doubtful accounts</w:t>
      </w:r>
    </w:p>
    <w:tbl>
      <w:tblPr>
        <w:tblLayout w:type="fixed"/>
        <w:tblInd w:w="60" w:type="dxa"/>
        <w:tblCellMar>
          <w:top w:w="0" w:type="dxa"/>
          <w:left w:w="0" w:type="dxa"/>
          <w:bottom w:w="0" w:type="dxa"/>
          <w:right w:w="0" w:type="dxa"/>
        </w:tblCellMar>
      </w:tblPr>
      <w:tr>
        <w:trPr>
          <w:trHeight w:val="199"/>
        </w:trPr>
        <w:tc>
          <w:tcPr>
            <w:tcW w:w="1640" w:type="dxa"/>
            <w:vAlign w:val="bottom"/>
          </w:tcPr>
          <w:p>
            <w:pPr>
              <w:ind w:left="60"/>
              <w:spacing w:after="0" w:line="199" w:lineRule="exact"/>
              <w:rPr>
                <w:sz w:val="20"/>
                <w:szCs w:val="20"/>
                <w:color w:val="auto"/>
              </w:rPr>
            </w:pPr>
            <w:r>
              <w:rPr>
                <w:rFonts w:ascii="Courier New" w:cs="Courier New" w:eastAsia="Courier New" w:hAnsi="Courier New"/>
                <w:sz w:val="18"/>
                <w:szCs w:val="18"/>
                <w:color w:val="auto"/>
                <w:w w:val="96"/>
              </w:rPr>
              <w:t>of $61 and $73,</w:t>
            </w:r>
          </w:p>
        </w:tc>
        <w:tc>
          <w:tcPr>
            <w:tcW w:w="2360" w:type="dxa"/>
            <w:vAlign w:val="bottom"/>
          </w:tcPr>
          <w:p>
            <w:pPr>
              <w:jc w:val="right"/>
              <w:spacing w:after="0" w:line="199" w:lineRule="exact"/>
              <w:rPr>
                <w:sz w:val="20"/>
                <w:szCs w:val="20"/>
                <w:color w:val="auto"/>
              </w:rPr>
            </w:pPr>
            <w:r>
              <w:rPr>
                <w:rFonts w:ascii="Courier New" w:cs="Courier New" w:eastAsia="Courier New" w:hAnsi="Courier New"/>
                <w:sz w:val="18"/>
                <w:szCs w:val="18"/>
                <w:color w:val="auto"/>
                <w:w w:val="72"/>
              </w:rPr>
              <w:t>respectively..................</w:t>
            </w:r>
          </w:p>
        </w:tc>
        <w:tc>
          <w:tcPr>
            <w:tcW w:w="2220" w:type="dxa"/>
            <w:vAlign w:val="bottom"/>
          </w:tcPr>
          <w:p>
            <w:pPr>
              <w:jc w:val="right"/>
              <w:spacing w:after="0" w:line="199" w:lineRule="exact"/>
              <w:rPr>
                <w:sz w:val="20"/>
                <w:szCs w:val="20"/>
                <w:color w:val="auto"/>
              </w:rPr>
            </w:pPr>
            <w:r>
              <w:rPr>
                <w:rFonts w:ascii="Courier New" w:cs="Courier New" w:eastAsia="Courier New" w:hAnsi="Courier New"/>
                <w:sz w:val="18"/>
                <w:szCs w:val="18"/>
                <w:color w:val="auto"/>
              </w:rPr>
              <w:t>1,490 1,355</w:t>
            </w:r>
          </w:p>
        </w:tc>
      </w:tr>
      <w:tr>
        <w:trPr>
          <w:trHeight w:val="203"/>
        </w:trPr>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Notes and other</w:t>
            </w:r>
          </w:p>
        </w:tc>
        <w:tc>
          <w:tcPr>
            <w:tcW w:w="4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receivables...............................</w:t>
            </w:r>
          </w:p>
        </w:tc>
      </w:tr>
      <w:tr>
        <w:trPr>
          <w:trHeight w:val="203"/>
        </w:trPr>
        <w:tc>
          <w:tcPr>
            <w:tcW w:w="1640" w:type="dxa"/>
            <w:vAlign w:val="bottom"/>
          </w:tcPr>
          <w:p>
            <w:pPr>
              <w:spacing w:after="0"/>
              <w:rPr>
                <w:sz w:val="17"/>
                <w:szCs w:val="17"/>
                <w:color w:val="auto"/>
              </w:rPr>
            </w:pPr>
          </w:p>
        </w:tc>
        <w:tc>
          <w:tcPr>
            <w:tcW w:w="2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265 314 Parts and</w:t>
            </w:r>
          </w:p>
        </w:tc>
        <w:tc>
          <w:tcPr>
            <w:tcW w:w="2220" w:type="dxa"/>
            <w:vAlign w:val="bottom"/>
          </w:tcPr>
          <w:p>
            <w:pPr>
              <w:spacing w:after="0"/>
              <w:rPr>
                <w:sz w:val="17"/>
                <w:szCs w:val="17"/>
                <w:color w:val="auto"/>
              </w:rPr>
            </w:pPr>
          </w:p>
        </w:tc>
      </w:tr>
      <w:tr>
        <w:trPr>
          <w:trHeight w:val="203"/>
        </w:trPr>
        <w:tc>
          <w:tcPr>
            <w:tcW w:w="4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supplies........................................</w:t>
            </w:r>
          </w:p>
        </w:tc>
        <w:tc>
          <w:tcPr>
            <w:tcW w:w="2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81 83</w:t>
            </w:r>
          </w:p>
        </w:tc>
      </w:tr>
      <w:tr>
        <w:trPr>
          <w:trHeight w:val="203"/>
        </w:trPr>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Deferred income</w:t>
            </w:r>
          </w:p>
        </w:tc>
        <w:tc>
          <w:tcPr>
            <w:tcW w:w="4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taxes.....................................</w:t>
            </w:r>
          </w:p>
        </w:tc>
      </w:tr>
      <w:tr>
        <w:trPr>
          <w:trHeight w:val="203"/>
        </w:trPr>
        <w:tc>
          <w:tcPr>
            <w:tcW w:w="1640" w:type="dxa"/>
            <w:vAlign w:val="bottom"/>
          </w:tcPr>
          <w:p>
            <w:pPr>
              <w:spacing w:after="0"/>
              <w:rPr>
                <w:sz w:val="17"/>
                <w:szCs w:val="17"/>
                <w:color w:val="auto"/>
              </w:rPr>
            </w:pPr>
          </w:p>
        </w:tc>
        <w:tc>
          <w:tcPr>
            <w:tcW w:w="4580" w:type="dxa"/>
            <w:vAlign w:val="bottom"/>
            <w:gridSpan w:val="2"/>
          </w:tcPr>
          <w:p>
            <w:pPr>
              <w:jc w:val="right"/>
              <w:ind w:right="1552"/>
              <w:spacing w:after="0" w:line="203" w:lineRule="exact"/>
              <w:rPr>
                <w:sz w:val="20"/>
                <w:szCs w:val="20"/>
                <w:color w:val="auto"/>
              </w:rPr>
            </w:pPr>
            <w:r>
              <w:rPr>
                <w:rFonts w:ascii="Courier New" w:cs="Courier New" w:eastAsia="Courier New" w:hAnsi="Courier New"/>
                <w:sz w:val="18"/>
                <w:szCs w:val="18"/>
                <w:color w:val="auto"/>
                <w:w w:val="96"/>
              </w:rPr>
              <w:t>439 426 Prepaid expenses and</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other................................</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148 216 ------- -----</w:t>
            </w:r>
          </w:p>
        </w:tc>
      </w:tr>
      <w:tr>
        <w:trPr>
          <w:trHeight w:val="203"/>
        </w:trPr>
        <w:tc>
          <w:tcPr>
            <w:tcW w:w="6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 Total current assets...................................</w:t>
            </w:r>
          </w:p>
        </w:tc>
      </w:tr>
    </w:tbl>
    <w:p>
      <w:pPr>
        <w:ind w:left="320"/>
        <w:spacing w:after="0" w:line="238" w:lineRule="auto"/>
        <w:rPr>
          <w:sz w:val="20"/>
          <w:szCs w:val="20"/>
          <w:color w:val="auto"/>
        </w:rPr>
      </w:pPr>
      <w:r>
        <w:rPr>
          <w:rFonts w:ascii="Courier New" w:cs="Courier New" w:eastAsia="Courier New" w:hAnsi="Courier New"/>
          <w:sz w:val="18"/>
          <w:szCs w:val="18"/>
          <w:color w:val="auto"/>
        </w:rPr>
        <w:t>3,079 3,124 Property and equipment, net of accumulated</w:t>
      </w:r>
    </w:p>
    <w:p>
      <w:pPr>
        <w:ind w:left="480"/>
        <w:spacing w:after="0"/>
        <w:rPr>
          <w:sz w:val="20"/>
          <w:szCs w:val="20"/>
          <w:color w:val="auto"/>
        </w:rPr>
      </w:pPr>
      <w:r>
        <w:rPr>
          <w:rFonts w:ascii="Courier New" w:cs="Courier New" w:eastAsia="Courier New" w:hAnsi="Courier New"/>
          <w:sz w:val="18"/>
          <w:szCs w:val="18"/>
          <w:color w:val="auto"/>
        </w:rPr>
        <w:t>depreciation and amortization of $8,359 and $7,578,</w:t>
      </w:r>
    </w:p>
    <w:p>
      <w:pPr>
        <w:ind w:left="1220"/>
        <w:spacing w:after="0" w:line="237" w:lineRule="auto"/>
        <w:rPr>
          <w:sz w:val="20"/>
          <w:szCs w:val="20"/>
          <w:color w:val="auto"/>
        </w:rPr>
      </w:pPr>
      <w:r>
        <w:rPr>
          <w:rFonts w:ascii="Courier New" w:cs="Courier New" w:eastAsia="Courier New" w:hAnsi="Courier New"/>
          <w:sz w:val="18"/>
          <w:szCs w:val="18"/>
          <w:color w:val="auto"/>
        </w:rPr>
        <w:t>respectively........... 10,539 10,357</w:t>
      </w:r>
    </w:p>
    <w:p>
      <w:pPr>
        <w:spacing w:after="0" w:line="238" w:lineRule="auto"/>
        <w:rPr>
          <w:sz w:val="20"/>
          <w:szCs w:val="20"/>
          <w:color w:val="auto"/>
        </w:rPr>
      </w:pPr>
      <w:r>
        <w:rPr>
          <w:rFonts w:ascii="Courier New" w:cs="Courier New" w:eastAsia="Courier New" w:hAnsi="Courier New"/>
          <w:sz w:val="18"/>
          <w:szCs w:val="18"/>
          <w:color w:val="auto"/>
        </w:rPr>
        <w:t>Goodwill....................................................</w:t>
      </w:r>
    </w:p>
    <w:p>
      <w:pPr>
        <w:ind w:left="1280"/>
        <w:spacing w:after="0"/>
        <w:rPr>
          <w:sz w:val="20"/>
          <w:szCs w:val="20"/>
          <w:color w:val="auto"/>
        </w:rPr>
      </w:pPr>
      <w:r>
        <w:rPr>
          <w:rFonts w:ascii="Courier New" w:cs="Courier New" w:eastAsia="Courier New" w:hAnsi="Courier New"/>
          <w:sz w:val="18"/>
          <w:szCs w:val="18"/>
          <w:color w:val="auto"/>
        </w:rPr>
        <w:t>5,047 4,998 Other intangible assets,</w:t>
      </w:r>
    </w:p>
    <w:p>
      <w:pPr>
        <w:ind w:left="580"/>
        <w:spacing w:after="0" w:line="237" w:lineRule="auto"/>
        <w:rPr>
          <w:sz w:val="20"/>
          <w:szCs w:val="20"/>
          <w:color w:val="auto"/>
        </w:rPr>
      </w:pPr>
      <w:r>
        <w:rPr>
          <w:rFonts w:ascii="Courier New" w:cs="Courier New" w:eastAsia="Courier New" w:hAnsi="Courier New"/>
          <w:sz w:val="18"/>
          <w:szCs w:val="18"/>
          <w:color w:val="auto"/>
        </w:rPr>
        <w:t>net................................ 109 123 Other</w:t>
      </w:r>
    </w:p>
    <w:p>
      <w:pPr>
        <w:ind w:left="320"/>
        <w:spacing w:after="0"/>
        <w:rPr>
          <w:sz w:val="20"/>
          <w:szCs w:val="20"/>
          <w:color w:val="auto"/>
        </w:rPr>
      </w:pPr>
      <w:r>
        <w:rPr>
          <w:rFonts w:ascii="Courier New" w:cs="Courier New" w:eastAsia="Courier New" w:hAnsi="Courier New"/>
          <w:sz w:val="18"/>
          <w:szCs w:val="18"/>
          <w:color w:val="auto"/>
        </w:rPr>
        <w:t>assets................................................</w:t>
      </w:r>
    </w:p>
    <w:p>
      <w:pPr>
        <w:ind w:left="1540"/>
        <w:spacing w:after="0" w:line="237" w:lineRule="auto"/>
        <w:rPr>
          <w:sz w:val="20"/>
          <w:szCs w:val="20"/>
          <w:color w:val="auto"/>
        </w:rPr>
      </w:pPr>
      <w:r>
        <w:rPr>
          <w:rFonts w:ascii="Courier New" w:cs="Courier New" w:eastAsia="Courier New" w:hAnsi="Courier New"/>
          <w:sz w:val="18"/>
          <w:szCs w:val="18"/>
          <w:color w:val="auto"/>
        </w:rPr>
        <w:t>1,215 888 ------- ------- Total</w:t>
      </w:r>
    </w:p>
    <w:p>
      <w:pPr>
        <w:ind w:left="160"/>
        <w:spacing w:after="0"/>
        <w:rPr>
          <w:sz w:val="20"/>
          <w:szCs w:val="20"/>
          <w:color w:val="auto"/>
        </w:rPr>
      </w:pPr>
      <w:r>
        <w:rPr>
          <w:rFonts w:ascii="Courier New" w:cs="Courier New" w:eastAsia="Courier New" w:hAnsi="Courier New"/>
          <w:sz w:val="18"/>
          <w:szCs w:val="18"/>
          <w:color w:val="auto"/>
        </w:rPr>
        <w:t>assets........................................... $19,989</w:t>
      </w:r>
    </w:p>
    <w:p>
      <w:pPr>
        <w:jc w:val="center"/>
        <w:ind w:right="3899"/>
        <w:spacing w:after="0" w:line="237" w:lineRule="auto"/>
        <w:rPr>
          <w:sz w:val="20"/>
          <w:szCs w:val="20"/>
          <w:color w:val="auto"/>
        </w:rPr>
      </w:pPr>
      <w:r>
        <w:rPr>
          <w:rFonts w:ascii="Courier New" w:cs="Courier New" w:eastAsia="Courier New" w:hAnsi="Courier New"/>
          <w:sz w:val="18"/>
          <w:szCs w:val="18"/>
          <w:color w:val="auto"/>
        </w:rPr>
        <w:t>$19,490 ======= ======= LIABILITIES AND STOCKHOLDERS'</w:t>
      </w:r>
    </w:p>
    <w:p>
      <w:pPr>
        <w:jc w:val="center"/>
        <w:ind w:right="3899"/>
        <w:spacing w:after="0" w:line="238" w:lineRule="auto"/>
        <w:rPr>
          <w:sz w:val="20"/>
          <w:szCs w:val="20"/>
          <w:color w:val="auto"/>
        </w:rPr>
      </w:pPr>
      <w:r>
        <w:rPr>
          <w:rFonts w:ascii="Courier New" w:cs="Courier New" w:eastAsia="Courier New" w:hAnsi="Courier New"/>
          <w:sz w:val="18"/>
          <w:szCs w:val="18"/>
          <w:color w:val="auto"/>
        </w:rPr>
        <w:t>EQUITY Current liabilities: Accounts</w:t>
      </w:r>
    </w:p>
    <w:p>
      <w:pPr>
        <w:ind w:left="160"/>
        <w:spacing w:after="0"/>
        <w:rPr>
          <w:sz w:val="20"/>
          <w:szCs w:val="20"/>
          <w:color w:val="auto"/>
        </w:rPr>
      </w:pPr>
      <w:r>
        <w:rPr>
          <w:rFonts w:ascii="Courier New" w:cs="Courier New" w:eastAsia="Courier New" w:hAnsi="Courier New"/>
          <w:sz w:val="18"/>
          <w:szCs w:val="18"/>
          <w:color w:val="auto"/>
        </w:rPr>
        <w:t>payable.......................................... $ 533 $</w:t>
      </w:r>
    </w:p>
    <w:p>
      <w:pPr>
        <w:ind w:left="2580"/>
        <w:spacing w:after="0" w:line="237" w:lineRule="auto"/>
        <w:rPr>
          <w:sz w:val="20"/>
          <w:szCs w:val="20"/>
          <w:color w:val="auto"/>
        </w:rPr>
      </w:pPr>
      <w:r>
        <w:rPr>
          <w:rFonts w:ascii="Courier New" w:cs="Courier New" w:eastAsia="Courier New" w:hAnsi="Courier New"/>
          <w:sz w:val="18"/>
          <w:szCs w:val="18"/>
          <w:color w:val="auto"/>
        </w:rPr>
        <w:t>672 Accrued</w:t>
      </w:r>
    </w:p>
    <w:p>
      <w:pPr>
        <w:ind w:left="220"/>
        <w:spacing w:after="0"/>
        <w:rPr>
          <w:sz w:val="20"/>
          <w:szCs w:val="20"/>
          <w:color w:val="auto"/>
        </w:rPr>
      </w:pPr>
      <w:r>
        <w:rPr>
          <w:rFonts w:ascii="Courier New" w:cs="Courier New" w:eastAsia="Courier New" w:hAnsi="Courier New"/>
          <w:sz w:val="18"/>
          <w:szCs w:val="18"/>
          <w:color w:val="auto"/>
        </w:rPr>
        <w:t>liabilities....................................... 2,320</w:t>
      </w:r>
    </w:p>
    <w:p>
      <w:pPr>
        <w:ind w:left="2440"/>
        <w:spacing w:after="0" w:line="237" w:lineRule="auto"/>
        <w:rPr>
          <w:sz w:val="20"/>
          <w:szCs w:val="20"/>
          <w:color w:val="auto"/>
        </w:rPr>
      </w:pPr>
      <w:r>
        <w:rPr>
          <w:rFonts w:ascii="Courier New" w:cs="Courier New" w:eastAsia="Courier New" w:hAnsi="Courier New"/>
          <w:sz w:val="18"/>
          <w:szCs w:val="18"/>
          <w:color w:val="auto"/>
        </w:rPr>
        <w:t>2,160 Deferred</w:t>
      </w:r>
    </w:p>
    <w:p>
      <w:pPr>
        <w:ind w:left="160"/>
        <w:spacing w:after="0"/>
        <w:rPr>
          <w:sz w:val="20"/>
          <w:szCs w:val="20"/>
          <w:color w:val="auto"/>
        </w:rPr>
      </w:pPr>
      <w:r>
        <w:rPr>
          <w:rFonts w:ascii="Courier New" w:cs="Courier New" w:eastAsia="Courier New" w:hAnsi="Courier New"/>
          <w:sz w:val="18"/>
          <w:szCs w:val="18"/>
          <w:color w:val="auto"/>
        </w:rPr>
        <w:t>revenues......................................... 407 374</w:t>
      </w:r>
    </w:p>
    <w:p>
      <w:pPr>
        <w:ind w:left="120"/>
        <w:spacing w:after="0" w:line="237" w:lineRule="auto"/>
        <w:rPr>
          <w:sz w:val="20"/>
          <w:szCs w:val="20"/>
          <w:color w:val="auto"/>
        </w:rPr>
      </w:pPr>
      <w:r>
        <w:rPr>
          <w:rFonts w:ascii="Courier New" w:cs="Courier New" w:eastAsia="Courier New" w:hAnsi="Courier New"/>
          <w:sz w:val="18"/>
          <w:szCs w:val="18"/>
          <w:color w:val="auto"/>
        </w:rPr>
        <w:t>Current portion of long-term debt.........................</w:t>
      </w:r>
    </w:p>
    <w:p>
      <w:pPr>
        <w:ind w:left="1220"/>
        <w:spacing w:after="0" w:line="238" w:lineRule="auto"/>
        <w:rPr>
          <w:sz w:val="20"/>
          <w:szCs w:val="20"/>
          <w:color w:val="auto"/>
        </w:rPr>
      </w:pPr>
      <w:r>
        <w:rPr>
          <w:rFonts w:ascii="Courier New" w:cs="Courier New" w:eastAsia="Courier New" w:hAnsi="Courier New"/>
          <w:sz w:val="18"/>
          <w:szCs w:val="18"/>
          <w:color w:val="auto"/>
        </w:rPr>
        <w:t>375 515 ------- ------- Total current</w:t>
      </w:r>
    </w:p>
    <w:p>
      <w:pPr>
        <w:ind w:left="60"/>
        <w:spacing w:after="0"/>
        <w:rPr>
          <w:sz w:val="20"/>
          <w:szCs w:val="20"/>
          <w:color w:val="auto"/>
        </w:rPr>
      </w:pPr>
      <w:r>
        <w:rPr>
          <w:rFonts w:ascii="Courier New" w:cs="Courier New" w:eastAsia="Courier New" w:hAnsi="Courier New"/>
          <w:sz w:val="18"/>
          <w:szCs w:val="18"/>
          <w:color w:val="auto"/>
        </w:rPr>
        <w:t>liabilities.............................. 3,635 3,721 Long-</w:t>
      </w:r>
    </w:p>
    <w:p>
      <w:pPr>
        <w:ind w:left="280"/>
        <w:spacing w:after="0" w:line="237" w:lineRule="auto"/>
        <w:rPr>
          <w:sz w:val="20"/>
          <w:szCs w:val="20"/>
          <w:color w:val="auto"/>
        </w:rPr>
      </w:pPr>
      <w:r>
        <w:rPr>
          <w:rFonts w:ascii="Courier New" w:cs="Courier New" w:eastAsia="Courier New" w:hAnsi="Courier New"/>
          <w:sz w:val="18"/>
          <w:szCs w:val="18"/>
          <w:color w:val="auto"/>
        </w:rPr>
        <w:t>term debt, less current portion........................</w:t>
      </w:r>
    </w:p>
    <w:p>
      <w:pPr>
        <w:ind w:left="1740"/>
        <w:spacing w:after="0"/>
        <w:rPr>
          <w:sz w:val="20"/>
          <w:szCs w:val="20"/>
          <w:color w:val="auto"/>
        </w:rPr>
      </w:pPr>
      <w:r>
        <w:rPr>
          <w:rFonts w:ascii="Courier New" w:cs="Courier New" w:eastAsia="Courier New" w:hAnsi="Courier New"/>
          <w:sz w:val="18"/>
          <w:szCs w:val="18"/>
          <w:color w:val="auto"/>
        </w:rPr>
        <w:t>8,151 7,709 Deferred income</w:t>
      </w:r>
    </w:p>
    <w:p>
      <w:pPr>
        <w:ind w:left="220"/>
        <w:spacing w:after="0" w:line="237" w:lineRule="auto"/>
        <w:rPr>
          <w:sz w:val="20"/>
          <w:szCs w:val="20"/>
          <w:color w:val="auto"/>
        </w:rPr>
      </w:pPr>
      <w:r>
        <w:rPr>
          <w:rFonts w:ascii="Courier New" w:cs="Courier New" w:eastAsia="Courier New" w:hAnsi="Courier New"/>
          <w:sz w:val="18"/>
          <w:szCs w:val="18"/>
          <w:color w:val="auto"/>
        </w:rPr>
        <w:t>taxes....................................... 1,233 1,127</w:t>
      </w:r>
    </w:p>
    <w:p>
      <w:pPr>
        <w:ind w:left="2480"/>
        <w:spacing w:after="0"/>
        <w:rPr>
          <w:sz w:val="20"/>
          <w:szCs w:val="20"/>
          <w:color w:val="auto"/>
        </w:rPr>
      </w:pPr>
      <w:r>
        <w:rPr>
          <w:rFonts w:ascii="Courier New" w:cs="Courier New" w:eastAsia="Courier New" w:hAnsi="Courier New"/>
          <w:sz w:val="18"/>
          <w:szCs w:val="18"/>
          <w:color w:val="auto"/>
        </w:rPr>
        <w:t>Environmental</w:t>
      </w:r>
    </w:p>
    <w:p>
      <w:pPr>
        <w:ind w:left="320"/>
        <w:spacing w:after="0" w:line="237" w:lineRule="auto"/>
        <w:rPr>
          <w:sz w:val="20"/>
          <w:szCs w:val="20"/>
          <w:color w:val="auto"/>
        </w:rPr>
      </w:pPr>
      <w:r>
        <w:rPr>
          <w:rFonts w:ascii="Courier New" w:cs="Courier New" w:eastAsia="Courier New" w:hAnsi="Courier New"/>
          <w:sz w:val="18"/>
          <w:szCs w:val="18"/>
          <w:color w:val="auto"/>
        </w:rPr>
        <w:t>liabilities................................... 898 825</w:t>
      </w:r>
    </w:p>
    <w:p>
      <w:pPr>
        <w:ind w:left="2900"/>
        <w:spacing w:after="0"/>
        <w:rPr>
          <w:sz w:val="20"/>
          <w:szCs w:val="20"/>
          <w:color w:val="auto"/>
        </w:rPr>
      </w:pPr>
      <w:r>
        <w:rPr>
          <w:rFonts w:ascii="Courier New" w:cs="Courier New" w:eastAsia="Courier New" w:hAnsi="Courier New"/>
          <w:sz w:val="18"/>
          <w:szCs w:val="18"/>
          <w:color w:val="auto"/>
        </w:rPr>
        <w:t>Other</w:t>
      </w:r>
    </w:p>
    <w:p>
      <w:pPr>
        <w:ind w:left="120"/>
        <w:spacing w:after="0" w:line="237" w:lineRule="auto"/>
        <w:rPr>
          <w:sz w:val="20"/>
          <w:szCs w:val="20"/>
          <w:color w:val="auto"/>
        </w:rPr>
      </w:pPr>
      <w:r>
        <w:rPr>
          <w:rFonts w:ascii="Courier New" w:cs="Courier New" w:eastAsia="Courier New" w:hAnsi="Courier New"/>
          <w:sz w:val="18"/>
          <w:szCs w:val="18"/>
          <w:color w:val="auto"/>
        </w:rPr>
        <w:t>liabilities........................................... 646</w:t>
      </w:r>
    </w:p>
    <w:p>
      <w:pPr>
        <w:ind w:left="1860"/>
        <w:spacing w:after="0" w:line="238" w:lineRule="auto"/>
        <w:rPr>
          <w:sz w:val="20"/>
          <w:szCs w:val="20"/>
          <w:color w:val="auto"/>
        </w:rPr>
      </w:pPr>
      <w:r>
        <w:rPr>
          <w:rFonts w:ascii="Courier New" w:cs="Courier New" w:eastAsia="Courier New" w:hAnsi="Courier New"/>
          <w:sz w:val="18"/>
          <w:szCs w:val="18"/>
          <w:color w:val="auto"/>
        </w:rPr>
        <w:t>703 ------- ------- Total</w:t>
      </w:r>
    </w:p>
    <w:p>
      <w:pPr>
        <w:ind w:left="220"/>
        <w:spacing w:after="0"/>
        <w:rPr>
          <w:sz w:val="20"/>
          <w:szCs w:val="20"/>
          <w:color w:val="auto"/>
        </w:rPr>
      </w:pPr>
      <w:r>
        <w:rPr>
          <w:rFonts w:ascii="Courier New" w:cs="Courier New" w:eastAsia="Courier New" w:hAnsi="Courier New"/>
          <w:sz w:val="18"/>
          <w:szCs w:val="18"/>
          <w:color w:val="auto"/>
        </w:rPr>
        <w:t>liabilities...................................... 14,563</w:t>
      </w:r>
    </w:p>
    <w:p>
      <w:pPr>
        <w:ind w:left="900"/>
        <w:spacing w:after="0" w:line="237" w:lineRule="auto"/>
        <w:rPr>
          <w:sz w:val="20"/>
          <w:szCs w:val="20"/>
          <w:color w:val="auto"/>
        </w:rPr>
      </w:pPr>
      <w:r>
        <w:rPr>
          <w:rFonts w:ascii="Courier New" w:cs="Courier New" w:eastAsia="Courier New" w:hAnsi="Courier New"/>
          <w:sz w:val="18"/>
          <w:szCs w:val="18"/>
          <w:color w:val="auto"/>
        </w:rPr>
        <w:t>14,085 ------- ------- Minority interest in</w:t>
      </w:r>
    </w:p>
    <w:p>
      <w:pPr>
        <w:ind w:left="60"/>
        <w:spacing w:after="0"/>
        <w:rPr>
          <w:sz w:val="20"/>
          <w:szCs w:val="20"/>
          <w:color w:val="auto"/>
        </w:rPr>
      </w:pPr>
      <w:r>
        <w:rPr>
          <w:rFonts w:ascii="Courier New" w:cs="Courier New" w:eastAsia="Courier New" w:hAnsi="Courier New"/>
          <w:sz w:val="18"/>
          <w:szCs w:val="18"/>
          <w:color w:val="auto"/>
        </w:rPr>
        <w:t>subsidiaries........................... 16 13 ------- -----</w:t>
      </w:r>
    </w:p>
    <w:p>
      <w:pPr>
        <w:jc w:val="center"/>
        <w:ind w:right="3899"/>
        <w:spacing w:after="0" w:line="237" w:lineRule="auto"/>
        <w:rPr>
          <w:sz w:val="20"/>
          <w:szCs w:val="20"/>
          <w:color w:val="auto"/>
        </w:rPr>
      </w:pPr>
      <w:r>
        <w:rPr>
          <w:rFonts w:ascii="Courier New" w:cs="Courier New" w:eastAsia="Courier New" w:hAnsi="Courier New"/>
          <w:sz w:val="18"/>
          <w:szCs w:val="18"/>
          <w:color w:val="auto"/>
        </w:rPr>
        <w:t>-- Commitments and contingencies Stockholders' equity:</w:t>
      </w:r>
    </w:p>
    <w:p>
      <w:pPr>
        <w:jc w:val="center"/>
        <w:ind w:right="3899"/>
        <w:spacing w:after="0"/>
        <w:rPr>
          <w:sz w:val="20"/>
          <w:szCs w:val="20"/>
          <w:color w:val="auto"/>
        </w:rPr>
      </w:pPr>
      <w:r>
        <w:rPr>
          <w:rFonts w:ascii="Courier New" w:cs="Courier New" w:eastAsia="Courier New" w:hAnsi="Courier New"/>
          <w:sz w:val="18"/>
          <w:szCs w:val="18"/>
          <w:color w:val="auto"/>
        </w:rPr>
        <w:t>Common stock, $.01 par value; 1,500,000,000 shares</w:t>
      </w:r>
    </w:p>
    <w:p>
      <w:pPr>
        <w:jc w:val="center"/>
        <w:ind w:right="3899"/>
        <w:spacing w:after="0" w:line="237" w:lineRule="auto"/>
        <w:rPr>
          <w:sz w:val="20"/>
          <w:szCs w:val="20"/>
          <w:color w:val="auto"/>
        </w:rPr>
      </w:pPr>
      <w:r>
        <w:rPr>
          <w:rFonts w:ascii="Courier New" w:cs="Courier New" w:eastAsia="Courier New" w:hAnsi="Courier New"/>
          <w:sz w:val="18"/>
          <w:szCs w:val="18"/>
          <w:color w:val="auto"/>
        </w:rPr>
        <w:t>authorized; 630,308,032 and 630,331,591 shares issued,</w:t>
      </w:r>
    </w:p>
    <w:tbl>
      <w:tblPr>
        <w:tblLayout w:type="fixed"/>
        <w:tblInd w:w="60" w:type="dxa"/>
        <w:tblCellMar>
          <w:top w:w="0" w:type="dxa"/>
          <w:left w:w="0" w:type="dxa"/>
          <w:bottom w:w="0" w:type="dxa"/>
          <w:right w:w="0" w:type="dxa"/>
        </w:tblCellMar>
      </w:tblPr>
      <w:tr>
        <w:trPr>
          <w:trHeight w:val="203"/>
        </w:trPr>
        <w:tc>
          <w:tcPr>
            <w:tcW w:w="58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respectively...........................................</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6 6</w:t>
            </w:r>
          </w:p>
        </w:tc>
      </w:tr>
    </w:tbl>
    <w:p>
      <w:pPr>
        <w:ind w:left="120"/>
        <w:spacing w:after="0" w:line="238" w:lineRule="auto"/>
        <w:rPr>
          <w:sz w:val="20"/>
          <w:szCs w:val="20"/>
          <w:color w:val="auto"/>
        </w:rPr>
      </w:pPr>
      <w:r>
        <w:rPr>
          <w:rFonts w:ascii="Courier New" w:cs="Courier New" w:eastAsia="Courier New" w:hAnsi="Courier New"/>
          <w:sz w:val="18"/>
          <w:szCs w:val="18"/>
          <w:color w:val="auto"/>
        </w:rPr>
        <w:t>Additional paid-in capital................................</w:t>
      </w:r>
    </w:p>
    <w:p>
      <w:pPr>
        <w:jc w:val="center"/>
        <w:ind w:right="3899"/>
        <w:spacing w:after="0"/>
        <w:rPr>
          <w:sz w:val="20"/>
          <w:szCs w:val="20"/>
          <w:color w:val="auto"/>
        </w:rPr>
      </w:pPr>
      <w:r>
        <w:rPr>
          <w:rFonts w:ascii="Courier New" w:cs="Courier New" w:eastAsia="Courier New" w:hAnsi="Courier New"/>
          <w:sz w:val="18"/>
          <w:szCs w:val="18"/>
          <w:color w:val="auto"/>
        </w:rPr>
        <w:t>4,519 4,523 Retained</w:t>
      </w:r>
    </w:p>
    <w:p>
      <w:pPr>
        <w:ind w:left="280"/>
        <w:spacing w:after="0" w:line="237" w:lineRule="auto"/>
        <w:rPr>
          <w:sz w:val="20"/>
          <w:szCs w:val="20"/>
          <w:color w:val="auto"/>
        </w:rPr>
      </w:pPr>
      <w:r>
        <w:rPr>
          <w:rFonts w:ascii="Courier New" w:cs="Courier New" w:eastAsia="Courier New" w:hAnsi="Courier New"/>
          <w:sz w:val="18"/>
          <w:szCs w:val="18"/>
          <w:color w:val="auto"/>
        </w:rPr>
        <w:t>earnings......................................... 1,637</w:t>
      </w:r>
    </w:p>
    <w:p>
      <w:pPr>
        <w:ind w:left="1220"/>
        <w:spacing w:after="0" w:line="238" w:lineRule="auto"/>
        <w:rPr>
          <w:sz w:val="20"/>
          <w:szCs w:val="20"/>
          <w:color w:val="auto"/>
        </w:rPr>
      </w:pPr>
      <w:r>
        <w:rPr>
          <w:rFonts w:ascii="Courier New" w:cs="Courier New" w:eastAsia="Courier New" w:hAnsi="Courier New"/>
          <w:sz w:val="18"/>
          <w:szCs w:val="18"/>
          <w:color w:val="auto"/>
        </w:rPr>
        <w:t>1,057 Accumulated other comprehensive</w:t>
      </w:r>
    </w:p>
    <w:p>
      <w:pPr>
        <w:ind w:left="280"/>
        <w:spacing w:after="0"/>
        <w:rPr>
          <w:sz w:val="20"/>
          <w:szCs w:val="20"/>
          <w:color w:val="auto"/>
        </w:rPr>
      </w:pPr>
      <w:r>
        <w:rPr>
          <w:rFonts w:ascii="Courier New" w:cs="Courier New" w:eastAsia="Courier New" w:hAnsi="Courier New"/>
          <w:sz w:val="18"/>
          <w:szCs w:val="18"/>
          <w:color w:val="auto"/>
        </w:rPr>
        <w:t>loss...................... (194) (148) Restricted stock</w:t>
      </w:r>
    </w:p>
    <w:p>
      <w:pPr>
        <w:ind w:left="160"/>
        <w:spacing w:after="0" w:line="237" w:lineRule="auto"/>
        <w:rPr>
          <w:sz w:val="20"/>
          <w:szCs w:val="20"/>
          <w:color w:val="auto"/>
        </w:rPr>
      </w:pPr>
      <w:r>
        <w:rPr>
          <w:rFonts w:ascii="Courier New" w:cs="Courier New" w:eastAsia="Courier New" w:hAnsi="Courier New"/>
          <w:sz w:val="18"/>
          <w:szCs w:val="18"/>
          <w:color w:val="auto"/>
        </w:rPr>
        <w:t>unearned compensation.................... -- (2) Treasury</w:t>
      </w:r>
    </w:p>
    <w:p>
      <w:pPr>
        <w:ind w:left="700"/>
        <w:spacing w:after="0"/>
        <w:rPr>
          <w:sz w:val="20"/>
          <w:szCs w:val="20"/>
          <w:color w:val="auto"/>
        </w:rPr>
      </w:pPr>
      <w:r>
        <w:rPr>
          <w:rFonts w:ascii="Courier New" w:cs="Courier New" w:eastAsia="Courier New" w:hAnsi="Courier New"/>
          <w:sz w:val="18"/>
          <w:szCs w:val="18"/>
          <w:color w:val="auto"/>
        </w:rPr>
        <w:t>stock at cost, 21,650,089 and 2,313,883 shares,</w:t>
      </w:r>
    </w:p>
    <w:p>
      <w:pPr>
        <w:ind w:left="280"/>
        <w:spacing w:after="0" w:line="237" w:lineRule="auto"/>
        <w:rPr>
          <w:sz w:val="20"/>
          <w:szCs w:val="20"/>
          <w:color w:val="auto"/>
        </w:rPr>
      </w:pPr>
      <w:r>
        <w:rPr>
          <w:rFonts w:ascii="Courier New" w:cs="Courier New" w:eastAsia="Courier New" w:hAnsi="Courier New"/>
          <w:sz w:val="18"/>
          <w:szCs w:val="18"/>
          <w:color w:val="auto"/>
        </w:rPr>
        <w:t>respectively...........................................</w:t>
      </w:r>
    </w:p>
    <w:p>
      <w:pPr>
        <w:ind w:left="740"/>
        <w:spacing w:after="0"/>
        <w:rPr>
          <w:sz w:val="20"/>
          <w:szCs w:val="20"/>
          <w:color w:val="auto"/>
        </w:rPr>
      </w:pPr>
      <w:r>
        <w:rPr>
          <w:rFonts w:ascii="Courier New" w:cs="Courier New" w:eastAsia="Courier New" w:hAnsi="Courier New"/>
          <w:sz w:val="18"/>
          <w:szCs w:val="18"/>
          <w:color w:val="auto"/>
        </w:rPr>
        <w:t>(558) (44) ------- ------- Total stockholders'</w:t>
      </w:r>
    </w:p>
    <w:p>
      <w:pPr>
        <w:ind w:left="60"/>
        <w:spacing w:after="0" w:line="237" w:lineRule="auto"/>
        <w:rPr>
          <w:sz w:val="20"/>
          <w:szCs w:val="20"/>
          <w:color w:val="auto"/>
        </w:rPr>
      </w:pPr>
      <w:r>
        <w:rPr>
          <w:rFonts w:ascii="Courier New" w:cs="Courier New" w:eastAsia="Courier New" w:hAnsi="Courier New"/>
          <w:sz w:val="18"/>
          <w:szCs w:val="18"/>
          <w:color w:val="auto"/>
        </w:rPr>
        <w:t>equity............................. 5,410 5,392 ------- ---</w:t>
      </w:r>
    </w:p>
    <w:p>
      <w:pPr>
        <w:ind w:left="1060"/>
        <w:spacing w:after="0" w:line="238" w:lineRule="auto"/>
        <w:rPr>
          <w:sz w:val="20"/>
          <w:szCs w:val="20"/>
          <w:color w:val="auto"/>
        </w:rPr>
      </w:pPr>
      <w:r>
        <w:rPr>
          <w:rFonts w:ascii="Courier New" w:cs="Courier New" w:eastAsia="Courier New" w:hAnsi="Courier New"/>
          <w:sz w:val="18"/>
          <w:szCs w:val="18"/>
          <w:color w:val="auto"/>
        </w:rPr>
        <w:t>---- Total liabilities and stockholders'</w:t>
      </w:r>
    </w:p>
    <w:p>
      <w:pPr>
        <w:ind w:left="480"/>
        <w:spacing w:after="0"/>
        <w:rPr>
          <w:sz w:val="20"/>
          <w:szCs w:val="20"/>
          <w:color w:val="auto"/>
        </w:rPr>
      </w:pPr>
      <w:r>
        <w:rPr>
          <w:rFonts w:ascii="Courier New" w:cs="Courier New" w:eastAsia="Courier New" w:hAnsi="Courier New"/>
          <w:sz w:val="18"/>
          <w:szCs w:val="18"/>
          <w:color w:val="auto"/>
        </w:rPr>
        <w:t>equity............. $19,989 $19,490 ======= =======</w:t>
      </w:r>
    </w:p>
    <w:p>
      <w:pPr>
        <w:spacing w:after="0" w:line="200" w:lineRule="exact"/>
        <w:rPr>
          <w:sz w:val="20"/>
          <w:szCs w:val="20"/>
          <w:color w:val="auto"/>
        </w:rPr>
      </w:pPr>
    </w:p>
    <w:p>
      <w:pPr>
        <w:spacing w:after="0" w:line="2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CONDENSED CONSOLIDATED STATEMENTS OF OPERATIONS</w:t>
      </w:r>
    </w:p>
    <w:p>
      <w:pPr>
        <w:spacing w:after="0" w:line="1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 MILLIONS, EXCEPT PER SHARE AMOUNTS)</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THREE MONTHS NINE MONTHS ENDED SEPTEMBER 30, ENDED</w:t>
      </w:r>
    </w:p>
    <w:p>
      <w:pPr>
        <w:spacing w:after="0" w:line="4"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SEPTEMBER 30, -------------------- -------------------</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680" w:type="dxa"/>
            <w:vAlign w:val="bottom"/>
          </w:tcPr>
          <w:p>
            <w:pPr>
              <w:spacing w:after="0"/>
              <w:rPr>
                <w:sz w:val="20"/>
                <w:szCs w:val="20"/>
                <w:color w:val="auto"/>
              </w:rPr>
            </w:pPr>
            <w:r>
              <w:rPr>
                <w:rFonts w:ascii="Courier New" w:cs="Courier New" w:eastAsia="Courier New" w:hAnsi="Courier New"/>
                <w:sz w:val="18"/>
                <w:szCs w:val="18"/>
                <w:color w:val="auto"/>
              </w:rPr>
              <w:t>- 2002</w:t>
            </w:r>
          </w:p>
        </w:tc>
        <w:tc>
          <w:tcPr>
            <w:tcW w:w="15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2001 2002 2001</w:t>
            </w:r>
          </w:p>
        </w:tc>
        <w:tc>
          <w:tcPr>
            <w:tcW w:w="3460" w:type="dxa"/>
            <w:vAlign w:val="bottom"/>
          </w:tcPr>
          <w:p>
            <w:pPr>
              <w:jc w:val="right"/>
              <w:spacing w:after="0"/>
              <w:rPr>
                <w:sz w:val="20"/>
                <w:szCs w:val="20"/>
                <w:color w:val="auto"/>
              </w:rPr>
            </w:pPr>
            <w:r>
              <w:rPr>
                <w:rFonts w:ascii="Courier New" w:cs="Courier New" w:eastAsia="Courier New" w:hAnsi="Courier New"/>
                <w:sz w:val="18"/>
                <w:szCs w:val="18"/>
                <w:color w:val="auto"/>
                <w:w w:val="99"/>
              </w:rPr>
              <w:t>-------- -------- -------- -----</w:t>
            </w:r>
          </w:p>
        </w:tc>
      </w:tr>
      <w:tr>
        <w:trPr>
          <w:trHeight w:val="203"/>
        </w:trPr>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0" w:type="dxa"/>
            <w:vAlign w:val="bottom"/>
            <w:gridSpan w:val="2"/>
          </w:tcPr>
          <w:p>
            <w:pPr>
              <w:jc w:val="right"/>
              <w:ind w:right="2072"/>
              <w:spacing w:after="0" w:line="203" w:lineRule="exact"/>
              <w:rPr>
                <w:sz w:val="20"/>
                <w:szCs w:val="20"/>
                <w:color w:val="auto"/>
              </w:rPr>
            </w:pPr>
            <w:r>
              <w:rPr>
                <w:rFonts w:ascii="Courier New" w:cs="Courier New" w:eastAsia="Courier New" w:hAnsi="Courier New"/>
                <w:sz w:val="18"/>
                <w:szCs w:val="18"/>
                <w:color w:val="auto"/>
              </w:rPr>
              <w:t>--- Operating</w:t>
            </w:r>
          </w:p>
        </w:tc>
      </w:tr>
      <w:tr>
        <w:trPr>
          <w:trHeight w:val="203"/>
        </w:trPr>
        <w:tc>
          <w:tcPr>
            <w:tcW w:w="2220" w:type="dxa"/>
            <w:vAlign w:val="bottom"/>
            <w:gridSpan w:val="3"/>
          </w:tcPr>
          <w:p>
            <w:pPr>
              <w:spacing w:after="0"/>
              <w:rPr>
                <w:sz w:val="20"/>
                <w:szCs w:val="20"/>
                <w:color w:val="auto"/>
              </w:rPr>
            </w:pPr>
            <w:r>
              <w:rPr>
                <w:rFonts w:ascii="Courier New" w:cs="Courier New" w:eastAsia="Courier New" w:hAnsi="Courier New"/>
                <w:sz w:val="11"/>
                <w:szCs w:val="11"/>
                <w:color w:val="auto"/>
                <w:w w:val="70"/>
              </w:rPr>
              <w:t>revenues.......................................</w:t>
            </w:r>
          </w:p>
        </w:tc>
        <w:tc>
          <w:tcPr>
            <w:tcW w:w="3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$2,896</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$2,897</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$8,330</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$8,531</w:t>
            </w:r>
          </w:p>
        </w:tc>
        <w:tc>
          <w:tcPr>
            <w:tcW w:w="3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 ------ ------ Costs</w:t>
            </w:r>
          </w:p>
        </w:tc>
      </w:tr>
    </w:tbl>
    <w:p>
      <w:pPr>
        <w:ind w:left="60"/>
        <w:spacing w:after="0" w:line="238" w:lineRule="auto"/>
        <w:rPr>
          <w:sz w:val="20"/>
          <w:szCs w:val="20"/>
          <w:color w:val="auto"/>
        </w:rPr>
      </w:pPr>
      <w:r>
        <w:rPr>
          <w:rFonts w:ascii="Courier New" w:cs="Courier New" w:eastAsia="Courier New" w:hAnsi="Courier New"/>
          <w:sz w:val="18"/>
          <w:szCs w:val="18"/>
          <w:color w:val="auto"/>
        </w:rPr>
        <w:t>and expenses: Operating (exclusive of depreciation and</w:t>
      </w:r>
    </w:p>
    <w:tbl>
      <w:tblPr>
        <w:tblLayout w:type="fixed"/>
        <w:tblInd w:w="0" w:type="dxa"/>
        <w:tblCellMar>
          <w:top w:w="0" w:type="dxa"/>
          <w:left w:w="0" w:type="dxa"/>
          <w:bottom w:w="0" w:type="dxa"/>
          <w:right w:w="0" w:type="dxa"/>
        </w:tblCellMar>
      </w:tblPr>
      <w:tr>
        <w:trPr>
          <w:trHeight w:val="203"/>
        </w:trPr>
        <w:tc>
          <w:tcPr>
            <w:tcW w:w="1540" w:type="dxa"/>
            <w:vAlign w:val="bottom"/>
          </w:tcPr>
          <w:p>
            <w:pPr>
              <w:spacing w:after="0"/>
              <w:rPr>
                <w:sz w:val="17"/>
                <w:szCs w:val="17"/>
                <w:color w:val="auto"/>
              </w:rPr>
            </w:pPr>
          </w:p>
        </w:tc>
        <w:tc>
          <w:tcPr>
            <w:tcW w:w="2760" w:type="dxa"/>
            <w:vAlign w:val="bottom"/>
          </w:tcPr>
          <w:p>
            <w:pPr>
              <w:jc w:val="center"/>
              <w:spacing w:after="0"/>
              <w:rPr>
                <w:sz w:val="20"/>
                <w:szCs w:val="20"/>
                <w:color w:val="auto"/>
              </w:rPr>
            </w:pPr>
            <w:r>
              <w:rPr>
                <w:rFonts w:ascii="Courier New" w:cs="Courier New" w:eastAsia="Courier New" w:hAnsi="Courier New"/>
                <w:sz w:val="18"/>
                <w:szCs w:val="18"/>
                <w:color w:val="auto"/>
                <w:w w:val="97"/>
              </w:rPr>
              <w:t>amortization shown</w:t>
            </w:r>
          </w:p>
        </w:tc>
        <w:tc>
          <w:tcPr>
            <w:tcW w:w="1440" w:type="dxa"/>
            <w:vAlign w:val="bottom"/>
          </w:tcPr>
          <w:p>
            <w:pPr>
              <w:spacing w:after="0"/>
              <w:rPr>
                <w:sz w:val="17"/>
                <w:szCs w:val="17"/>
                <w:color w:val="auto"/>
              </w:rPr>
            </w:pPr>
          </w:p>
        </w:tc>
      </w:tr>
      <w:tr>
        <w:trPr>
          <w:trHeight w:val="203"/>
        </w:trPr>
        <w:tc>
          <w:tcPr>
            <w:tcW w:w="4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below)........................................</w:t>
            </w:r>
          </w:p>
        </w:tc>
        <w:tc>
          <w:tcPr>
            <w:tcW w:w="14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1,746</w:t>
            </w:r>
          </w:p>
        </w:tc>
      </w:tr>
      <w:tr>
        <w:trPr>
          <w:trHeight w:val="203"/>
        </w:trPr>
        <w:tc>
          <w:tcPr>
            <w:tcW w:w="5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1,693 5,000 5,071 Selling, general and</w:t>
            </w:r>
          </w:p>
        </w:tc>
      </w:tr>
      <w:tr>
        <w:trPr>
          <w:trHeight w:val="203"/>
        </w:trPr>
        <w:tc>
          <w:tcPr>
            <w:tcW w:w="1540" w:type="dxa"/>
            <w:vAlign w:val="bottom"/>
          </w:tcPr>
          <w:p>
            <w:pPr>
              <w:jc w:val="right"/>
              <w:spacing w:after="0"/>
              <w:rPr>
                <w:sz w:val="20"/>
                <w:szCs w:val="20"/>
                <w:color w:val="auto"/>
              </w:rPr>
            </w:pPr>
            <w:r>
              <w:rPr>
                <w:rFonts w:ascii="Courier New" w:cs="Courier New" w:eastAsia="Courier New" w:hAnsi="Courier New"/>
                <w:sz w:val="10"/>
                <w:szCs w:val="10"/>
                <w:color w:val="auto"/>
                <w:w w:val="74"/>
              </w:rPr>
              <w:t>administrative....................</w:t>
            </w:r>
          </w:p>
        </w:tc>
        <w:tc>
          <w:tcPr>
            <w:tcW w:w="4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376 383 1,122 1,170</w:t>
            </w:r>
          </w:p>
        </w:tc>
      </w:tr>
      <w:tr>
        <w:trPr>
          <w:trHeight w:val="203"/>
        </w:trPr>
        <w:tc>
          <w:tcPr>
            <w:tcW w:w="1540" w:type="dxa"/>
            <w:vAlign w:val="bottom"/>
          </w:tcPr>
          <w:p>
            <w:pPr>
              <w:spacing w:after="0"/>
              <w:rPr>
                <w:sz w:val="17"/>
                <w:szCs w:val="17"/>
                <w:color w:val="auto"/>
              </w:rPr>
            </w:pPr>
          </w:p>
        </w:tc>
        <w:tc>
          <w:tcPr>
            <w:tcW w:w="27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Depreciation and</w:t>
            </w:r>
          </w:p>
        </w:tc>
        <w:tc>
          <w:tcPr>
            <w:tcW w:w="1440" w:type="dxa"/>
            <w:vAlign w:val="bottom"/>
          </w:tcPr>
          <w:p>
            <w:pPr>
              <w:spacing w:after="0"/>
              <w:rPr>
                <w:sz w:val="17"/>
                <w:szCs w:val="17"/>
                <w:color w:val="auto"/>
              </w:rPr>
            </w:pPr>
          </w:p>
        </w:tc>
      </w:tr>
      <w:tr>
        <w:trPr>
          <w:trHeight w:val="203"/>
        </w:trPr>
        <w:tc>
          <w:tcPr>
            <w:tcW w:w="4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amortization..........................</w:t>
            </w:r>
          </w:p>
        </w:tc>
        <w:tc>
          <w:tcPr>
            <w:tcW w:w="14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311 352 918</w:t>
            </w:r>
          </w:p>
        </w:tc>
      </w:tr>
      <w:tr>
        <w:trPr>
          <w:trHeight w:val="203"/>
        </w:trPr>
        <w:tc>
          <w:tcPr>
            <w:tcW w:w="1540" w:type="dxa"/>
            <w:vAlign w:val="bottom"/>
          </w:tcPr>
          <w:p>
            <w:pPr>
              <w:spacing w:after="0"/>
              <w:rPr>
                <w:sz w:val="17"/>
                <w:szCs w:val="17"/>
                <w:color w:val="auto"/>
              </w:rPr>
            </w:pPr>
          </w:p>
        </w:tc>
        <w:tc>
          <w:tcPr>
            <w:tcW w:w="27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1,028</w:t>
            </w:r>
          </w:p>
        </w:tc>
        <w:tc>
          <w:tcPr>
            <w:tcW w:w="1440" w:type="dxa"/>
            <w:vAlign w:val="bottom"/>
          </w:tcPr>
          <w:p>
            <w:pPr>
              <w:spacing w:after="0"/>
              <w:rPr>
                <w:sz w:val="17"/>
                <w:szCs w:val="17"/>
                <w:color w:val="auto"/>
              </w:rPr>
            </w:pPr>
          </w:p>
        </w:tc>
      </w:tr>
      <w:tr>
        <w:trPr>
          <w:trHeight w:val="203"/>
        </w:trPr>
        <w:tc>
          <w:tcPr>
            <w:tcW w:w="4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2"/>
              </w:rPr>
              <w:t>Restructuring..........................................</w:t>
            </w:r>
          </w:p>
        </w:tc>
        <w:tc>
          <w:tcPr>
            <w:tcW w:w="1440" w:type="dxa"/>
            <w:vAlign w:val="bottom"/>
          </w:tcPr>
          <w:p>
            <w:pPr>
              <w:spacing w:after="0"/>
              <w:rPr>
                <w:sz w:val="17"/>
                <w:szCs w:val="17"/>
                <w:color w:val="auto"/>
              </w:rPr>
            </w:pPr>
          </w:p>
        </w:tc>
      </w:tr>
      <w:tr>
        <w:trPr>
          <w:trHeight w:val="203"/>
        </w:trPr>
        <w:tc>
          <w:tcPr>
            <w:tcW w:w="5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1 -- 38 -- Asset impairments and unusual</w:t>
            </w:r>
          </w:p>
        </w:tc>
      </w:tr>
      <w:tr>
        <w:trPr>
          <w:trHeight w:val="203"/>
        </w:trPr>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w w:val="72"/>
              </w:rPr>
              <w:t>items....................</w:t>
            </w:r>
          </w:p>
        </w:tc>
        <w:tc>
          <w:tcPr>
            <w:tcW w:w="4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 354 (9) 362 ------ -----</w:t>
            </w:r>
          </w:p>
        </w:tc>
      </w:tr>
      <w:tr>
        <w:trPr>
          <w:trHeight w:val="203"/>
        </w:trPr>
        <w:tc>
          <w:tcPr>
            <w:tcW w:w="4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 ------ 2,431 2,782 7,069 7,631</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203"/>
        </w:trPr>
        <w:tc>
          <w:tcPr>
            <w:tcW w:w="1540" w:type="dxa"/>
            <w:vAlign w:val="bottom"/>
          </w:tcPr>
          <w:p>
            <w:pPr>
              <w:spacing w:after="0"/>
              <w:rPr>
                <w:sz w:val="17"/>
                <w:szCs w:val="17"/>
                <w:color w:val="auto"/>
              </w:rPr>
            </w:pPr>
          </w:p>
        </w:tc>
        <w:tc>
          <w:tcPr>
            <w:tcW w:w="27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 ------ Income from</w:t>
            </w:r>
          </w:p>
        </w:tc>
        <w:tc>
          <w:tcPr>
            <w:tcW w:w="1440" w:type="dxa"/>
            <w:vAlign w:val="bottom"/>
          </w:tcPr>
          <w:p>
            <w:pPr>
              <w:spacing w:after="0"/>
              <w:rPr>
                <w:sz w:val="17"/>
                <w:szCs w:val="17"/>
                <w:color w:val="auto"/>
              </w:rPr>
            </w:pPr>
          </w:p>
        </w:tc>
      </w:tr>
      <w:tr>
        <w:trPr>
          <w:trHeight w:val="203"/>
        </w:trPr>
        <w:tc>
          <w:tcPr>
            <w:tcW w:w="4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operations...................................</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465 115</w:t>
            </w: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7"/>
              </w:rPr>
              <w:t>1,261 900 ------</w:t>
            </w:r>
          </w:p>
        </w:tc>
        <w:tc>
          <w:tcPr>
            <w:tcW w:w="42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 ------ Other income</w:t>
            </w:r>
          </w:p>
        </w:tc>
      </w:tr>
      <w:tr>
        <w:trPr>
          <w:trHeight w:val="203"/>
        </w:trPr>
        <w:tc>
          <w:tcPr>
            <w:tcW w:w="1540" w:type="dxa"/>
            <w:vAlign w:val="bottom"/>
          </w:tcPr>
          <w:p>
            <w:pPr>
              <w:spacing w:after="0"/>
              <w:rPr>
                <w:sz w:val="17"/>
                <w:szCs w:val="17"/>
                <w:color w:val="auto"/>
              </w:rPr>
            </w:pPr>
          </w:p>
        </w:tc>
        <w:tc>
          <w:tcPr>
            <w:tcW w:w="27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(expense): Interest</w:t>
            </w:r>
          </w:p>
        </w:tc>
        <w:tc>
          <w:tcPr>
            <w:tcW w:w="1440" w:type="dxa"/>
            <w:vAlign w:val="bottom"/>
          </w:tcPr>
          <w:p>
            <w:pPr>
              <w:spacing w:after="0"/>
              <w:rPr>
                <w:sz w:val="17"/>
                <w:szCs w:val="17"/>
                <w:color w:val="auto"/>
              </w:rPr>
            </w:pPr>
          </w:p>
        </w:tc>
      </w:tr>
      <w:tr>
        <w:trPr>
          <w:trHeight w:val="203"/>
        </w:trPr>
        <w:tc>
          <w:tcPr>
            <w:tcW w:w="4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expense.......................................</w:t>
            </w:r>
          </w:p>
        </w:tc>
        <w:tc>
          <w:tcPr>
            <w:tcW w:w="14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w:t>
            </w:r>
          </w:p>
        </w:tc>
      </w:tr>
      <w:tr>
        <w:trPr>
          <w:trHeight w:val="203"/>
        </w:trPr>
        <w:tc>
          <w:tcPr>
            <w:tcW w:w="1540" w:type="dxa"/>
            <w:vAlign w:val="bottom"/>
          </w:tcPr>
          <w:p>
            <w:pPr>
              <w:spacing w:after="0"/>
              <w:rPr>
                <w:sz w:val="17"/>
                <w:szCs w:val="17"/>
                <w:color w:val="auto"/>
              </w:rPr>
            </w:pPr>
          </w:p>
        </w:tc>
        <w:tc>
          <w:tcPr>
            <w:tcW w:w="27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(124) (350) (425) Interest</w:t>
            </w:r>
          </w:p>
        </w:tc>
        <w:tc>
          <w:tcPr>
            <w:tcW w:w="1440" w:type="dxa"/>
            <w:vAlign w:val="bottom"/>
          </w:tcPr>
          <w:p>
            <w:pPr>
              <w:spacing w:after="0"/>
              <w:rPr>
                <w:sz w:val="17"/>
                <w:szCs w:val="17"/>
                <w:color w:val="auto"/>
              </w:rPr>
            </w:pPr>
          </w:p>
        </w:tc>
      </w:tr>
      <w:tr>
        <w:trPr>
          <w:trHeight w:val="203"/>
        </w:trPr>
        <w:tc>
          <w:tcPr>
            <w:tcW w:w="4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income........................................</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5 7 14</w:t>
            </w:r>
          </w:p>
        </w:tc>
      </w:tr>
      <w:tr>
        <w:trPr>
          <w:trHeight w:val="203"/>
        </w:trPr>
        <w:tc>
          <w:tcPr>
            <w:tcW w:w="1540" w:type="dxa"/>
            <w:vAlign w:val="bottom"/>
          </w:tcPr>
          <w:p>
            <w:pPr>
              <w:spacing w:after="0"/>
              <w:rPr>
                <w:sz w:val="17"/>
                <w:szCs w:val="17"/>
                <w:color w:val="auto"/>
              </w:rPr>
            </w:pPr>
          </w:p>
        </w:tc>
        <w:tc>
          <w:tcPr>
            <w:tcW w:w="27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34 Minority</w:t>
            </w:r>
          </w:p>
        </w:tc>
        <w:tc>
          <w:tcPr>
            <w:tcW w:w="1440" w:type="dxa"/>
            <w:vAlign w:val="bottom"/>
          </w:tcPr>
          <w:p>
            <w:pPr>
              <w:spacing w:after="0"/>
              <w:rPr>
                <w:sz w:val="17"/>
                <w:szCs w:val="17"/>
                <w:color w:val="auto"/>
              </w:rPr>
            </w:pPr>
          </w:p>
        </w:tc>
      </w:tr>
      <w:tr>
        <w:trPr>
          <w:trHeight w:val="203"/>
        </w:trPr>
        <w:tc>
          <w:tcPr>
            <w:tcW w:w="4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interest......................................</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 --</w:t>
            </w:r>
          </w:p>
        </w:tc>
      </w:tr>
      <w:tr>
        <w:trPr>
          <w:trHeight w:val="203"/>
        </w:trPr>
        <w:tc>
          <w:tcPr>
            <w:tcW w:w="1540" w:type="dxa"/>
            <w:vAlign w:val="bottom"/>
          </w:tcPr>
          <w:p>
            <w:pPr>
              <w:spacing w:after="0"/>
              <w:rPr>
                <w:sz w:val="17"/>
                <w:szCs w:val="17"/>
                <w:color w:val="auto"/>
              </w:rPr>
            </w:pPr>
          </w:p>
        </w:tc>
        <w:tc>
          <w:tcPr>
            <w:tcW w:w="27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(4) (3) Other income,</w:t>
            </w:r>
          </w:p>
        </w:tc>
        <w:tc>
          <w:tcPr>
            <w:tcW w:w="1440" w:type="dxa"/>
            <w:vAlign w:val="bottom"/>
          </w:tcPr>
          <w:p>
            <w:pPr>
              <w:spacing w:after="0"/>
              <w:rPr>
                <w:sz w:val="17"/>
                <w:szCs w:val="17"/>
                <w:color w:val="auto"/>
              </w:rPr>
            </w:pPr>
          </w:p>
        </w:tc>
      </w:tr>
      <w:tr>
        <w:trPr>
          <w:trHeight w:val="203"/>
        </w:trPr>
        <w:tc>
          <w:tcPr>
            <w:tcW w:w="4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net......................................</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 1 4 9 ----</w:t>
            </w:r>
          </w:p>
        </w:tc>
      </w:tr>
    </w:tbl>
    <w:p>
      <w:pPr>
        <w:ind w:left="380" w:hanging="319"/>
        <w:spacing w:after="0" w:line="238" w:lineRule="auto"/>
        <w:tabs>
          <w:tab w:leader="none" w:pos="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(113) (116) (336) (385)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Income (loss) before income</w:t>
      </w:r>
    </w:p>
    <w:tbl>
      <w:tblPr>
        <w:tblLayout w:type="fixed"/>
        <w:tblInd w:w="60" w:type="dxa"/>
        <w:tblCellMar>
          <w:top w:w="0" w:type="dxa"/>
          <w:left w:w="0" w:type="dxa"/>
          <w:bottom w:w="0" w:type="dxa"/>
          <w:right w:w="0" w:type="dxa"/>
        </w:tblCellMar>
      </w:tblPr>
      <w:tr>
        <w:trPr>
          <w:trHeight w:val="203"/>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taxes</w:t>
            </w:r>
          </w:p>
        </w:tc>
        <w:tc>
          <w:tcPr>
            <w:tcW w:w="3000" w:type="dxa"/>
            <w:vAlign w:val="bottom"/>
          </w:tcPr>
          <w:p>
            <w:pPr>
              <w:spacing w:after="0"/>
              <w:rPr>
                <w:sz w:val="20"/>
                <w:szCs w:val="20"/>
                <w:color w:val="auto"/>
              </w:rPr>
            </w:pPr>
            <w:r>
              <w:rPr>
                <w:rFonts w:ascii="Courier New" w:cs="Courier New" w:eastAsia="Courier New" w:hAnsi="Courier New"/>
                <w:sz w:val="18"/>
                <w:szCs w:val="18"/>
                <w:color w:val="auto"/>
                <w:w w:val="98"/>
              </w:rPr>
              <w:t>........................ 352</w:t>
            </w:r>
          </w:p>
        </w:tc>
        <w:tc>
          <w:tcPr>
            <w:tcW w:w="1680" w:type="dxa"/>
            <w:vAlign w:val="bottom"/>
          </w:tcPr>
          <w:p>
            <w:pPr>
              <w:ind w:left="60"/>
              <w:spacing w:after="0"/>
              <w:rPr>
                <w:sz w:val="20"/>
                <w:szCs w:val="20"/>
                <w:color w:val="auto"/>
              </w:rPr>
            </w:pPr>
            <w:r>
              <w:rPr>
                <w:rFonts w:ascii="Courier New" w:cs="Courier New" w:eastAsia="Courier New" w:hAnsi="Courier New"/>
                <w:sz w:val="18"/>
                <w:szCs w:val="18"/>
                <w:color w:val="auto"/>
              </w:rPr>
              <w:t>(1) 925 515</w:t>
            </w:r>
          </w:p>
        </w:tc>
      </w:tr>
      <w:tr>
        <w:trPr>
          <w:trHeight w:val="203"/>
        </w:trPr>
        <w:tc>
          <w:tcPr>
            <w:tcW w:w="1000" w:type="dxa"/>
            <w:vAlign w:val="bottom"/>
          </w:tcPr>
          <w:p>
            <w:pPr>
              <w:spacing w:after="0"/>
              <w:rPr>
                <w:sz w:val="17"/>
                <w:szCs w:val="17"/>
                <w:color w:val="auto"/>
              </w:rPr>
            </w:pPr>
          </w:p>
        </w:tc>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Provision for (benefit from)</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income</w:t>
            </w:r>
          </w:p>
        </w:tc>
      </w:tr>
      <w:tr>
        <w:trPr>
          <w:trHeight w:val="203"/>
        </w:trPr>
        <w:tc>
          <w:tcPr>
            <w:tcW w:w="1000" w:type="dxa"/>
            <w:vAlign w:val="bottom"/>
          </w:tcPr>
          <w:p>
            <w:pPr>
              <w:jc w:val="right"/>
              <w:spacing w:after="0"/>
              <w:rPr>
                <w:sz w:val="20"/>
                <w:szCs w:val="20"/>
                <w:color w:val="auto"/>
              </w:rPr>
            </w:pPr>
            <w:r>
              <w:rPr>
                <w:rFonts w:ascii="Courier New" w:cs="Courier New" w:eastAsia="Courier New" w:hAnsi="Courier New"/>
                <w:sz w:val="11"/>
                <w:szCs w:val="11"/>
                <w:color w:val="auto"/>
                <w:w w:val="70"/>
              </w:rPr>
              <w:t>taxes................</w:t>
            </w:r>
          </w:p>
        </w:tc>
        <w:tc>
          <w:tcPr>
            <w:tcW w:w="4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121 (32) 340 170 ------ ------ -</w:t>
            </w:r>
          </w:p>
        </w:tc>
      </w:tr>
    </w:tbl>
    <w:p>
      <w:pPr>
        <w:ind w:left="960" w:hanging="636"/>
        <w:spacing w:after="0" w:line="238"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Income before extraordinary item and</w:t>
      </w:r>
    </w:p>
    <w:p>
      <w:pPr>
        <w:spacing w:after="0" w:line="4" w:lineRule="exact"/>
        <w:rPr>
          <w:rFonts w:ascii="Courier New" w:cs="Courier New" w:eastAsia="Courier New" w:hAnsi="Courier New"/>
          <w:sz w:val="18"/>
          <w:szCs w:val="18"/>
          <w:color w:val="auto"/>
        </w:rPr>
      </w:pPr>
    </w:p>
    <w:p>
      <w:pPr>
        <w:ind w:left="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cumulative effect of changes in accounting</w:t>
      </w:r>
    </w:p>
    <w:p>
      <w:pPr>
        <w:spacing w:after="0" w:line="207" w:lineRule="exact"/>
        <w:rPr>
          <w:sz w:val="20"/>
          <w:szCs w:val="20"/>
          <w:color w:val="auto"/>
        </w:rPr>
      </w:pPr>
    </w:p>
    <w:p>
      <w:pPr>
        <w:ind w:right="4419" w:firstLine="368"/>
        <w:spacing w:after="0" w:line="268" w:lineRule="auto"/>
        <w:rPr>
          <w:sz w:val="20"/>
          <w:szCs w:val="20"/>
          <w:color w:val="auto"/>
        </w:rPr>
      </w:pPr>
      <w:r>
        <w:rPr>
          <w:rFonts w:ascii="Courier New" w:cs="Courier New" w:eastAsia="Courier New" w:hAnsi="Courier New"/>
          <w:sz w:val="16"/>
          <w:szCs w:val="16"/>
          <w:color w:val="auto"/>
        </w:rPr>
        <w:t>principle........................ 231 31 585 345 Extraordinary loss on early retirement of debt, net of income tax benefit of $0 and $1 for both the three and nine months ended September 30, 2002 and 2001, respectively...........................................</w:t>
      </w:r>
    </w:p>
    <w:p>
      <w:pPr>
        <w:spacing w:after="0" w:line="1" w:lineRule="exact"/>
        <w:rPr>
          <w:sz w:val="20"/>
          <w:szCs w:val="20"/>
          <w:color w:val="auto"/>
        </w:rPr>
      </w:pPr>
    </w:p>
    <w:p>
      <w:pPr>
        <w:ind w:left="120" w:right="4519" w:firstLine="362"/>
        <w:spacing w:after="0" w:line="268" w:lineRule="auto"/>
        <w:tabs>
          <w:tab w:leader="none" w:pos="80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(1) (2) Cumulative effect of changes in accounting principle, net of income tax expense of $0</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 $2 for the nine months ended September 30, 2002</w:t>
      </w:r>
    </w:p>
    <w:p>
      <w:pPr>
        <w:ind w:left="60"/>
        <w:spacing w:after="0"/>
        <w:rPr>
          <w:sz w:val="20"/>
          <w:szCs w:val="20"/>
          <w:color w:val="auto"/>
        </w:rPr>
      </w:pPr>
      <w:r>
        <w:rPr>
          <w:rFonts w:ascii="Courier New" w:cs="Courier New" w:eastAsia="Courier New" w:hAnsi="Courier New"/>
          <w:sz w:val="18"/>
          <w:szCs w:val="18"/>
          <w:color w:val="auto"/>
        </w:rPr>
        <w:t>and 2001, respectively........ -- -- 2 2 ------ ------</w:t>
      </w:r>
    </w:p>
    <w:p>
      <w:pPr>
        <w:ind w:left="2000"/>
        <w:spacing w:after="0" w:line="237" w:lineRule="auto"/>
        <w:rPr>
          <w:sz w:val="20"/>
          <w:szCs w:val="20"/>
          <w:color w:val="auto"/>
        </w:rPr>
      </w:pPr>
      <w:r>
        <w:rPr>
          <w:rFonts w:ascii="Courier New" w:cs="Courier New" w:eastAsia="Courier New" w:hAnsi="Courier New"/>
          <w:sz w:val="18"/>
          <w:szCs w:val="18"/>
          <w:color w:val="auto"/>
        </w:rPr>
        <w:t>------ ------ Net</w:t>
      </w:r>
    </w:p>
    <w:p>
      <w:pPr>
        <w:ind w:left="120"/>
        <w:spacing w:after="0" w:line="238" w:lineRule="auto"/>
        <w:rPr>
          <w:sz w:val="20"/>
          <w:szCs w:val="20"/>
          <w:color w:val="auto"/>
        </w:rPr>
      </w:pPr>
      <w:r>
        <w:rPr>
          <w:rFonts w:ascii="Courier New" w:cs="Courier New" w:eastAsia="Courier New" w:hAnsi="Courier New"/>
          <w:sz w:val="18"/>
          <w:szCs w:val="18"/>
          <w:color w:val="auto"/>
        </w:rPr>
        <w:t>income...............................................</w:t>
      </w:r>
    </w:p>
    <w:p>
      <w:pPr>
        <w:ind w:left="480" w:hanging="208"/>
        <w:spacing w:after="0"/>
        <w:tabs>
          <w:tab w:leader="none" w:pos="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231 $ 30 $ 586 $ 345 ====== ====== ====== ======</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Basic earnings per common share: Income before</w:t>
      </w:r>
    </w:p>
    <w:p>
      <w:pPr>
        <w:ind w:left="60"/>
        <w:spacing w:after="0"/>
        <w:rPr>
          <w:sz w:val="20"/>
          <w:szCs w:val="20"/>
          <w:color w:val="auto"/>
        </w:rPr>
      </w:pPr>
      <w:r>
        <w:rPr>
          <w:rFonts w:ascii="Courier New" w:cs="Courier New" w:eastAsia="Courier New" w:hAnsi="Courier New"/>
          <w:sz w:val="18"/>
          <w:szCs w:val="18"/>
          <w:color w:val="auto"/>
        </w:rPr>
        <w:t>extraordinary item and cumulative effect of changes in</w:t>
      </w:r>
    </w:p>
    <w:p>
      <w:pPr>
        <w:ind w:left="60"/>
        <w:spacing w:after="0" w:line="237" w:lineRule="auto"/>
        <w:rPr>
          <w:sz w:val="20"/>
          <w:szCs w:val="20"/>
          <w:color w:val="auto"/>
        </w:rPr>
      </w:pPr>
      <w:r>
        <w:rPr>
          <w:rFonts w:ascii="Courier New" w:cs="Courier New" w:eastAsia="Courier New" w:hAnsi="Courier New"/>
          <w:sz w:val="18"/>
          <w:szCs w:val="18"/>
          <w:color w:val="auto"/>
        </w:rPr>
        <w:t>accounting principle.................. $ 0.38 $ 0.05 $</w:t>
      </w:r>
    </w:p>
    <w:p>
      <w:pPr>
        <w:ind w:left="1580"/>
        <w:spacing w:after="0" w:line="238" w:lineRule="auto"/>
        <w:rPr>
          <w:sz w:val="20"/>
          <w:szCs w:val="20"/>
          <w:color w:val="auto"/>
        </w:rPr>
      </w:pPr>
      <w:r>
        <w:rPr>
          <w:rFonts w:ascii="Courier New" w:cs="Courier New" w:eastAsia="Courier New" w:hAnsi="Courier New"/>
          <w:sz w:val="18"/>
          <w:szCs w:val="18"/>
          <w:color w:val="auto"/>
        </w:rPr>
        <w:t>0.95 $ 0.55 Extraordinary</w:t>
      </w:r>
    </w:p>
    <w:p>
      <w:pPr>
        <w:ind w:left="120"/>
        <w:spacing w:after="0"/>
        <w:rPr>
          <w:sz w:val="20"/>
          <w:szCs w:val="20"/>
          <w:color w:val="auto"/>
        </w:rPr>
      </w:pPr>
      <w:r>
        <w:rPr>
          <w:rFonts w:ascii="Courier New" w:cs="Courier New" w:eastAsia="Courier New" w:hAnsi="Courier New"/>
          <w:sz w:val="18"/>
          <w:szCs w:val="18"/>
          <w:color w:val="auto"/>
        </w:rPr>
        <w:t>item..................................... -- -- -- --</w:t>
      </w:r>
    </w:p>
    <w:p>
      <w:pPr>
        <w:ind w:left="700"/>
        <w:spacing w:after="0" w:line="237" w:lineRule="auto"/>
        <w:rPr>
          <w:sz w:val="20"/>
          <w:szCs w:val="20"/>
          <w:color w:val="auto"/>
        </w:rPr>
      </w:pPr>
      <w:r>
        <w:rPr>
          <w:rFonts w:ascii="Courier New" w:cs="Courier New" w:eastAsia="Courier New" w:hAnsi="Courier New"/>
          <w:sz w:val="18"/>
          <w:szCs w:val="18"/>
          <w:color w:val="auto"/>
        </w:rPr>
        <w:t>Cumulative effect of changes in accounting</w:t>
      </w:r>
    </w:p>
    <w:p>
      <w:pPr>
        <w:ind w:left="160"/>
        <w:spacing w:after="0"/>
        <w:rPr>
          <w:sz w:val="20"/>
          <w:szCs w:val="20"/>
          <w:color w:val="auto"/>
        </w:rPr>
      </w:pPr>
      <w:r>
        <w:rPr>
          <w:rFonts w:ascii="Courier New" w:cs="Courier New" w:eastAsia="Courier New" w:hAnsi="Courier New"/>
          <w:sz w:val="18"/>
          <w:szCs w:val="18"/>
          <w:color w:val="auto"/>
        </w:rPr>
        <w:t>principle... -- -- -- -- ------ ------ ------ ------</w:t>
      </w:r>
    </w:p>
    <w:p>
      <w:pPr>
        <w:ind w:left="2740"/>
        <w:spacing w:after="0" w:line="237" w:lineRule="auto"/>
        <w:rPr>
          <w:sz w:val="20"/>
          <w:szCs w:val="20"/>
          <w:color w:val="auto"/>
        </w:rPr>
      </w:pPr>
      <w:r>
        <w:rPr>
          <w:rFonts w:ascii="Courier New" w:cs="Courier New" w:eastAsia="Courier New" w:hAnsi="Courier New"/>
          <w:sz w:val="18"/>
          <w:szCs w:val="18"/>
          <w:color w:val="auto"/>
        </w:rPr>
        <w:t>Net</w:t>
      </w:r>
    </w:p>
    <w:p>
      <w:pPr>
        <w:ind w:left="120"/>
        <w:spacing w:after="0"/>
        <w:rPr>
          <w:sz w:val="20"/>
          <w:szCs w:val="20"/>
          <w:color w:val="auto"/>
        </w:rPr>
      </w:pPr>
      <w:r>
        <w:rPr>
          <w:rFonts w:ascii="Courier New" w:cs="Courier New" w:eastAsia="Courier New" w:hAnsi="Courier New"/>
          <w:sz w:val="18"/>
          <w:szCs w:val="18"/>
          <w:color w:val="auto"/>
        </w:rPr>
        <w:t>income...............................................</w:t>
      </w:r>
    </w:p>
    <w:p>
      <w:pPr>
        <w:ind w:left="580" w:hanging="203"/>
        <w:spacing w:after="0" w:line="237" w:lineRule="auto"/>
        <w:tabs>
          <w:tab w:leader="none" w:pos="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0.38 $ 0.05 $ 0.95 $ 0.55 ====== ======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Diluted earnings per common share: Income</w:t>
      </w:r>
    </w:p>
    <w:p>
      <w:pPr>
        <w:ind w:left="280"/>
        <w:spacing w:after="0"/>
        <w:rPr>
          <w:sz w:val="20"/>
          <w:szCs w:val="20"/>
          <w:color w:val="auto"/>
        </w:rPr>
      </w:pPr>
      <w:r>
        <w:rPr>
          <w:rFonts w:ascii="Courier New" w:cs="Courier New" w:eastAsia="Courier New" w:hAnsi="Courier New"/>
          <w:sz w:val="18"/>
          <w:szCs w:val="18"/>
          <w:color w:val="auto"/>
        </w:rPr>
        <w:t>before extraordinary item and cumulative effect of</w:t>
      </w:r>
    </w:p>
    <w:p>
      <w:pPr>
        <w:ind w:left="220"/>
        <w:spacing w:after="0" w:line="237" w:lineRule="auto"/>
        <w:rPr>
          <w:sz w:val="20"/>
          <w:szCs w:val="20"/>
          <w:color w:val="auto"/>
        </w:rPr>
      </w:pPr>
      <w:r>
        <w:rPr>
          <w:rFonts w:ascii="Courier New" w:cs="Courier New" w:eastAsia="Courier New" w:hAnsi="Courier New"/>
          <w:sz w:val="18"/>
          <w:szCs w:val="18"/>
          <w:color w:val="auto"/>
        </w:rPr>
        <w:t>changes in accounting principle.................. $</w:t>
      </w:r>
    </w:p>
    <w:p>
      <w:pPr>
        <w:ind w:left="860"/>
        <w:spacing w:after="0" w:line="238" w:lineRule="auto"/>
        <w:rPr>
          <w:sz w:val="20"/>
          <w:szCs w:val="20"/>
          <w:color w:val="auto"/>
        </w:rPr>
      </w:pPr>
      <w:r>
        <w:rPr>
          <w:rFonts w:ascii="Courier New" w:cs="Courier New" w:eastAsia="Courier New" w:hAnsi="Courier New"/>
          <w:sz w:val="18"/>
          <w:szCs w:val="18"/>
          <w:color w:val="auto"/>
        </w:rPr>
        <w:t>0.38 $ 0.05 $ 0.94 $ 0.55 Extraordinary</w:t>
      </w:r>
    </w:p>
    <w:p>
      <w:pPr>
        <w:ind w:left="120"/>
        <w:spacing w:after="0"/>
        <w:rPr>
          <w:sz w:val="20"/>
          <w:szCs w:val="20"/>
          <w:color w:val="auto"/>
        </w:rPr>
      </w:pPr>
      <w:r>
        <w:rPr>
          <w:rFonts w:ascii="Courier New" w:cs="Courier New" w:eastAsia="Courier New" w:hAnsi="Courier New"/>
          <w:sz w:val="18"/>
          <w:szCs w:val="18"/>
          <w:color w:val="auto"/>
        </w:rPr>
        <w:t>item..................................... -- -- -- --</w:t>
      </w:r>
    </w:p>
    <w:p>
      <w:pPr>
        <w:ind w:left="700"/>
        <w:spacing w:after="0" w:line="237" w:lineRule="auto"/>
        <w:rPr>
          <w:sz w:val="20"/>
          <w:szCs w:val="20"/>
          <w:color w:val="auto"/>
        </w:rPr>
      </w:pPr>
      <w:r>
        <w:rPr>
          <w:rFonts w:ascii="Courier New" w:cs="Courier New" w:eastAsia="Courier New" w:hAnsi="Courier New"/>
          <w:sz w:val="18"/>
          <w:szCs w:val="18"/>
          <w:color w:val="auto"/>
        </w:rPr>
        <w:t>Cumulative effect of changes in accounting</w:t>
      </w:r>
    </w:p>
    <w:p>
      <w:pPr>
        <w:ind w:left="160"/>
        <w:spacing w:after="0"/>
        <w:rPr>
          <w:sz w:val="20"/>
          <w:szCs w:val="20"/>
          <w:color w:val="auto"/>
        </w:rPr>
      </w:pPr>
      <w:r>
        <w:rPr>
          <w:rFonts w:ascii="Courier New" w:cs="Courier New" w:eastAsia="Courier New" w:hAnsi="Courier New"/>
          <w:sz w:val="18"/>
          <w:szCs w:val="18"/>
          <w:color w:val="auto"/>
        </w:rPr>
        <w:t>principle... -- -- -- -- ------ ------ ------ ------</w:t>
      </w:r>
    </w:p>
    <w:p>
      <w:pPr>
        <w:spacing w:after="0" w:line="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Net</w:t>
      </w:r>
    </w:p>
    <w:p>
      <w:pPr>
        <w:spacing w:after="0" w:line="200" w:lineRule="exact"/>
        <w:rPr>
          <w:sz w:val="20"/>
          <w:szCs w:val="20"/>
          <w:color w:val="auto"/>
        </w:rPr>
      </w:pPr>
    </w:p>
    <w:p>
      <w:pPr>
        <w:spacing w:after="0" w:line="206" w:lineRule="exact"/>
        <w:rPr>
          <w:sz w:val="20"/>
          <w:szCs w:val="20"/>
          <w:color w:val="auto"/>
        </w:rPr>
      </w:pPr>
    </w:p>
    <w:p>
      <w:pPr>
        <w:ind w:left="280" w:right="4519" w:hanging="157"/>
        <w:spacing w:after="0" w:line="273" w:lineRule="auto"/>
        <w:rPr>
          <w:sz w:val="20"/>
          <w:szCs w:val="20"/>
          <w:color w:val="auto"/>
        </w:rPr>
      </w:pPr>
      <w:r>
        <w:rPr>
          <w:rFonts w:ascii="Courier New" w:cs="Courier New" w:eastAsia="Courier New" w:hAnsi="Courier New"/>
          <w:sz w:val="16"/>
          <w:szCs w:val="16"/>
          <w:color w:val="auto"/>
        </w:rPr>
        <w:t>income............................................... $ 0.38 $ 0.05 $ 0.94 $ 0.55 ====== ====== ====== ====== Cash dividends declared per common share................. $ 0.01 $ 0.01 $ 0.01 $ 0.01 ====== ====== ====== ======</w:t>
      </w:r>
    </w:p>
    <w:p>
      <w:pPr>
        <w:sectPr>
          <w:pgSz w:w="11900" w:h="16838" w:orient="portrait"/>
          <w:cols w:equalWidth="0" w:num="1">
            <w:col w:w="10219"/>
          </w:cols>
          <w:pgMar w:left="240" w:top="717" w:right="1440" w:bottom="137" w:gutter="0" w:footer="0" w:header="0"/>
        </w:sectPr>
      </w:pPr>
    </w:p>
    <w:bookmarkStart w:id="3" w:name="page4"/>
    <w:bookmarkEnd w:id="3"/>
    <w:p>
      <w:pPr>
        <w:jc w:val="center"/>
        <w:ind w:right="3039"/>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059"/>
          </w:cols>
          <w:pgMar w:left="1400" w:top="142" w:right="1440" w:bottom="1440" w:gutter="0" w:footer="0" w:header="0"/>
        </w:sectPr>
      </w:pPr>
    </w:p>
    <w:bookmarkStart w:id="4" w:name="page5"/>
    <w:bookmarkEnd w:id="4"/>
    <w:p>
      <w:pPr>
        <w:jc w:val="center"/>
        <w:ind w:right="175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CONDENSED CONSOLIDATED STATEMENTS OF CASH FLOWS</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 MILLIONS)</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NINE MONTHS ENDED SEPTEMBER 30, ----------------- 2002</w:t>
      </w:r>
    </w:p>
    <w:p>
      <w:pPr>
        <w:ind w:left="640"/>
        <w:spacing w:after="0" w:line="238" w:lineRule="auto"/>
        <w:rPr>
          <w:sz w:val="20"/>
          <w:szCs w:val="20"/>
          <w:color w:val="auto"/>
        </w:rPr>
      </w:pPr>
      <w:r>
        <w:rPr>
          <w:rFonts w:ascii="Courier New" w:cs="Courier New" w:eastAsia="Courier New" w:hAnsi="Courier New"/>
          <w:sz w:val="18"/>
          <w:szCs w:val="18"/>
          <w:color w:val="auto"/>
        </w:rPr>
        <w:t>2001 ------ -------- Cash flows from operating</w:t>
      </w:r>
    </w:p>
    <w:p>
      <w:pPr>
        <w:ind w:left="2280"/>
        <w:spacing w:after="0"/>
        <w:rPr>
          <w:sz w:val="20"/>
          <w:szCs w:val="20"/>
          <w:color w:val="auto"/>
        </w:rPr>
      </w:pPr>
      <w:r>
        <w:rPr>
          <w:rFonts w:ascii="Courier New" w:cs="Courier New" w:eastAsia="Courier New" w:hAnsi="Courier New"/>
          <w:sz w:val="18"/>
          <w:szCs w:val="18"/>
          <w:color w:val="auto"/>
        </w:rPr>
        <w:t>activities: Net</w:t>
      </w:r>
    </w:p>
    <w:p>
      <w:pPr>
        <w:ind w:left="120"/>
        <w:spacing w:after="0" w:line="237" w:lineRule="auto"/>
        <w:rPr>
          <w:sz w:val="20"/>
          <w:szCs w:val="20"/>
          <w:color w:val="auto"/>
        </w:rPr>
      </w:pPr>
      <w:r>
        <w:rPr>
          <w:rFonts w:ascii="Courier New" w:cs="Courier New" w:eastAsia="Courier New" w:hAnsi="Courier New"/>
          <w:sz w:val="18"/>
          <w:szCs w:val="18"/>
          <w:color w:val="auto"/>
        </w:rPr>
        <w:t>income................................................ $</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586 $ 345 Adjustments to reconcile net income to net cash</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provided by operating activities: Provision for bad</w:t>
      </w:r>
    </w:p>
    <w:tbl>
      <w:tblPr>
        <w:tblLayout w:type="fixed"/>
        <w:tblInd w:w="60" w:type="dxa"/>
        <w:tblCellMar>
          <w:top w:w="0" w:type="dxa"/>
          <w:left w:w="0" w:type="dxa"/>
          <w:bottom w:w="0" w:type="dxa"/>
          <w:right w:w="0" w:type="dxa"/>
        </w:tblCellMar>
      </w:tblPr>
      <w:tr>
        <w:trPr>
          <w:trHeight w:val="203"/>
        </w:trPr>
        <w:tc>
          <w:tcPr>
            <w:tcW w:w="3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debts..............................</w:t>
            </w:r>
          </w:p>
        </w:tc>
        <w:tc>
          <w:tcPr>
            <w:tcW w:w="2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26 10 Depreciation</w:t>
            </w:r>
          </w:p>
        </w:tc>
      </w:tr>
      <w:tr>
        <w:trPr>
          <w:trHeight w:val="203"/>
        </w:trPr>
        <w:tc>
          <w:tcPr>
            <w:tcW w:w="3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0"/>
              </w:rPr>
              <w:t>and amortization........................</w:t>
            </w:r>
          </w:p>
        </w:tc>
        <w:tc>
          <w:tcPr>
            <w:tcW w:w="2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918 1,028</w:t>
            </w:r>
          </w:p>
        </w:tc>
      </w:tr>
      <w:tr>
        <w:trPr>
          <w:trHeight w:val="203"/>
        </w:trPr>
        <w:tc>
          <w:tcPr>
            <w:tcW w:w="3940" w:type="dxa"/>
            <w:vAlign w:val="bottom"/>
          </w:tcPr>
          <w:p>
            <w:pPr>
              <w:jc w:val="right"/>
              <w:spacing w:after="0"/>
              <w:rPr>
                <w:sz w:val="20"/>
                <w:szCs w:val="20"/>
                <w:color w:val="auto"/>
              </w:rPr>
            </w:pPr>
            <w:r>
              <w:rPr>
                <w:rFonts w:ascii="Courier New" w:cs="Courier New" w:eastAsia="Courier New" w:hAnsi="Courier New"/>
                <w:sz w:val="16"/>
                <w:szCs w:val="16"/>
                <w:color w:val="auto"/>
                <w:w w:val="77"/>
              </w:rPr>
              <w:t>Deferred income tax provision........................</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w:t>
            </w:r>
          </w:p>
        </w:tc>
      </w:tr>
      <w:tr>
        <w:trPr>
          <w:trHeight w:val="203"/>
        </w:trPr>
        <w:tc>
          <w:tcPr>
            <w:tcW w:w="6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39 Minority interest in subsidiaries....................</w:t>
            </w:r>
          </w:p>
        </w:tc>
      </w:tr>
    </w:tbl>
    <w:p>
      <w:pPr>
        <w:ind w:left="60"/>
        <w:spacing w:after="0" w:line="238" w:lineRule="auto"/>
        <w:rPr>
          <w:sz w:val="20"/>
          <w:szCs w:val="20"/>
          <w:color w:val="auto"/>
        </w:rPr>
      </w:pPr>
      <w:r>
        <w:rPr>
          <w:rFonts w:ascii="Courier New" w:cs="Courier New" w:eastAsia="Courier New" w:hAnsi="Courier New"/>
          <w:sz w:val="18"/>
          <w:szCs w:val="18"/>
          <w:color w:val="auto"/>
        </w:rPr>
        <w:t>4 3 Net gain on disposal of assets.......................</w:t>
      </w:r>
    </w:p>
    <w:p>
      <w:pPr>
        <w:ind w:left="540"/>
        <w:spacing w:after="0"/>
        <w:rPr>
          <w:sz w:val="20"/>
          <w:szCs w:val="20"/>
          <w:color w:val="auto"/>
        </w:rPr>
      </w:pPr>
      <w:r>
        <w:rPr>
          <w:rFonts w:ascii="Courier New" w:cs="Courier New" w:eastAsia="Courier New" w:hAnsi="Courier New"/>
          <w:sz w:val="18"/>
          <w:szCs w:val="18"/>
          <w:color w:val="auto"/>
        </w:rPr>
        <w:t>(7) (15) Effect of asset impairments and unusual</w:t>
      </w:r>
    </w:p>
    <w:tbl>
      <w:tblPr>
        <w:tblLayout w:type="fixed"/>
        <w:tblInd w:w="160" w:type="dxa"/>
        <w:tblCellMar>
          <w:top w:w="0" w:type="dxa"/>
          <w:left w:w="0" w:type="dxa"/>
          <w:bottom w:w="0" w:type="dxa"/>
          <w:right w:w="0" w:type="dxa"/>
        </w:tblCellMar>
      </w:tblPr>
      <w:tr>
        <w:trPr>
          <w:trHeight w:val="202"/>
        </w:trPr>
        <w:tc>
          <w:tcPr>
            <w:tcW w:w="1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items........</w:t>
            </w:r>
          </w:p>
        </w:tc>
        <w:tc>
          <w:tcPr>
            <w:tcW w:w="15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6"/>
              </w:rPr>
              <w:t>(9) 362 Change</w:t>
            </w:r>
          </w:p>
        </w:tc>
        <w:tc>
          <w:tcPr>
            <w:tcW w:w="2800" w:type="dxa"/>
            <w:vAlign w:val="bottom"/>
            <w:gridSpan w:val="2"/>
          </w:tcPr>
          <w:p>
            <w:pPr>
              <w:ind w:left="60"/>
              <w:spacing w:after="0" w:line="202" w:lineRule="exact"/>
              <w:rPr>
                <w:sz w:val="20"/>
                <w:szCs w:val="20"/>
                <w:color w:val="auto"/>
              </w:rPr>
            </w:pPr>
            <w:r>
              <w:rPr>
                <w:rFonts w:ascii="Courier New" w:cs="Courier New" w:eastAsia="Courier New" w:hAnsi="Courier New"/>
                <w:sz w:val="18"/>
                <w:szCs w:val="18"/>
                <w:color w:val="auto"/>
                <w:w w:val="96"/>
              </w:rPr>
              <w:t>in assets and liabilities,</w:t>
            </w:r>
          </w:p>
        </w:tc>
      </w:tr>
      <w:tr>
        <w:trPr>
          <w:trHeight w:val="203"/>
        </w:trPr>
        <w:tc>
          <w:tcPr>
            <w:tcW w:w="5800" w:type="dxa"/>
            <w:vAlign w:val="bottom"/>
            <w:gridSpan w:val="4"/>
          </w:tcPr>
          <w:p>
            <w:pPr>
              <w:ind w:left="380"/>
              <w:spacing w:after="0" w:line="203" w:lineRule="exact"/>
              <w:rPr>
                <w:sz w:val="20"/>
                <w:szCs w:val="20"/>
                <w:color w:val="auto"/>
              </w:rPr>
            </w:pPr>
            <w:r>
              <w:rPr>
                <w:rFonts w:ascii="Courier New" w:cs="Courier New" w:eastAsia="Courier New" w:hAnsi="Courier New"/>
                <w:sz w:val="18"/>
                <w:szCs w:val="18"/>
                <w:color w:val="auto"/>
              </w:rPr>
              <w:t>net of effects of acquisitions and divestitures:</w:t>
            </w:r>
          </w:p>
        </w:tc>
      </w:tr>
      <w:tr>
        <w:trPr>
          <w:trHeight w:val="203"/>
        </w:trPr>
        <w:tc>
          <w:tcPr>
            <w:tcW w:w="3000" w:type="dxa"/>
            <w:vAlign w:val="bottom"/>
            <w:gridSpan w:val="2"/>
          </w:tcPr>
          <w:p>
            <w:pPr>
              <w:spacing w:after="0"/>
              <w:rPr>
                <w:sz w:val="20"/>
                <w:szCs w:val="20"/>
                <w:color w:val="auto"/>
              </w:rPr>
            </w:pPr>
            <w:r>
              <w:rPr>
                <w:rFonts w:ascii="Courier New" w:cs="Courier New" w:eastAsia="Courier New" w:hAnsi="Courier New"/>
                <w:sz w:val="14"/>
                <w:szCs w:val="14"/>
                <w:color w:val="auto"/>
                <w:w w:val="70"/>
              </w:rPr>
              <w:t>Receivables.......................................</w:t>
            </w:r>
          </w:p>
        </w:tc>
        <w:tc>
          <w:tcPr>
            <w:tcW w:w="18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4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(80) Prepaid expenses and other current assets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 11</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Other</w:t>
            </w:r>
          </w:p>
        </w:tc>
        <w:tc>
          <w:tcPr>
            <w:tcW w:w="960" w:type="dxa"/>
            <w:vAlign w:val="bottom"/>
          </w:tcPr>
          <w:p>
            <w:pPr>
              <w:spacing w:after="0"/>
              <w:rPr>
                <w:sz w:val="17"/>
                <w:szCs w:val="17"/>
                <w:color w:val="auto"/>
              </w:rPr>
            </w:pPr>
          </w:p>
        </w:tc>
      </w:tr>
      <w:tr>
        <w:trPr>
          <w:trHeight w:val="203"/>
        </w:trPr>
        <w:tc>
          <w:tcPr>
            <w:tcW w:w="3000" w:type="dxa"/>
            <w:vAlign w:val="bottom"/>
            <w:gridSpan w:val="2"/>
          </w:tcPr>
          <w:p>
            <w:pPr>
              <w:ind w:left="220"/>
              <w:spacing w:after="0"/>
              <w:rPr>
                <w:sz w:val="20"/>
                <w:szCs w:val="20"/>
                <w:color w:val="auto"/>
              </w:rPr>
            </w:pPr>
            <w:r>
              <w:rPr>
                <w:rFonts w:ascii="Courier New" w:cs="Courier New" w:eastAsia="Courier New" w:hAnsi="Courier New"/>
                <w:sz w:val="14"/>
                <w:szCs w:val="14"/>
                <w:color w:val="auto"/>
                <w:w w:val="74"/>
              </w:rPr>
              <w:t>assets......................................</w:t>
            </w:r>
          </w:p>
        </w:tc>
        <w:tc>
          <w:tcPr>
            <w:tcW w:w="18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 (16)</w:t>
            </w:r>
          </w:p>
        </w:tc>
      </w:tr>
      <w:tr>
        <w:trPr>
          <w:trHeight w:val="203"/>
        </w:trPr>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Accounts payable and accrued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7"/>
              </w:rPr>
              <w:t>liabilities..........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r>
    </w:tbl>
    <w:p>
      <w:pPr>
        <w:ind w:left="120"/>
        <w:spacing w:after="0" w:line="238" w:lineRule="auto"/>
        <w:rPr>
          <w:sz w:val="20"/>
          <w:szCs w:val="20"/>
          <w:color w:val="auto"/>
        </w:rPr>
      </w:pPr>
      <w:r>
        <w:rPr>
          <w:rFonts w:ascii="Courier New" w:cs="Courier New" w:eastAsia="Courier New" w:hAnsi="Courier New"/>
          <w:sz w:val="18"/>
          <w:szCs w:val="18"/>
          <w:color w:val="auto"/>
        </w:rPr>
        <w:t>(153) Deferred revenues and other liabilities...........</w:t>
      </w:r>
    </w:p>
    <w:p>
      <w:pPr>
        <w:ind w:left="320"/>
        <w:spacing w:after="0"/>
        <w:rPr>
          <w:sz w:val="20"/>
          <w:szCs w:val="20"/>
          <w:color w:val="auto"/>
        </w:rPr>
      </w:pPr>
      <w:r>
        <w:rPr>
          <w:rFonts w:ascii="Courier New" w:cs="Courier New" w:eastAsia="Courier New" w:hAnsi="Courier New"/>
          <w:sz w:val="18"/>
          <w:szCs w:val="18"/>
          <w:color w:val="auto"/>
        </w:rPr>
        <w:t>28 (26) ----- ------- Net cash provided by operating</w:t>
      </w:r>
    </w:p>
    <w:tbl>
      <w:tblPr>
        <w:tblLayout w:type="fixed"/>
        <w:tblInd w:w="120" w:type="dxa"/>
        <w:tblCellMar>
          <w:top w:w="0" w:type="dxa"/>
          <w:left w:w="0" w:type="dxa"/>
          <w:bottom w:w="0" w:type="dxa"/>
          <w:right w:w="0" w:type="dxa"/>
        </w:tblCellMar>
      </w:tblPr>
      <w:tr>
        <w:trPr>
          <w:trHeight w:val="202"/>
        </w:trPr>
        <w:tc>
          <w:tcPr>
            <w:tcW w:w="2580" w:type="dxa"/>
            <w:vAlign w:val="bottom"/>
          </w:tcPr>
          <w:p>
            <w:pPr>
              <w:ind w:left="40"/>
              <w:spacing w:after="0" w:line="202" w:lineRule="exact"/>
              <w:rPr>
                <w:sz w:val="20"/>
                <w:szCs w:val="20"/>
                <w:color w:val="auto"/>
              </w:rPr>
            </w:pPr>
            <w:r>
              <w:rPr>
                <w:rFonts w:ascii="Courier New" w:cs="Courier New" w:eastAsia="Courier New" w:hAnsi="Courier New"/>
                <w:sz w:val="18"/>
                <w:szCs w:val="18"/>
                <w:color w:val="auto"/>
                <w:w w:val="80"/>
              </w:rPr>
              <w:t>activities...................</w:t>
            </w:r>
          </w:p>
        </w:tc>
        <w:tc>
          <w:tcPr>
            <w:tcW w:w="332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1,527 1,508 ----- -------</w:t>
            </w:r>
          </w:p>
        </w:tc>
      </w:tr>
      <w:tr>
        <w:trPr>
          <w:trHeight w:val="203"/>
        </w:trPr>
        <w:tc>
          <w:tcPr>
            <w:tcW w:w="5900" w:type="dxa"/>
            <w:vAlign w:val="bottom"/>
            <w:gridSpan w:val="3"/>
          </w:tcPr>
          <w:p>
            <w:pPr>
              <w:ind w:left="140"/>
              <w:spacing w:after="0" w:line="203" w:lineRule="exact"/>
              <w:rPr>
                <w:sz w:val="20"/>
                <w:szCs w:val="20"/>
                <w:color w:val="auto"/>
              </w:rPr>
            </w:pPr>
            <w:r>
              <w:rPr>
                <w:rFonts w:ascii="Courier New" w:cs="Courier New" w:eastAsia="Courier New" w:hAnsi="Courier New"/>
                <w:sz w:val="18"/>
                <w:szCs w:val="18"/>
                <w:color w:val="auto"/>
              </w:rPr>
              <w:t>Cash flows from investing activities: Acquisitions of</w:t>
            </w:r>
          </w:p>
        </w:tc>
      </w:tr>
      <w:tr>
        <w:trPr>
          <w:trHeight w:val="203"/>
        </w:trPr>
        <w:tc>
          <w:tcPr>
            <w:tcW w:w="462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8"/>
              </w:rPr>
              <w:t>businesses, net of cash acquired..........</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(125) (95)</w:t>
            </w:r>
          </w:p>
        </w:tc>
      </w:tr>
      <w:tr>
        <w:trPr>
          <w:trHeight w:val="203"/>
        </w:trPr>
        <w:tc>
          <w:tcPr>
            <w:tcW w:w="2580" w:type="dxa"/>
            <w:vAlign w:val="bottom"/>
          </w:tcPr>
          <w:p>
            <w:pPr>
              <w:spacing w:after="0"/>
              <w:rPr>
                <w:sz w:val="17"/>
                <w:szCs w:val="17"/>
                <w:color w:val="auto"/>
              </w:rPr>
            </w:pPr>
          </w:p>
        </w:tc>
        <w:tc>
          <w:tcPr>
            <w:tcW w:w="204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w:t>
            </w:r>
          </w:p>
        </w:tc>
        <w:tc>
          <w:tcPr>
            <w:tcW w:w="1280" w:type="dxa"/>
            <w:vAlign w:val="bottom"/>
          </w:tcPr>
          <w:p>
            <w:pPr>
              <w:spacing w:after="0"/>
              <w:rPr>
                <w:sz w:val="17"/>
                <w:szCs w:val="17"/>
                <w:color w:val="auto"/>
              </w:rPr>
            </w:pPr>
          </w:p>
        </w:tc>
      </w:tr>
      <w:tr>
        <w:trPr>
          <w:trHeight w:val="203"/>
        </w:trPr>
        <w:tc>
          <w:tcPr>
            <w:tcW w:w="4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5"/>
              </w:rPr>
              <w:t>expenditures......................................</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(914)</w:t>
            </w:r>
          </w:p>
        </w:tc>
      </w:tr>
    </w:tbl>
    <w:p>
      <w:pPr>
        <w:spacing w:after="0" w:line="4" w:lineRule="exact"/>
        <w:rPr>
          <w:sz w:val="20"/>
          <w:szCs w:val="20"/>
          <w:color w:val="auto"/>
        </w:rPr>
      </w:pPr>
    </w:p>
    <w:p>
      <w:pPr>
        <w:ind w:left="1320" w:right="4319" w:hanging="1104"/>
        <w:spacing w:after="0" w:line="235" w:lineRule="auto"/>
        <w:tabs>
          <w:tab w:leader="none" w:pos="84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Proceeds from divestitures of businesses, net of cash divested, and other sales of</w:t>
      </w:r>
    </w:p>
    <w:p>
      <w:pPr>
        <w:ind w:left="1380"/>
        <w:spacing w:after="0"/>
        <w:tabs>
          <w:tab w:leader="dot" w:pos="4200" w:val="left"/>
        </w:tabs>
        <w:rPr>
          <w:sz w:val="20"/>
          <w:szCs w:val="20"/>
          <w:color w:val="auto"/>
        </w:rPr>
      </w:pPr>
      <w:r>
        <w:rPr>
          <w:rFonts w:ascii="Courier New" w:cs="Courier New" w:eastAsia="Courier New" w:hAnsi="Courier New"/>
          <w:sz w:val="18"/>
          <w:szCs w:val="18"/>
          <w:color w:val="auto"/>
        </w:rPr>
        <w:t>assets</w:t>
      </w:r>
      <w:r>
        <w:rPr>
          <w:sz w:val="20"/>
          <w:szCs w:val="20"/>
          <w:color w:val="auto"/>
        </w:rPr>
        <w:tab/>
      </w:r>
      <w:r>
        <w:rPr>
          <w:rFonts w:ascii="Courier New" w:cs="Courier New" w:eastAsia="Courier New" w:hAnsi="Courier New"/>
          <w:sz w:val="16"/>
          <w:szCs w:val="16"/>
          <w:color w:val="auto"/>
        </w:rPr>
        <w:t>82 42</w:t>
      </w:r>
    </w:p>
    <w:p>
      <w:pPr>
        <w:spacing w:after="0"/>
        <w:tabs>
          <w:tab w:leader="none" w:pos="520" w:val="left"/>
        </w:tabs>
        <w:rPr>
          <w:sz w:val="20"/>
          <w:szCs w:val="20"/>
          <w:color w:val="auto"/>
        </w:rPr>
      </w:pPr>
      <w:r>
        <w:rPr>
          <w:rFonts w:ascii="Courier New" w:cs="Courier New" w:eastAsia="Courier New" w:hAnsi="Courier New"/>
          <w:sz w:val="18"/>
          <w:szCs w:val="18"/>
          <w:color w:val="auto"/>
        </w:rPr>
        <w:t>Other</w:t>
      </w:r>
      <w:r>
        <w:rPr>
          <w:sz w:val="20"/>
          <w:szCs w:val="20"/>
          <w:color w:val="auto"/>
        </w:rPr>
        <w:tab/>
      </w:r>
      <w:r>
        <w:rPr>
          <w:rFonts w:ascii="Courier New" w:cs="Courier New" w:eastAsia="Courier New" w:hAnsi="Courier New"/>
          <w:sz w:val="16"/>
          <w:szCs w:val="16"/>
          <w:color w:val="auto"/>
        </w:rPr>
        <w:t>.....................................................</w:t>
      </w:r>
    </w:p>
    <w:p>
      <w:pPr>
        <w:ind w:left="540"/>
        <w:spacing w:after="0"/>
        <w:rPr>
          <w:sz w:val="20"/>
          <w:szCs w:val="20"/>
          <w:color w:val="auto"/>
        </w:rPr>
      </w:pPr>
      <w:r>
        <w:rPr>
          <w:rFonts w:ascii="Courier New" w:cs="Courier New" w:eastAsia="Courier New" w:hAnsi="Courier New"/>
          <w:sz w:val="18"/>
          <w:szCs w:val="18"/>
          <w:color w:val="auto"/>
        </w:rPr>
        <w:t>174 109 ----- ------- Net cash used in investing</w:t>
      </w:r>
    </w:p>
    <w:p>
      <w:pPr>
        <w:ind w:left="60"/>
        <w:spacing w:after="0"/>
        <w:tabs>
          <w:tab w:leader="dot" w:pos="3620" w:val="left"/>
        </w:tabs>
        <w:rPr>
          <w:sz w:val="20"/>
          <w:szCs w:val="20"/>
          <w:color w:val="auto"/>
        </w:rPr>
      </w:pPr>
      <w:r>
        <w:rPr>
          <w:rFonts w:ascii="Courier New" w:cs="Courier New" w:eastAsia="Courier New" w:hAnsi="Courier New"/>
          <w:sz w:val="18"/>
          <w:szCs w:val="18"/>
          <w:color w:val="auto"/>
        </w:rPr>
        <w:t>activities</w:t>
      </w:r>
      <w:r>
        <w:rPr>
          <w:sz w:val="20"/>
          <w:szCs w:val="20"/>
          <w:color w:val="auto"/>
        </w:rPr>
        <w:tab/>
      </w:r>
      <w:r>
        <w:rPr>
          <w:rFonts w:ascii="Courier New" w:cs="Courier New" w:eastAsia="Courier New" w:hAnsi="Courier New"/>
          <w:sz w:val="16"/>
          <w:szCs w:val="16"/>
          <w:color w:val="auto"/>
        </w:rPr>
        <w:t>(783) (787) ----- -----</w:t>
      </w:r>
    </w:p>
    <w:p>
      <w:pPr>
        <w:spacing w:after="0" w:line="5" w:lineRule="exact"/>
        <w:rPr>
          <w:sz w:val="20"/>
          <w:szCs w:val="20"/>
          <w:color w:val="auto"/>
        </w:rPr>
      </w:pPr>
    </w:p>
    <w:p>
      <w:pPr>
        <w:ind w:left="220" w:right="4319" w:firstLine="575"/>
        <w:spacing w:after="0" w:line="268" w:lineRule="auto"/>
        <w:tabs>
          <w:tab w:leader="none" w:pos="1116"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flows from financing activities New borrowings............................................</w:t>
      </w:r>
    </w:p>
    <w:p>
      <w:pPr>
        <w:jc w:val="center"/>
        <w:ind w:right="4099"/>
        <w:spacing w:after="0" w:line="233" w:lineRule="auto"/>
        <w:rPr>
          <w:sz w:val="20"/>
          <w:szCs w:val="20"/>
          <w:color w:val="auto"/>
        </w:rPr>
      </w:pPr>
      <w:r>
        <w:rPr>
          <w:rFonts w:ascii="Courier New" w:cs="Courier New" w:eastAsia="Courier New" w:hAnsi="Courier New"/>
          <w:sz w:val="18"/>
          <w:szCs w:val="18"/>
          <w:color w:val="auto"/>
        </w:rPr>
        <w:t>498 1,230 Debt</w:t>
      </w:r>
    </w:p>
    <w:p>
      <w:pPr>
        <w:ind w:left="260"/>
        <w:spacing w:after="0"/>
        <w:rPr>
          <w:sz w:val="20"/>
          <w:szCs w:val="20"/>
          <w:color w:val="auto"/>
        </w:rPr>
      </w:pPr>
      <w:r>
        <w:rPr>
          <w:rFonts w:ascii="Courier New" w:cs="Courier New" w:eastAsia="Courier New" w:hAnsi="Courier New"/>
          <w:sz w:val="18"/>
          <w:szCs w:val="18"/>
          <w:color w:val="auto"/>
        </w:rPr>
        <w:t>repayments...........................................</w:t>
      </w:r>
    </w:p>
    <w:p>
      <w:pPr>
        <w:ind w:left="1700"/>
        <w:spacing w:after="0" w:line="237" w:lineRule="auto"/>
        <w:rPr>
          <w:sz w:val="20"/>
          <w:szCs w:val="20"/>
          <w:color w:val="auto"/>
        </w:rPr>
      </w:pPr>
      <w:r>
        <w:rPr>
          <w:rFonts w:ascii="Courier New" w:cs="Courier New" w:eastAsia="Courier New" w:hAnsi="Courier New"/>
          <w:sz w:val="18"/>
          <w:szCs w:val="18"/>
          <w:color w:val="auto"/>
        </w:rPr>
        <w:t>(781) (1,995) Common stock</w:t>
      </w:r>
    </w:p>
    <w:tbl>
      <w:tblPr>
        <w:tblLayout w:type="fixed"/>
        <w:tblInd w:w="0" w:type="dxa"/>
        <w:tblCellMar>
          <w:top w:w="0" w:type="dxa"/>
          <w:left w:w="0" w:type="dxa"/>
          <w:bottom w:w="0" w:type="dxa"/>
          <w:right w:w="0" w:type="dxa"/>
        </w:tblCellMar>
      </w:tblPr>
      <w:tr>
        <w:trPr>
          <w:trHeight w:val="203"/>
        </w:trPr>
        <w:tc>
          <w:tcPr>
            <w:tcW w:w="42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6"/>
              </w:rPr>
              <w:t>repurchases..................................</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(561)</w:t>
            </w: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gridSpan w:val="3"/>
          </w:tcPr>
          <w:p>
            <w:pPr>
              <w:jc w:val="right"/>
              <w:ind w:right="592"/>
              <w:spacing w:after="0" w:line="203" w:lineRule="exact"/>
              <w:rPr>
                <w:sz w:val="20"/>
                <w:szCs w:val="20"/>
                <w:color w:val="auto"/>
              </w:rPr>
            </w:pPr>
            <w:r>
              <w:rPr>
                <w:rFonts w:ascii="Courier New" w:cs="Courier New" w:eastAsia="Courier New" w:hAnsi="Courier New"/>
                <w:sz w:val="18"/>
                <w:szCs w:val="18"/>
                <w:color w:val="auto"/>
              </w:rPr>
              <w:t>Exercise of common stock options and</w:t>
            </w:r>
          </w:p>
        </w:tc>
        <w:tc>
          <w:tcPr>
            <w:tcW w:w="420" w:type="dxa"/>
            <w:vAlign w:val="bottom"/>
          </w:tcPr>
          <w:p>
            <w:pPr>
              <w:spacing w:after="0"/>
              <w:rPr>
                <w:sz w:val="17"/>
                <w:szCs w:val="17"/>
                <w:color w:val="auto"/>
              </w:rPr>
            </w:pPr>
          </w:p>
        </w:tc>
      </w:tr>
      <w:tr>
        <w:trPr>
          <w:trHeight w:val="203"/>
        </w:trPr>
        <w:tc>
          <w:tcPr>
            <w:tcW w:w="3640" w:type="dxa"/>
            <w:vAlign w:val="bottom"/>
          </w:tcPr>
          <w:p>
            <w:pPr>
              <w:ind w:left="1640"/>
              <w:spacing w:after="0" w:line="203" w:lineRule="exact"/>
              <w:rPr>
                <w:sz w:val="20"/>
                <w:szCs w:val="20"/>
                <w:color w:val="auto"/>
              </w:rPr>
            </w:pPr>
            <w:r>
              <w:rPr>
                <w:rFonts w:ascii="Courier New" w:cs="Courier New" w:eastAsia="Courier New" w:hAnsi="Courier New"/>
                <w:sz w:val="18"/>
                <w:szCs w:val="18"/>
                <w:color w:val="auto"/>
                <w:w w:val="87"/>
              </w:rPr>
              <w:t>warrants.............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46</w:t>
            </w:r>
          </w:p>
        </w:tc>
        <w:tc>
          <w:tcPr>
            <w:tcW w:w="420" w:type="dxa"/>
            <w:vAlign w:val="bottom"/>
          </w:tcPr>
          <w:p>
            <w:pPr>
              <w:spacing w:after="0"/>
              <w:rPr>
                <w:sz w:val="17"/>
                <w:szCs w:val="17"/>
                <w:color w:val="auto"/>
              </w:rPr>
            </w:pPr>
          </w:p>
        </w:tc>
      </w:tr>
      <w:tr>
        <w:trPr>
          <w:trHeight w:val="203"/>
        </w:trPr>
        <w:tc>
          <w:tcPr>
            <w:tcW w:w="4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5"/>
              </w:rPr>
              <w:t>Other.....................................................</w:t>
            </w: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5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(19) ----- ------- Net cash used in financing</w:t>
            </w:r>
          </w:p>
        </w:tc>
        <w:tc>
          <w:tcPr>
            <w:tcW w:w="420" w:type="dxa"/>
            <w:vAlign w:val="bottom"/>
          </w:tcPr>
          <w:p>
            <w:pPr>
              <w:spacing w:after="0"/>
              <w:rPr>
                <w:sz w:val="17"/>
                <w:szCs w:val="17"/>
                <w:color w:val="auto"/>
              </w:rPr>
            </w:pPr>
          </w:p>
        </w:tc>
      </w:tr>
      <w:tr>
        <w:trPr>
          <w:trHeight w:val="203"/>
        </w:trPr>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activities.......................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(819)</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(738) ----- -----</w:t>
            </w:r>
          </w:p>
        </w:tc>
      </w:tr>
    </w:tbl>
    <w:p>
      <w:pPr>
        <w:spacing w:after="0" w:line="4" w:lineRule="exact"/>
        <w:rPr>
          <w:sz w:val="20"/>
          <w:szCs w:val="20"/>
          <w:color w:val="auto"/>
        </w:rPr>
      </w:pPr>
    </w:p>
    <w:p>
      <w:pPr>
        <w:ind w:right="4099" w:firstLine="374"/>
        <w:spacing w:after="0" w:line="268" w:lineRule="auto"/>
        <w:tabs>
          <w:tab w:leader="none" w:pos="68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exchange rate changes on cash and cash equivalents...............................................</w:t>
      </w:r>
    </w:p>
    <w:p>
      <w:pPr>
        <w:ind w:left="6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 (2) ----- ------- Decrease in cash and cash</w:t>
      </w:r>
    </w:p>
    <w:p>
      <w:pPr>
        <w:spacing w:after="0" w:line="203" w:lineRule="exact"/>
        <w:rPr>
          <w:sz w:val="20"/>
          <w:szCs w:val="20"/>
          <w:color w:val="auto"/>
        </w:rPr>
      </w:pPr>
    </w:p>
    <w:p>
      <w:pPr>
        <w:ind w:left="160" w:right="4259" w:firstLine="105"/>
        <w:spacing w:after="0" w:line="275" w:lineRule="auto"/>
        <w:rPr>
          <w:sz w:val="20"/>
          <w:szCs w:val="20"/>
          <w:color w:val="auto"/>
        </w:rPr>
      </w:pPr>
      <w:r>
        <w:rPr>
          <w:rFonts w:ascii="Courier New" w:cs="Courier New" w:eastAsia="Courier New" w:hAnsi="Courier New"/>
          <w:sz w:val="16"/>
          <w:szCs w:val="16"/>
          <w:color w:val="auto"/>
        </w:rPr>
        <w:t>equivalents....................... (74) (19) Cash and cash equivalents at beginning of period............ 730 94 ----- ------- Cash and cash equivalents at end of period.................. $ 656 $ 75 ===== =======</w:t>
      </w:r>
    </w:p>
    <w:p>
      <w:pPr>
        <w:spacing w:after="0" w:line="38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5" w:name="page6"/>
    <w:bookmarkEnd w:id="5"/>
    <w:p>
      <w:pPr>
        <w:jc w:val="center"/>
        <w:ind w:right="1759"/>
        <w:spacing w:after="0"/>
        <w:rPr>
          <w:sz w:val="20"/>
          <w:szCs w:val="20"/>
          <w:color w:val="auto"/>
        </w:rPr>
      </w:pPr>
      <w:r>
        <w:rPr>
          <w:rFonts w:ascii="Courier New" w:cs="Courier New" w:eastAsia="Courier New" w:hAnsi="Courier New"/>
          <w:sz w:val="18"/>
          <w:szCs w:val="18"/>
          <w:color w:val="auto"/>
        </w:rPr>
        <w:t>WASTE MANAGEMENT, INC.</w:t>
      </w:r>
    </w:p>
    <w:p>
      <w:pPr>
        <w:spacing w:after="0" w:line="207" w:lineRule="exact"/>
        <w:rPr>
          <w:sz w:val="20"/>
          <w:szCs w:val="20"/>
          <w:color w:val="auto"/>
        </w:rPr>
      </w:pPr>
    </w:p>
    <w:p>
      <w:pPr>
        <w:jc w:val="center"/>
        <w:ind w:left="1520"/>
        <w:spacing w:after="0" w:line="236" w:lineRule="auto"/>
        <w:rPr>
          <w:sz w:val="20"/>
          <w:szCs w:val="20"/>
          <w:color w:val="auto"/>
        </w:rPr>
      </w:pPr>
      <w:r>
        <w:rPr>
          <w:rFonts w:ascii="Courier New" w:cs="Courier New" w:eastAsia="Courier New" w:hAnsi="Courier New"/>
          <w:sz w:val="18"/>
          <w:szCs w:val="18"/>
          <w:color w:val="auto"/>
        </w:rPr>
        <w:t>CONDENSED CONSOLIDATED STATEMENT OF STOCKHOLDERS' EQUITY (IN MILLIONS, EXCEPT SHARES IN THOUSANDS) (UNAUDITED)</w:t>
      </w:r>
    </w:p>
    <w:p>
      <w:pPr>
        <w:spacing w:after="0" w:line="203"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8"/>
          <w:szCs w:val="18"/>
          <w:color w:val="auto"/>
        </w:rPr>
        <w:t>ACCUMULATED COMMON STOCK</w:t>
      </w:r>
    </w:p>
    <w:p>
      <w:pPr>
        <w:ind w:left="60"/>
        <w:spacing w:after="0" w:line="238" w:lineRule="auto"/>
        <w:rPr>
          <w:sz w:val="20"/>
          <w:szCs w:val="20"/>
          <w:color w:val="auto"/>
        </w:rPr>
      </w:pPr>
      <w:r>
        <w:rPr>
          <w:rFonts w:ascii="Courier New" w:cs="Courier New" w:eastAsia="Courier New" w:hAnsi="Courier New"/>
          <w:sz w:val="18"/>
          <w:szCs w:val="18"/>
          <w:color w:val="auto"/>
        </w:rPr>
        <w:t>ADDITIONAL OTHER RESTRICTED</w:t>
      </w:r>
    </w:p>
    <w:p>
      <w:pPr>
        <w:ind w:left="60"/>
        <w:spacing w:after="0"/>
        <w:rPr>
          <w:sz w:val="20"/>
          <w:szCs w:val="20"/>
          <w:color w:val="auto"/>
        </w:rPr>
      </w:pPr>
      <w:r>
        <w:rPr>
          <w:rFonts w:ascii="Courier New" w:cs="Courier New" w:eastAsia="Courier New" w:hAnsi="Courier New"/>
          <w:sz w:val="18"/>
          <w:szCs w:val="18"/>
          <w:color w:val="auto"/>
        </w:rPr>
        <w:t>STOCK TREASURY STOCK ------</w:t>
      </w:r>
    </w:p>
    <w:p>
      <w:pPr>
        <w:ind w:left="60"/>
        <w:spacing w:after="0" w:line="237" w:lineRule="auto"/>
        <w:rPr>
          <w:sz w:val="20"/>
          <w:szCs w:val="20"/>
          <w:color w:val="auto"/>
        </w:rPr>
      </w:pPr>
      <w:r>
        <w:rPr>
          <w:rFonts w:ascii="Courier New" w:cs="Courier New" w:eastAsia="Courier New" w:hAnsi="Courier New"/>
          <w:sz w:val="18"/>
          <w:szCs w:val="18"/>
          <w:color w:val="auto"/>
        </w:rPr>
        <w:t>---------- PAID-IN RETAINED</w:t>
      </w:r>
    </w:p>
    <w:p>
      <w:pPr>
        <w:ind w:left="60"/>
        <w:spacing w:after="0" w:line="238" w:lineRule="auto"/>
        <w:rPr>
          <w:sz w:val="20"/>
          <w:szCs w:val="20"/>
          <w:color w:val="auto"/>
        </w:rPr>
      </w:pPr>
      <w:r>
        <w:rPr>
          <w:rFonts w:ascii="Courier New" w:cs="Courier New" w:eastAsia="Courier New" w:hAnsi="Courier New"/>
          <w:sz w:val="18"/>
          <w:szCs w:val="18"/>
          <w:color w:val="auto"/>
        </w:rPr>
        <w:t>COMPREHENSIVE UNEARNED ----</w:t>
      </w:r>
    </w:p>
    <w:p>
      <w:pPr>
        <w:ind w:left="160"/>
        <w:spacing w:after="0"/>
        <w:rPr>
          <w:sz w:val="20"/>
          <w:szCs w:val="20"/>
          <w:color w:val="auto"/>
        </w:rPr>
      </w:pPr>
      <w:r>
        <w:rPr>
          <w:rFonts w:ascii="Courier New" w:cs="Courier New" w:eastAsia="Courier New" w:hAnsi="Courier New"/>
          <w:sz w:val="18"/>
          <w:szCs w:val="18"/>
          <w:color w:val="auto"/>
        </w:rPr>
        <w:t>----------- SHARES AMOUNT</w:t>
      </w:r>
    </w:p>
    <w:p>
      <w:pPr>
        <w:jc w:val="center"/>
        <w:ind w:right="7259"/>
        <w:spacing w:after="0" w:line="237" w:lineRule="auto"/>
        <w:rPr>
          <w:sz w:val="20"/>
          <w:szCs w:val="20"/>
          <w:color w:val="auto"/>
        </w:rPr>
      </w:pPr>
      <w:r>
        <w:rPr>
          <w:rFonts w:ascii="Courier New" w:cs="Courier New" w:eastAsia="Courier New" w:hAnsi="Courier New"/>
          <w:sz w:val="18"/>
          <w:szCs w:val="18"/>
          <w:color w:val="auto"/>
        </w:rPr>
        <w:t>CAPITAL EARNINGS LOSS</w:t>
      </w:r>
    </w:p>
    <w:p>
      <w:pPr>
        <w:jc w:val="center"/>
        <w:ind w:right="7259"/>
        <w:spacing w:after="0"/>
        <w:rPr>
          <w:sz w:val="20"/>
          <w:szCs w:val="20"/>
          <w:color w:val="auto"/>
        </w:rPr>
      </w:pPr>
      <w:r>
        <w:rPr>
          <w:rFonts w:ascii="Courier New" w:cs="Courier New" w:eastAsia="Courier New" w:hAnsi="Courier New"/>
          <w:sz w:val="18"/>
          <w:szCs w:val="18"/>
          <w:color w:val="auto"/>
        </w:rPr>
        <w:t>COMPENSATION SHARES AMOUNT</w:t>
      </w:r>
    </w:p>
    <w:p>
      <w:pPr>
        <w:ind w:left="60"/>
        <w:spacing w:after="0" w:line="237" w:lineRule="auto"/>
        <w:rPr>
          <w:sz w:val="20"/>
          <w:szCs w:val="20"/>
          <w:color w:val="auto"/>
        </w:rPr>
      </w:pPr>
      <w:r>
        <w:rPr>
          <w:rFonts w:ascii="Courier New" w:cs="Courier New" w:eastAsia="Courier New" w:hAnsi="Courier New"/>
          <w:sz w:val="18"/>
          <w:szCs w:val="18"/>
          <w:color w:val="auto"/>
        </w:rPr>
        <w:t>------- ------ ---------- -</w:t>
      </w:r>
    </w:p>
    <w:p>
      <w:pPr>
        <w:ind w:left="60"/>
        <w:spacing w:after="0"/>
        <w:rPr>
          <w:sz w:val="20"/>
          <w:szCs w:val="20"/>
          <w:color w:val="auto"/>
        </w:rPr>
      </w:pPr>
      <w:r>
        <w:rPr>
          <w:rFonts w:ascii="Courier New" w:cs="Courier New" w:eastAsia="Courier New" w:hAnsi="Courier New"/>
          <w:sz w:val="18"/>
          <w:szCs w:val="18"/>
          <w:color w:val="auto"/>
        </w:rPr>
        <w:t>------- ------------- -----</w:t>
      </w:r>
    </w:p>
    <w:tbl>
      <w:tblPr>
        <w:tblLayout w:type="fixed"/>
        <w:tblInd w:w="60" w:type="dxa"/>
        <w:tblCellMar>
          <w:top w:w="0" w:type="dxa"/>
          <w:left w:w="0" w:type="dxa"/>
          <w:bottom w:w="0" w:type="dxa"/>
          <w:right w:w="0" w:type="dxa"/>
        </w:tblCellMar>
      </w:tblPr>
      <w:tr>
        <w:trPr>
          <w:trHeight w:val="202"/>
        </w:trPr>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71"/>
              </w:rPr>
              <w:t>-----------</w:t>
            </w:r>
          </w:p>
        </w:tc>
        <w:tc>
          <w:tcPr>
            <w:tcW w:w="2060" w:type="dxa"/>
            <w:vAlign w:val="bottom"/>
            <w:gridSpan w:val="3"/>
          </w:tcPr>
          <w:p>
            <w:pPr>
              <w:jc w:val="right"/>
              <w:ind w:right="12"/>
              <w:spacing w:after="0" w:line="202" w:lineRule="exact"/>
              <w:rPr>
                <w:sz w:val="20"/>
                <w:szCs w:val="20"/>
                <w:color w:val="auto"/>
              </w:rPr>
            </w:pPr>
            <w:r>
              <w:rPr>
                <w:rFonts w:ascii="Courier New" w:cs="Courier New" w:eastAsia="Courier New" w:hAnsi="Courier New"/>
                <w:sz w:val="18"/>
                <w:szCs w:val="18"/>
                <w:color w:val="auto"/>
              </w:rPr>
              <w:t>------ ------</w:t>
            </w:r>
          </w:p>
        </w:tc>
      </w:tr>
      <w:tr>
        <w:trPr>
          <w:trHeight w:val="203"/>
        </w:trPr>
        <w:tc>
          <w:tcPr>
            <w:tcW w:w="260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9"/>
              </w:rPr>
              <w:t>Balance, December 31,</w:t>
            </w:r>
          </w:p>
        </w:tc>
        <w:tc>
          <w:tcPr>
            <w:tcW w:w="240" w:type="dxa"/>
            <w:vAlign w:val="bottom"/>
          </w:tcPr>
          <w:p>
            <w:pPr>
              <w:spacing w:after="0"/>
              <w:rPr>
                <w:sz w:val="17"/>
                <w:szCs w:val="17"/>
                <w:color w:val="auto"/>
              </w:rPr>
            </w:pPr>
          </w:p>
        </w:tc>
      </w:tr>
      <w:tr>
        <w:trPr>
          <w:trHeight w:val="203"/>
        </w:trPr>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7"/>
              </w:rPr>
              <w:t>2001....</w:t>
            </w:r>
          </w:p>
        </w:tc>
        <w:tc>
          <w:tcPr>
            <w:tcW w:w="2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630,332 $6 $4,523</w:t>
            </w:r>
          </w:p>
        </w:tc>
      </w:tr>
      <w:tr>
        <w:trPr>
          <w:trHeight w:val="203"/>
        </w:trPr>
        <w:tc>
          <w:tcPr>
            <w:tcW w:w="780" w:type="dxa"/>
            <w:vAlign w:val="bottom"/>
          </w:tcPr>
          <w:p>
            <w:pPr>
              <w:jc w:val="right"/>
              <w:ind w:right="17"/>
              <w:spacing w:after="0" w:line="203" w:lineRule="exact"/>
              <w:rPr>
                <w:sz w:val="20"/>
                <w:szCs w:val="20"/>
                <w:color w:val="auto"/>
              </w:rPr>
            </w:pPr>
            <w:r>
              <w:rPr>
                <w:rFonts w:ascii="Courier New" w:cs="Courier New" w:eastAsia="Courier New" w:hAnsi="Courier New"/>
                <w:sz w:val="18"/>
                <w:szCs w:val="18"/>
                <w:color w:val="auto"/>
              </w:rPr>
              <w:t>$1,057</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$(148)</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$(2) 2,314</w:t>
            </w:r>
          </w:p>
        </w:tc>
        <w:tc>
          <w:tcPr>
            <w:tcW w:w="2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8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c>
          <w:tcPr>
            <w:tcW w:w="11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Net</w:t>
            </w:r>
          </w:p>
        </w:tc>
        <w:tc>
          <w:tcPr>
            <w:tcW w:w="240" w:type="dxa"/>
            <w:vAlign w:val="bottom"/>
          </w:tcPr>
          <w:p>
            <w:pPr>
              <w:spacing w:after="0"/>
              <w:rPr>
                <w:sz w:val="17"/>
                <w:szCs w:val="17"/>
                <w:color w:val="auto"/>
              </w:rPr>
            </w:pPr>
          </w:p>
        </w:tc>
      </w:tr>
      <w:tr>
        <w:trPr>
          <w:trHeight w:val="203"/>
        </w:trPr>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income..................</w:t>
            </w:r>
          </w:p>
        </w:tc>
        <w:tc>
          <w:tcPr>
            <w:tcW w:w="1120" w:type="dxa"/>
            <w:vAlign w:val="bottom"/>
          </w:tcPr>
          <w:p>
            <w:pPr>
              <w:spacing w:after="0"/>
              <w:rPr>
                <w:sz w:val="17"/>
                <w:szCs w:val="17"/>
                <w:color w:val="auto"/>
              </w:rPr>
            </w:pPr>
          </w:p>
        </w:tc>
        <w:tc>
          <w:tcPr>
            <w:tcW w:w="2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jc w:val="both"/>
        <w:ind w:left="120" w:right="7379" w:hanging="9"/>
        <w:spacing w:after="0" w:line="268" w:lineRule="auto"/>
        <w:tabs>
          <w:tab w:leader="none" w:pos="436"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-- 586 -- -- -- -- Cash dividends declared..... --</w:t>
      </w:r>
    </w:p>
    <w:p>
      <w:pPr>
        <w:ind w:left="700" w:hanging="326"/>
        <w:spacing w:after="0" w:line="238" w:lineRule="auto"/>
        <w:tabs>
          <w:tab w:leader="none" w:pos="70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(6) -- -- -- --</w:t>
      </w:r>
    </w:p>
    <w:p>
      <w:pPr>
        <w:spacing w:after="0" w:line="4" w:lineRule="exact"/>
        <w:rPr>
          <w:rFonts w:ascii="Courier New" w:cs="Courier New" w:eastAsia="Courier New" w:hAnsi="Courier New"/>
          <w:sz w:val="18"/>
          <w:szCs w:val="18"/>
          <w:color w:val="auto"/>
        </w:rPr>
      </w:pPr>
    </w:p>
    <w:p>
      <w:pPr>
        <w:jc w:val="both"/>
        <w:ind w:left="160" w:right="741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Common stock issued upon exercise of stock options</w:t>
      </w:r>
    </w:p>
    <w:p>
      <w:pPr>
        <w:ind w:left="60"/>
        <w:spacing w:after="0" w:line="233" w:lineRule="auto"/>
        <w:rPr>
          <w:sz w:val="20"/>
          <w:szCs w:val="20"/>
          <w:color w:val="auto"/>
        </w:rPr>
      </w:pPr>
      <w:r>
        <w:rPr>
          <w:rFonts w:ascii="Courier New" w:cs="Courier New" w:eastAsia="Courier New" w:hAnsi="Courier New"/>
          <w:sz w:val="18"/>
          <w:szCs w:val="18"/>
          <w:color w:val="auto"/>
        </w:rPr>
        <w:t>and warrants, including tax</w:t>
      </w:r>
    </w:p>
    <w:p>
      <w:pPr>
        <w:ind w:left="60"/>
        <w:spacing w:after="0"/>
        <w:rPr>
          <w:sz w:val="20"/>
          <w:szCs w:val="20"/>
          <w:color w:val="auto"/>
        </w:rPr>
      </w:pPr>
      <w:r>
        <w:rPr>
          <w:rFonts w:ascii="Courier New" w:cs="Courier New" w:eastAsia="Courier New" w:hAnsi="Courier New"/>
          <w:sz w:val="18"/>
          <w:szCs w:val="18"/>
          <w:color w:val="auto"/>
        </w:rPr>
        <w:t>benefit of $6......... -- -</w:t>
      </w:r>
    </w:p>
    <w:p>
      <w:pPr>
        <w:spacing w:after="0" w:line="4" w:lineRule="exact"/>
        <w:rPr>
          <w:sz w:val="20"/>
          <w:szCs w:val="20"/>
          <w:color w:val="auto"/>
        </w:rPr>
      </w:pPr>
    </w:p>
    <w:p>
      <w:pPr>
        <w:jc w:val="both"/>
        <w:ind w:left="160" w:right="7419" w:firstLine="4"/>
        <w:spacing w:after="0" w:line="268" w:lineRule="auto"/>
        <w:tabs>
          <w:tab w:leader="none" w:pos="37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(4) -- -- -- (1,470) 35 Common stock repurchases,</w:t>
      </w:r>
    </w:p>
    <w:p>
      <w:pPr>
        <w:ind w:left="120"/>
        <w:spacing w:after="0" w:line="233" w:lineRule="auto"/>
        <w:rPr>
          <w:sz w:val="20"/>
          <w:szCs w:val="20"/>
          <w:color w:val="auto"/>
        </w:rPr>
      </w:pPr>
      <w:r>
        <w:rPr>
          <w:rFonts w:ascii="Courier New" w:cs="Courier New" w:eastAsia="Courier New" w:hAnsi="Courier New"/>
          <w:sz w:val="18"/>
          <w:szCs w:val="18"/>
          <w:color w:val="auto"/>
        </w:rPr>
        <w:t>net of settlements........</w:t>
      </w:r>
    </w:p>
    <w:p>
      <w:pPr>
        <w:spacing w:after="0" w:line="5" w:lineRule="exact"/>
        <w:rPr>
          <w:sz w:val="20"/>
          <w:szCs w:val="20"/>
          <w:color w:val="auto"/>
        </w:rPr>
      </w:pPr>
    </w:p>
    <w:p>
      <w:pPr>
        <w:jc w:val="both"/>
        <w:ind w:left="160" w:right="7419" w:firstLine="56"/>
        <w:spacing w:after="0" w:line="268" w:lineRule="auto"/>
        <w:tabs>
          <w:tab w:leader="none" w:pos="529"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-- 21,300 (561) Earned compensation</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related to restricted</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stock....... (12) -- -- --</w:t>
      </w:r>
    </w:p>
    <w:p>
      <w:pPr>
        <w:spacing w:after="0" w:line="4" w:lineRule="exact"/>
        <w:rPr>
          <w:rFonts w:ascii="Courier New" w:cs="Courier New" w:eastAsia="Courier New" w:hAnsi="Courier New"/>
          <w:sz w:val="16"/>
          <w:szCs w:val="16"/>
          <w:color w:val="auto"/>
        </w:rPr>
      </w:pPr>
    </w:p>
    <w:p>
      <w:pPr>
        <w:jc w:val="both"/>
        <w:ind w:left="60" w:right="7319" w:hanging="2"/>
        <w:spacing w:after="0" w:line="268" w:lineRule="auto"/>
        <w:tabs>
          <w:tab w:leader="none" w:pos="376"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2 -- -- Deferred loss on derivative instruments, net</w:t>
      </w:r>
    </w:p>
    <w:p>
      <w:pPr>
        <w:ind w:left="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tax benefit of</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$32............ -- -- -- --</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(49) -- -- -- Unrealized</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loss on marketable</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securities, net of tax</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benefit of $4...... -- -- -</w:t>
      </w:r>
    </w:p>
    <w:p>
      <w:pPr>
        <w:ind w:left="800" w:hanging="215"/>
        <w:spacing w:after="0" w:line="238" w:lineRule="auto"/>
        <w:tabs>
          <w:tab w:leader="none" w:pos="800"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(6) -- -- --</w:t>
      </w:r>
    </w:p>
    <w:p>
      <w:pPr>
        <w:spacing w:after="0" w:line="4" w:lineRule="exact"/>
        <w:rPr>
          <w:rFonts w:ascii="Courier New" w:cs="Courier New" w:eastAsia="Courier New" w:hAnsi="Courier New"/>
          <w:sz w:val="18"/>
          <w:szCs w:val="18"/>
          <w:color w:val="auto"/>
        </w:rPr>
      </w:pPr>
    </w:p>
    <w:p>
      <w:pPr>
        <w:jc w:val="both"/>
        <w:ind w:left="380" w:right="7579" w:hanging="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Cumulative translation adjustment of foreign</w:t>
      </w:r>
    </w:p>
    <w:p>
      <w:pPr>
        <w:ind w:left="120"/>
        <w:spacing w:after="0" w:line="233" w:lineRule="auto"/>
        <w:rPr>
          <w:sz w:val="20"/>
          <w:szCs w:val="20"/>
          <w:color w:val="auto"/>
        </w:rPr>
      </w:pPr>
      <w:r>
        <w:rPr>
          <w:rFonts w:ascii="Courier New" w:cs="Courier New" w:eastAsia="Courier New" w:hAnsi="Courier New"/>
          <w:sz w:val="18"/>
          <w:szCs w:val="18"/>
          <w:color w:val="auto"/>
        </w:rPr>
        <w:t>currency statements.......</w:t>
      </w:r>
    </w:p>
    <w:p>
      <w:pPr>
        <w:jc w:val="center"/>
        <w:ind w:right="7259"/>
        <w:spacing w:after="0"/>
        <w:rPr>
          <w:sz w:val="20"/>
          <w:szCs w:val="20"/>
          <w:color w:val="auto"/>
        </w:rPr>
      </w:pPr>
      <w:r>
        <w:rPr>
          <w:rFonts w:ascii="Courier New" w:cs="Courier New" w:eastAsia="Courier New" w:hAnsi="Courier New"/>
          <w:sz w:val="18"/>
          <w:szCs w:val="18"/>
          <w:color w:val="auto"/>
        </w:rPr>
        <w:t>-- -- -- -- 9 -- -- --</w:t>
      </w:r>
    </w:p>
    <w:p>
      <w:pPr>
        <w:spacing w:after="0" w:line="237" w:lineRule="auto"/>
        <w:rPr>
          <w:sz w:val="20"/>
          <w:szCs w:val="20"/>
          <w:color w:val="auto"/>
        </w:rPr>
      </w:pPr>
      <w:r>
        <w:rPr>
          <w:rFonts w:ascii="Courier New" w:cs="Courier New" w:eastAsia="Courier New" w:hAnsi="Courier New"/>
          <w:sz w:val="18"/>
          <w:szCs w:val="18"/>
          <w:color w:val="auto"/>
        </w:rPr>
        <w:t>Other.......................</w:t>
      </w:r>
    </w:p>
    <w:p>
      <w:pPr>
        <w:spacing w:after="0" w:line="5" w:lineRule="exact"/>
        <w:rPr>
          <w:sz w:val="20"/>
          <w:szCs w:val="20"/>
          <w:color w:val="auto"/>
        </w:rPr>
      </w:pPr>
    </w:p>
    <w:p>
      <w:pPr>
        <w:ind w:left="60" w:right="7319" w:firstLine="104"/>
        <w:spacing w:after="0" w:line="268" w:lineRule="auto"/>
        <w:tabs>
          <w:tab w:leader="none" w:pos="69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(494) 12 ------- -- ------ ------</w:t>
      </w:r>
    </w:p>
    <w:p>
      <w:pPr>
        <w:ind w:left="960" w:hanging="639"/>
        <w:spacing w:after="0" w:line="238" w:lineRule="auto"/>
        <w:tabs>
          <w:tab w:leader="none" w:pos="9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Balance, September 30,</w:t>
      </w:r>
    </w:p>
    <w:p>
      <w:pPr>
        <w:ind w:left="160"/>
        <w:spacing w:after="0"/>
        <w:rPr>
          <w:sz w:val="20"/>
          <w:szCs w:val="20"/>
          <w:color w:val="auto"/>
        </w:rPr>
      </w:pPr>
      <w:r>
        <w:rPr>
          <w:rFonts w:ascii="Courier New" w:cs="Courier New" w:eastAsia="Courier New" w:hAnsi="Courier New"/>
          <w:sz w:val="18"/>
          <w:szCs w:val="18"/>
          <w:color w:val="auto"/>
        </w:rPr>
        <w:t>2002... 630,308 $6 $4,519</w:t>
      </w:r>
    </w:p>
    <w:p>
      <w:pPr>
        <w:ind w:left="220"/>
        <w:spacing w:after="0" w:line="237" w:lineRule="auto"/>
        <w:rPr>
          <w:sz w:val="20"/>
          <w:szCs w:val="20"/>
          <w:color w:val="auto"/>
        </w:rPr>
      </w:pPr>
      <w:r>
        <w:rPr>
          <w:rFonts w:ascii="Courier New" w:cs="Courier New" w:eastAsia="Courier New" w:hAnsi="Courier New"/>
          <w:sz w:val="18"/>
          <w:szCs w:val="18"/>
          <w:color w:val="auto"/>
        </w:rPr>
        <w:t>$1,637 $(194) $-- 21,650</w:t>
      </w:r>
    </w:p>
    <w:p>
      <w:pPr>
        <w:ind w:left="220"/>
        <w:spacing w:after="0" w:line="238" w:lineRule="auto"/>
        <w:rPr>
          <w:sz w:val="20"/>
          <w:szCs w:val="20"/>
          <w:color w:val="auto"/>
        </w:rPr>
      </w:pPr>
      <w:r>
        <w:rPr>
          <w:rFonts w:ascii="Courier New" w:cs="Courier New" w:eastAsia="Courier New" w:hAnsi="Courier New"/>
          <w:sz w:val="18"/>
          <w:szCs w:val="18"/>
          <w:color w:val="auto"/>
        </w:rPr>
        <w:t>$(558) ======= == ======</w:t>
      </w:r>
    </w:p>
    <w:p>
      <w:pPr>
        <w:jc w:val="center"/>
        <w:ind w:right="7259"/>
        <w:spacing w:after="0"/>
        <w:rPr>
          <w:sz w:val="20"/>
          <w:szCs w:val="20"/>
          <w:color w:val="auto"/>
        </w:rPr>
      </w:pPr>
      <w:r>
        <w:rPr>
          <w:rFonts w:ascii="Courier New" w:cs="Courier New" w:eastAsia="Courier New" w:hAnsi="Courier New"/>
          <w:sz w:val="18"/>
          <w:szCs w:val="18"/>
          <w:color w:val="auto"/>
        </w:rPr>
        <w:t>====== ===== === ======</w:t>
      </w:r>
    </w:p>
    <w:p>
      <w:pPr>
        <w:jc w:val="center"/>
        <w:ind w:right="7259"/>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6" w:name="page7"/>
    <w:bookmarkEnd w:id="6"/>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consolidated financial statements of Waste Management, Inc., a Delaware corporation, and subsidiaries ("Waste Management" or the "Company") presented herein are unaudited. In the opinion of management, these financial statements include all adjustments, which, except as described elsewhere herein, are of a normal recurring nature, necessary for a fair presentation of the financial position, results of operations, and cash flows for the periods presented. The results for interim periods are not necessarily indicative of results for the entire year. The financial statements presented herein should be read in connection with the financial statements included in the Company's Annual Report on Form 10-K for the year ended December 31, 2001.</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preparation of financial statements in conformity with accounting principles generally accepted in the United States requires management to make certain estimates and assumptions. These estimates and assumptions affect the reported amounts of assets and liabilities and disclosure of the contingent assets and liabilities at the date of the financial statements. These estimates and assumptions will also affect the reported amounts of certain revenues and expenses during the reporting period. Actual results could differ materially based on any changes in estimates and assumptions that the Company uses in the preparation of its financial statements. Additionally, the estimates and assumptions used in landfill airspace amortization and final closure and post-closure rates per ton and environmental remediation liabilities require significant engineering and accounting input. The Company reviews these estimates and assumptions no less than annually. In many circumstances, the ultimate outcome of these estimates and assumptions may not be known for decades into the future. Actual results could differ materially from these estimates and assumptions due to changes in environmental-related regulations or future operational plans, and the inherent imprecision associated with estimating matters so far into the future. See "Management's Discussion and Analysis" elsewhere herein.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Company's Annual Report on Form 10-K for the year ended December 31, 2001, the Company reported accrued interest of $137 million as a component of accounts payable. In its Quarterly Report on Form 10-Q for the quarter ended March 31, 2002, the Company started reporting accrued interest as a component of accrued liabilities instead of accounts payable. In order to conform the prior period presentation of accrued interest to the current period presentation, the Company has reclassified the $137 million of accrued interest at December 31, 2001 to accrued liabilities in the condensed consolidated balance sheet presented elsewhere herein.</w:t>
      </w:r>
    </w:p>
    <w:p>
      <w:pPr>
        <w:spacing w:after="0" w:line="214"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During the second quarter of 2002, the Company reviewed the accounting and reporting for certain contractual arrangements entered into in the mid-1980s relating to a waste-to-energy plant owned by a subsidiary of Wheelabrator Technologies Inc. ("WTI") and determined to change its previous accounting by recording the assets and liabilities associated with these arrangements on the Company's balance sheet. As a result, the Company recorded an increase in property, plant and equipment in the second quarter of 2002 of approximately $72 million; an increase in other long-term assets of approximately $52 million; an increase in debt of approximately $114 million (which included the then current portion of approximately $20 million that was paid in the third quarter of</w:t>
      </w:r>
    </w:p>
    <w:p>
      <w:pPr>
        <w:spacing w:after="0" w:line="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2002); and an increase in other liabilities of $5 million. The Company also recognized income of $5 million for the quarter ended June 30, 2002 for the adjustments to the accounting for the contractual arrangements. As of September 30, 2002, approximately $94 million of debt, of which $6 million is current, associated with this agreement has been included in the condensed consolidated balance sheet.</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7" w:name="page8"/>
    <w:bookmarkEnd w:id="7"/>
    <w:p>
      <w:pPr>
        <w:jc w:val="center"/>
        <w:ind w:right="175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1"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LONG-TERM DEBT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Long-term debt consisted of the following (in millions):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SEPTEMBER 30, DECEMBER 31, 2002 2001 ---------</w:t>
      </w:r>
    </w:p>
    <w:p>
      <w:pPr>
        <w:spacing w:after="0" w:line="4" w:lineRule="exact"/>
        <w:rPr>
          <w:sz w:val="20"/>
          <w:szCs w:val="20"/>
          <w:color w:val="auto"/>
        </w:rPr>
      </w:pPr>
    </w:p>
    <w:p>
      <w:pPr>
        <w:ind w:left="100" w:right="5319" w:hanging="44"/>
        <w:spacing w:after="0" w:line="268" w:lineRule="auto"/>
        <w:tabs>
          <w:tab w:leader="none" w:pos="57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Senior notes and debentures, maturing through 2032, interest of 6.375% to 8.75%........................................</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$6,563 $6,169 4% Convertible subordinated</w:t>
      </w:r>
    </w:p>
    <w:p>
      <w:pPr>
        <w:spacing w:after="0" w:line="4" w:lineRule="exact"/>
        <w:rPr>
          <w:rFonts w:ascii="Courier New" w:cs="Courier New" w:eastAsia="Courier New" w:hAnsi="Courier New"/>
          <w:sz w:val="16"/>
          <w:szCs w:val="16"/>
          <w:color w:val="auto"/>
        </w:rPr>
      </w:pPr>
    </w:p>
    <w:p>
      <w:pPr>
        <w:jc w:val="center"/>
        <w:ind w:left="60" w:right="531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notes due 2002.................. -- 427 5.75% Convertible subordinated notes due 2005 (2% interest rate and 3.75% issuance discount)......................... 32 31 Tax-exempt and project bonds, principal payable in periodic installments, maturing through 2031, fixed and variable interest rates ranging from 1.63% to 10.0% (weighted average interest rate of 4%) at September 30, 2002........ 1,731 1,404 Installment loans, notes payable and other, maturing through 2019, interest from 5% to 12%............................. 200 193 --</w:t>
      </w:r>
    </w:p>
    <w:p>
      <w:pPr>
        <w:spacing w:after="0" w:line="2" w:lineRule="exact"/>
        <w:rPr>
          <w:rFonts w:ascii="Courier New" w:cs="Courier New" w:eastAsia="Courier New" w:hAnsi="Courier New"/>
          <w:sz w:val="16"/>
          <w:szCs w:val="16"/>
          <w:color w:val="auto"/>
        </w:rPr>
      </w:pPr>
    </w:p>
    <w:p>
      <w:pPr>
        <w:ind w:right="5259" w:firstLine="583"/>
        <w:spacing w:after="0" w:line="268" w:lineRule="auto"/>
        <w:tabs>
          <w:tab w:leader="none" w:pos="1102"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------ 8,526 8,224 Less current portion........................................</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375 515 ------ ------ $8,151 $7,709 ======</w:t>
      </w:r>
    </w:p>
    <w:p>
      <w:pPr>
        <w:ind w:left="2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On June 27, 2002, the Company replaced its $750 million syndicated 364 day line of credit with a $620 million syndicated revolving credit facility (the "Three Year Revolver"). During the third quarter of 2002 the credit capacity of the Three Year Revolver was increased to $650 million. The Company maintained its $1.75 billion syndicated revolving credit facility (the "Five Year Revolver"). No balances were outstanding from the Company's revolving credit facilities as of December 31, 2001 or September 30, 2002. The Three Year Revolver matures in June 2005 and the Five Year Revolver matures in June 2006. As of September 30, 2002, the Company had letters of credit in the aggregate amount of approximately $1,600 million (of which approximately $1,490 million were issued under the revolving credit facilities) that generally have terms allowing automatic renewal after a year. At September 30, 2002, the Company had unused and available credit capacity under these facilities of approximately $910 million.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May 2002, the Company privately placed $500 million of 7 3/4% senior</w:t>
      </w:r>
    </w:p>
    <w:p>
      <w:pPr>
        <w:spacing w:after="0" w:line="238" w:lineRule="auto"/>
        <w:rPr>
          <w:sz w:val="20"/>
          <w:szCs w:val="20"/>
          <w:color w:val="auto"/>
        </w:rPr>
      </w:pPr>
      <w:r>
        <w:rPr>
          <w:rFonts w:ascii="Courier New" w:cs="Courier New" w:eastAsia="Courier New" w:hAnsi="Courier New"/>
          <w:sz w:val="18"/>
          <w:szCs w:val="18"/>
          <w:color w:val="auto"/>
        </w:rPr>
        <w:t>unsecured notes due May 15, 2032. Interest on the notes is due on November 15</w:t>
      </w:r>
    </w:p>
    <w:p>
      <w:pPr>
        <w:spacing w:after="0"/>
        <w:rPr>
          <w:sz w:val="20"/>
          <w:szCs w:val="20"/>
          <w:color w:val="auto"/>
        </w:rPr>
      </w:pPr>
      <w:r>
        <w:rPr>
          <w:rFonts w:ascii="Courier New" w:cs="Courier New" w:eastAsia="Courier New" w:hAnsi="Courier New"/>
          <w:sz w:val="18"/>
          <w:szCs w:val="18"/>
          <w:color w:val="auto"/>
        </w:rPr>
        <w:t>and May 15 of each year. The net proceeds of the offering were approximately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$498 million, after deducting underwriters' discounts and expenses. The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used a portion of these proceeds to pay the $300 million of 6.625% senior notes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that matured on July 15, 2002 and utilized the remaining proceeds along with</w:t>
      </w:r>
    </w:p>
    <w:p>
      <w:pPr>
        <w:spacing w:after="0" w:line="238" w:lineRule="auto"/>
        <w:rPr>
          <w:sz w:val="20"/>
          <w:szCs w:val="20"/>
          <w:color w:val="auto"/>
        </w:rPr>
      </w:pPr>
      <w:r>
        <w:rPr>
          <w:rFonts w:ascii="Courier New" w:cs="Courier New" w:eastAsia="Courier New" w:hAnsi="Courier New"/>
          <w:sz w:val="18"/>
          <w:szCs w:val="18"/>
          <w:color w:val="auto"/>
        </w:rPr>
        <w:t>cash on hand to pay the $285.7 million of 7.7% senior notes that matured on</w:t>
      </w:r>
    </w:p>
    <w:p>
      <w:pPr>
        <w:spacing w:after="0"/>
        <w:rPr>
          <w:sz w:val="20"/>
          <w:szCs w:val="20"/>
          <w:color w:val="auto"/>
        </w:rPr>
      </w:pPr>
      <w:r>
        <w:rPr>
          <w:rFonts w:ascii="Courier New" w:cs="Courier New" w:eastAsia="Courier New" w:hAnsi="Courier New"/>
          <w:sz w:val="18"/>
          <w:szCs w:val="18"/>
          <w:color w:val="auto"/>
        </w:rPr>
        <w:t>October 1, 2002.</w:t>
      </w:r>
    </w:p>
    <w:p>
      <w:pPr>
        <w:spacing w:after="0" w:line="20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During the first quarter of 2002, the Company refinanced approximately $49 million of fixed-rate tax-exempt bonds maturing in 2011 with variable-rate tax-exempt bonds maturing in 2022. As a result, the Company incurred prepayment penalties and other fees for a total extraordinary item charge, net of tax benefit, of approximately $1 million. Also in the first quarter of 2002, the Company retired its 4% convertible subordinated notes due February 2002 by payment of $427 million to the holders of the outstanding notes.</w:t>
      </w:r>
    </w:p>
    <w:p>
      <w:pPr>
        <w:spacing w:after="0" w:line="211"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The Company has $350 million of 6.5% senior notes due December 15, 2002. The Company also has $450 million of 7.1% senior notes due August 1, 2026 that are subject to early redemption on August 1, 2003 at the option of the holder. The Company has classified these borrowings as long-term at September 30, 2002 based upon its ability to use its revolving credit facilities, which are both long-term, to refinance these borrowings at their respective maturity or repayment dates. The Company intends to pursue other sources of</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14" w:right="1440" w:bottom="1440" w:gutter="0" w:footer="0" w:header="0"/>
        </w:sectPr>
      </w:pPr>
    </w:p>
    <w:bookmarkStart w:id="8" w:name="page9"/>
    <w:bookmarkEnd w:id="8"/>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long-term financing to refinance the borrowings; however, in the event other sources of long-term financing are not available, the Company intends to use its revolving credit facilities.</w:t>
      </w:r>
    </w:p>
    <w:p>
      <w:pPr>
        <w:spacing w:after="0" w:line="209"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The Company manages its debt portfolio by using interest rate derivatives to achieve a desired position of fixed and floating rate debt, which is approximately 65% fixed and 35% floating at September 30, 2002. Interest rate swap agreements that were outstanding as of December 31, 2001 and September 30, 2002 are set forth in the table below (dollars in millions):</w:t>
      </w:r>
    </w:p>
    <w:p>
      <w:pPr>
        <w:jc w:val="center"/>
        <w:ind w:right="8959"/>
        <w:spacing w:after="0" w:line="234" w:lineRule="auto"/>
        <w:rPr>
          <w:sz w:val="20"/>
          <w:szCs w:val="20"/>
          <w:color w:val="auto"/>
        </w:rPr>
      </w:pPr>
      <w:r>
        <w:rPr>
          <w:rFonts w:ascii="Courier New" w:cs="Courier New" w:eastAsia="Courier New" w:hAnsi="Courier New"/>
          <w:sz w:val="18"/>
          <w:szCs w:val="18"/>
          <w:color w:val="auto"/>
        </w:rPr>
        <w:t>NOTIONAL AS</w:t>
      </w:r>
    </w:p>
    <w:p>
      <w:pPr>
        <w:jc w:val="center"/>
        <w:ind w:right="8959"/>
        <w:spacing w:after="0"/>
        <w:rPr>
          <w:sz w:val="20"/>
          <w:szCs w:val="20"/>
          <w:color w:val="auto"/>
        </w:rPr>
      </w:pPr>
      <w:r>
        <w:rPr>
          <w:rFonts w:ascii="Courier New" w:cs="Courier New" w:eastAsia="Courier New" w:hAnsi="Courier New"/>
          <w:sz w:val="18"/>
          <w:szCs w:val="18"/>
          <w:color w:val="auto"/>
        </w:rPr>
        <w:t>OF AMOUNT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RECEIVE PAY</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MATURITY</w:t>
      </w:r>
    </w:p>
    <w:p>
      <w:pPr>
        <w:ind w:left="60"/>
        <w:spacing w:after="0"/>
        <w:rPr>
          <w:sz w:val="20"/>
          <w:szCs w:val="20"/>
          <w:color w:val="auto"/>
        </w:rPr>
      </w:pPr>
      <w:r>
        <w:rPr>
          <w:rFonts w:ascii="Courier New" w:cs="Courier New" w:eastAsia="Courier New" w:hAnsi="Courier New"/>
          <w:sz w:val="18"/>
          <w:szCs w:val="18"/>
          <w:color w:val="auto"/>
        </w:rPr>
        <w:t>DATE - ----</w:t>
      </w:r>
    </w:p>
    <w:p>
      <w:pPr>
        <w:ind w:left="320" w:hanging="211"/>
        <w:spacing w:after="0" w:line="237" w:lineRule="auto"/>
        <w:tabs>
          <w:tab w:leader="none" w:pos="3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December</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2001........</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$ 20</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Floating</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1.88% Fixed</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7.27%</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Through</w:t>
      </w:r>
    </w:p>
    <w:p>
      <w:pPr>
        <w:spacing w:after="0" w:line="4" w:lineRule="exact"/>
        <w:rPr>
          <w:rFonts w:ascii="Courier New" w:cs="Courier New" w:eastAsia="Courier New" w:hAnsi="Courier New"/>
          <w:sz w:val="18"/>
          <w:szCs w:val="18"/>
          <w:color w:val="auto"/>
        </w:rPr>
      </w:pPr>
    </w:p>
    <w:p>
      <w:pPr>
        <w:jc w:val="center"/>
        <w:ind w:left="220" w:right="9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December 31, 2012 December 31,</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2001........</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$1,750</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Fixed 6.50%</w:t>
      </w:r>
    </w:p>
    <w:p>
      <w:pPr>
        <w:spacing w:after="0" w:line="4" w:lineRule="exact"/>
        <w:rPr>
          <w:rFonts w:ascii="Courier New" w:cs="Courier New" w:eastAsia="Courier New" w:hAnsi="Courier New"/>
          <w:sz w:val="18"/>
          <w:szCs w:val="18"/>
          <w:color w:val="auto"/>
        </w:rPr>
      </w:pPr>
    </w:p>
    <w:p>
      <w:pPr>
        <w:jc w:val="both"/>
        <w:ind w:left="220" w:right="9159" w:firstLine="47"/>
        <w:spacing w:after="0" w:line="268" w:lineRule="auto"/>
        <w:tabs>
          <w:tab w:leader="none" w:pos="483"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8.75% Floating 3.23% -</w:t>
      </w:r>
    </w:p>
    <w:p>
      <w:pPr>
        <w:jc w:val="center"/>
        <w:ind w:right="8959"/>
        <w:spacing w:after="0" w:line="233" w:lineRule="auto"/>
        <w:rPr>
          <w:sz w:val="20"/>
          <w:szCs w:val="20"/>
          <w:color w:val="auto"/>
        </w:rPr>
      </w:pPr>
      <w:r>
        <w:rPr>
          <w:rFonts w:ascii="Courier New" w:cs="Courier New" w:eastAsia="Courier New" w:hAnsi="Courier New"/>
          <w:sz w:val="18"/>
          <w:szCs w:val="18"/>
          <w:color w:val="auto"/>
        </w:rPr>
        <w:t>4.00%</w:t>
      </w:r>
    </w:p>
    <w:p>
      <w:pPr>
        <w:jc w:val="center"/>
        <w:ind w:right="8959"/>
        <w:spacing w:after="0"/>
        <w:rPr>
          <w:sz w:val="20"/>
          <w:szCs w:val="20"/>
          <w:color w:val="auto"/>
        </w:rPr>
      </w:pPr>
      <w:r>
        <w:rPr>
          <w:rFonts w:ascii="Courier New" w:cs="Courier New" w:eastAsia="Courier New" w:hAnsi="Courier New"/>
          <w:sz w:val="18"/>
          <w:szCs w:val="18"/>
          <w:color w:val="auto"/>
        </w:rPr>
        <w:t>Through May</w:t>
      </w:r>
    </w:p>
    <w:p>
      <w:pPr>
        <w:jc w:val="center"/>
        <w:ind w:right="8959"/>
        <w:spacing w:after="0" w:line="237" w:lineRule="auto"/>
        <w:rPr>
          <w:sz w:val="20"/>
          <w:szCs w:val="20"/>
          <w:color w:val="auto"/>
        </w:rPr>
      </w:pPr>
      <w:r>
        <w:rPr>
          <w:rFonts w:ascii="Courier New" w:cs="Courier New" w:eastAsia="Courier New" w:hAnsi="Courier New"/>
          <w:sz w:val="18"/>
          <w:szCs w:val="18"/>
          <w:color w:val="auto"/>
        </w:rPr>
        <w:t>1, 2018</w:t>
      </w:r>
    </w:p>
    <w:p>
      <w:pPr>
        <w:jc w:val="center"/>
        <w:ind w:right="8959"/>
        <w:spacing w:after="0"/>
        <w:rPr>
          <w:sz w:val="20"/>
          <w:szCs w:val="20"/>
          <w:color w:val="auto"/>
        </w:rPr>
      </w:pPr>
      <w:r>
        <w:rPr>
          <w:rFonts w:ascii="Courier New" w:cs="Courier New" w:eastAsia="Courier New" w:hAnsi="Courier New"/>
          <w:sz w:val="18"/>
          <w:szCs w:val="18"/>
          <w:color w:val="auto"/>
        </w:rPr>
        <w:t>September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30,</w:t>
      </w:r>
    </w:p>
    <w:p>
      <w:pPr>
        <w:ind w:left="60"/>
        <w:spacing w:after="0"/>
        <w:rPr>
          <w:sz w:val="20"/>
          <w:szCs w:val="20"/>
          <w:color w:val="auto"/>
        </w:rPr>
      </w:pPr>
      <w:r>
        <w:rPr>
          <w:rFonts w:ascii="Courier New" w:cs="Courier New" w:eastAsia="Courier New" w:hAnsi="Courier New"/>
          <w:sz w:val="18"/>
          <w:szCs w:val="18"/>
          <w:color w:val="auto"/>
        </w:rPr>
        <w:t>2002.......</w:t>
      </w:r>
    </w:p>
    <w:p>
      <w:pPr>
        <w:ind w:left="640" w:hanging="215"/>
        <w:spacing w:after="0" w:line="237" w:lineRule="auto"/>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Floating</w:t>
      </w:r>
    </w:p>
    <w:p>
      <w:pPr>
        <w:jc w:val="center"/>
        <w:ind w:right="8959"/>
        <w:spacing w:after="0"/>
        <w:rPr>
          <w:sz w:val="20"/>
          <w:szCs w:val="20"/>
          <w:color w:val="auto"/>
        </w:rPr>
      </w:pPr>
      <w:r>
        <w:rPr>
          <w:rFonts w:ascii="Courier New" w:cs="Courier New" w:eastAsia="Courier New" w:hAnsi="Courier New"/>
          <w:sz w:val="18"/>
          <w:szCs w:val="18"/>
          <w:color w:val="auto"/>
        </w:rPr>
        <w:t>1.79% Fixed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7.27%</w:t>
      </w:r>
    </w:p>
    <w:p>
      <w:pPr>
        <w:jc w:val="center"/>
        <w:ind w:right="8959"/>
        <w:spacing w:after="0" w:line="238" w:lineRule="auto"/>
        <w:rPr>
          <w:sz w:val="20"/>
          <w:szCs w:val="20"/>
          <w:color w:val="auto"/>
        </w:rPr>
      </w:pPr>
      <w:r>
        <w:rPr>
          <w:rFonts w:ascii="Courier New" w:cs="Courier New" w:eastAsia="Courier New" w:hAnsi="Courier New"/>
          <w:sz w:val="18"/>
          <w:szCs w:val="18"/>
          <w:color w:val="auto"/>
        </w:rPr>
        <w:t>Through</w:t>
      </w:r>
    </w:p>
    <w:p>
      <w:pPr>
        <w:jc w:val="center"/>
        <w:ind w:right="8959"/>
        <w:spacing w:after="0"/>
        <w:rPr>
          <w:sz w:val="20"/>
          <w:szCs w:val="20"/>
          <w:color w:val="auto"/>
        </w:rPr>
      </w:pPr>
      <w:r>
        <w:rPr>
          <w:rFonts w:ascii="Courier New" w:cs="Courier New" w:eastAsia="Courier New" w:hAnsi="Courier New"/>
          <w:sz w:val="18"/>
          <w:szCs w:val="18"/>
          <w:color w:val="auto"/>
        </w:rPr>
        <w:t>December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31, 2012</w:t>
      </w:r>
    </w:p>
    <w:p>
      <w:pPr>
        <w:jc w:val="center"/>
        <w:ind w:right="8959"/>
        <w:spacing w:after="0"/>
        <w:rPr>
          <w:sz w:val="20"/>
          <w:szCs w:val="20"/>
          <w:color w:val="auto"/>
        </w:rPr>
      </w:pPr>
      <w:r>
        <w:rPr>
          <w:rFonts w:ascii="Courier New" w:cs="Courier New" w:eastAsia="Courier New" w:hAnsi="Courier New"/>
          <w:sz w:val="18"/>
          <w:szCs w:val="18"/>
          <w:color w:val="auto"/>
        </w:rPr>
        <w:t>September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30,</w:t>
      </w:r>
    </w:p>
    <w:p>
      <w:pPr>
        <w:ind w:left="60"/>
        <w:spacing w:after="0"/>
        <w:rPr>
          <w:sz w:val="20"/>
          <w:szCs w:val="20"/>
          <w:color w:val="auto"/>
        </w:rPr>
      </w:pPr>
      <w:r>
        <w:rPr>
          <w:rFonts w:ascii="Courier New" w:cs="Courier New" w:eastAsia="Courier New" w:hAnsi="Courier New"/>
          <w:sz w:val="18"/>
          <w:szCs w:val="18"/>
          <w:color w:val="auto"/>
        </w:rPr>
        <w:t>2002.......</w:t>
      </w:r>
    </w:p>
    <w:p>
      <w:pPr>
        <w:jc w:val="center"/>
        <w:ind w:right="8959"/>
        <w:spacing w:after="0" w:line="237" w:lineRule="auto"/>
        <w:rPr>
          <w:sz w:val="20"/>
          <w:szCs w:val="20"/>
          <w:color w:val="auto"/>
        </w:rPr>
      </w:pPr>
      <w:r>
        <w:rPr>
          <w:rFonts w:ascii="Courier New" w:cs="Courier New" w:eastAsia="Courier New" w:hAnsi="Courier New"/>
          <w:sz w:val="18"/>
          <w:szCs w:val="18"/>
          <w:color w:val="auto"/>
        </w:rPr>
        <w:t>$2,350</w:t>
      </w:r>
    </w:p>
    <w:p>
      <w:pPr>
        <w:jc w:val="center"/>
        <w:ind w:right="8959"/>
        <w:spacing w:after="0" w:line="238" w:lineRule="auto"/>
        <w:rPr>
          <w:sz w:val="20"/>
          <w:szCs w:val="20"/>
          <w:color w:val="auto"/>
        </w:rPr>
      </w:pPr>
      <w:r>
        <w:rPr>
          <w:rFonts w:ascii="Courier New" w:cs="Courier New" w:eastAsia="Courier New" w:hAnsi="Courier New"/>
          <w:sz w:val="18"/>
          <w:szCs w:val="18"/>
          <w:color w:val="auto"/>
        </w:rPr>
        <w:t>Fixed 6.50%</w:t>
      </w:r>
    </w:p>
    <w:p>
      <w:pPr>
        <w:spacing w:after="0" w:line="5" w:lineRule="exact"/>
        <w:rPr>
          <w:sz w:val="20"/>
          <w:szCs w:val="20"/>
          <w:color w:val="auto"/>
        </w:rPr>
      </w:pPr>
    </w:p>
    <w:p>
      <w:pPr>
        <w:jc w:val="both"/>
        <w:ind w:left="220" w:right="9159" w:firstLine="47"/>
        <w:spacing w:after="0" w:line="268" w:lineRule="auto"/>
        <w:tabs>
          <w:tab w:leader="none" w:pos="483"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8.75% Floating 3.14% -</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4.88%</w:t>
      </w:r>
    </w:p>
    <w:p>
      <w:pPr>
        <w:jc w:val="center"/>
        <w:ind w:right="8959"/>
        <w:spacing w:after="0"/>
        <w:rPr>
          <w:sz w:val="20"/>
          <w:szCs w:val="20"/>
          <w:color w:val="auto"/>
        </w:rPr>
      </w:pPr>
      <w:r>
        <w:rPr>
          <w:rFonts w:ascii="Courier New" w:cs="Courier New" w:eastAsia="Courier New" w:hAnsi="Courier New"/>
          <w:sz w:val="18"/>
          <w:szCs w:val="18"/>
          <w:color w:val="auto"/>
        </w:rPr>
        <w:t>Through May</w:t>
      </w:r>
    </w:p>
    <w:p>
      <w:pPr>
        <w:jc w:val="center"/>
        <w:ind w:right="8959"/>
        <w:spacing w:after="0" w:line="237" w:lineRule="auto"/>
        <w:rPr>
          <w:sz w:val="20"/>
          <w:szCs w:val="20"/>
          <w:color w:val="auto"/>
        </w:rPr>
      </w:pPr>
      <w:r>
        <w:rPr>
          <w:rFonts w:ascii="Courier New" w:cs="Courier New" w:eastAsia="Courier New" w:hAnsi="Courier New"/>
          <w:sz w:val="18"/>
          <w:szCs w:val="18"/>
          <w:color w:val="auto"/>
        </w:rPr>
        <w:t>1, 2018</w:t>
      </w:r>
    </w:p>
    <w:p>
      <w:pPr>
        <w:ind w:left="100"/>
        <w:spacing w:after="0" w:line="238" w:lineRule="auto"/>
        <w:rPr>
          <w:sz w:val="20"/>
          <w:szCs w:val="20"/>
          <w:color w:val="auto"/>
        </w:rPr>
      </w:pPr>
      <w:r>
        <w:rPr>
          <w:rFonts w:ascii="Courier New" w:cs="Courier New" w:eastAsia="Courier New" w:hAnsi="Courier New"/>
          <w:sz w:val="18"/>
          <w:szCs w:val="18"/>
          <w:color w:val="auto"/>
        </w:rPr>
        <w:t>FAIR AS OF</w:t>
      </w:r>
    </w:p>
    <w:p>
      <w:pPr>
        <w:ind w:left="60"/>
        <w:spacing w:after="0"/>
        <w:rPr>
          <w:sz w:val="20"/>
          <w:szCs w:val="20"/>
          <w:color w:val="auto"/>
        </w:rPr>
      </w:pPr>
      <w:r>
        <w:rPr>
          <w:rFonts w:ascii="Courier New" w:cs="Courier New" w:eastAsia="Courier New" w:hAnsi="Courier New"/>
          <w:sz w:val="18"/>
          <w:szCs w:val="18"/>
          <w:color w:val="auto"/>
        </w:rPr>
        <w:t>VALUE (A)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100"/>
        <w:spacing w:after="0"/>
        <w:rPr>
          <w:sz w:val="20"/>
          <w:szCs w:val="20"/>
          <w:color w:val="auto"/>
        </w:rPr>
      </w:pPr>
      <w:r>
        <w:rPr>
          <w:rFonts w:ascii="Courier New" w:cs="Courier New" w:eastAsia="Courier New" w:hAnsi="Courier New"/>
          <w:sz w:val="18"/>
          <w:szCs w:val="18"/>
          <w:color w:val="auto"/>
        </w:rPr>
        <w: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December</w:t>
      </w:r>
    </w:p>
    <w:p>
      <w:pPr>
        <w:jc w:val="center"/>
        <w:ind w:right="8959"/>
        <w:spacing w:after="0"/>
        <w:rPr>
          <w:sz w:val="20"/>
          <w:szCs w:val="20"/>
          <w:color w:val="auto"/>
        </w:rPr>
      </w:pPr>
      <w:r>
        <w:rPr>
          <w:rFonts w:ascii="Courier New" w:cs="Courier New" w:eastAsia="Courier New" w:hAnsi="Courier New"/>
          <w:sz w:val="18"/>
          <w:szCs w:val="18"/>
          <w:color w:val="auto"/>
        </w:rPr>
        <w:t>31,</w:t>
      </w:r>
    </w:p>
    <w:p>
      <w:pPr>
        <w:spacing w:after="0" w:line="237" w:lineRule="auto"/>
        <w:rPr>
          <w:sz w:val="20"/>
          <w:szCs w:val="20"/>
          <w:color w:val="auto"/>
        </w:rPr>
      </w:pPr>
      <w:r>
        <w:rPr>
          <w:rFonts w:ascii="Courier New" w:cs="Courier New" w:eastAsia="Courier New" w:hAnsi="Courier New"/>
          <w:sz w:val="18"/>
          <w:szCs w:val="18"/>
          <w:color w:val="auto"/>
        </w:rPr>
        <w:t>2001........</w:t>
      </w:r>
    </w:p>
    <w:p>
      <w:pPr>
        <w:spacing w:after="0" w:line="5" w:lineRule="exact"/>
        <w:rPr>
          <w:sz w:val="20"/>
          <w:szCs w:val="20"/>
          <w:color w:val="auto"/>
        </w:rPr>
      </w:pPr>
    </w:p>
    <w:p>
      <w:pPr>
        <w:jc w:val="both"/>
        <w:ind w:left="220" w:right="9099" w:hanging="58"/>
        <w:spacing w:after="0" w:line="268" w:lineRule="auto"/>
        <w:tabs>
          <w:tab w:leader="none" w:pos="37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 (b) December</w:t>
      </w:r>
    </w:p>
    <w:p>
      <w:pPr>
        <w:jc w:val="center"/>
        <w:ind w:right="8959"/>
        <w:spacing w:after="0" w:line="233" w:lineRule="auto"/>
        <w:rPr>
          <w:sz w:val="20"/>
          <w:szCs w:val="20"/>
          <w:color w:val="auto"/>
        </w:rPr>
      </w:pPr>
      <w:r>
        <w:rPr>
          <w:rFonts w:ascii="Courier New" w:cs="Courier New" w:eastAsia="Courier New" w:hAnsi="Courier New"/>
          <w:sz w:val="18"/>
          <w:szCs w:val="18"/>
          <w:color w:val="auto"/>
        </w:rPr>
        <w:t>31,</w:t>
      </w:r>
    </w:p>
    <w:p>
      <w:pPr>
        <w:spacing w:after="0"/>
        <w:rPr>
          <w:sz w:val="20"/>
          <w:szCs w:val="20"/>
          <w:color w:val="auto"/>
        </w:rPr>
      </w:pPr>
      <w:r>
        <w:rPr>
          <w:rFonts w:ascii="Courier New" w:cs="Courier New" w:eastAsia="Courier New" w:hAnsi="Courier New"/>
          <w:sz w:val="18"/>
          <w:szCs w:val="18"/>
          <w:color w:val="auto"/>
        </w:rPr>
        <w:t>2001........</w:t>
      </w:r>
    </w:p>
    <w:p>
      <w:pPr>
        <w:sectPr>
          <w:pgSz w:w="11900" w:h="16838" w:orient="portrait"/>
          <w:cols w:equalWidth="0" w:num="1">
            <w:col w:w="10219"/>
          </w:cols>
          <w:pgMar w:left="240" w:top="514" w:right="1440" w:bottom="0" w:gutter="0" w:footer="0" w:header="0"/>
        </w:sectPr>
      </w:pPr>
    </w:p>
    <w:bookmarkStart w:id="9" w:name="page10"/>
    <w:bookmarkEnd w:id="9"/>
    <w:p>
      <w:pPr>
        <w:jc w:val="center"/>
        <w:ind w:right="8959"/>
        <w:spacing w:after="0"/>
        <w:rPr>
          <w:sz w:val="20"/>
          <w:szCs w:val="20"/>
          <w:color w:val="auto"/>
        </w:rPr>
      </w:pPr>
      <w:r>
        <w:rPr>
          <w:rFonts w:ascii="Courier New" w:cs="Courier New" w:eastAsia="Courier New" w:hAnsi="Courier New"/>
          <w:sz w:val="18"/>
          <w:szCs w:val="18"/>
          <w:color w:val="auto"/>
        </w:rPr>
        <w:t>$ -- (c),</w:t>
      </w:r>
    </w:p>
    <w:p>
      <w:pPr>
        <w:jc w:val="center"/>
        <w:ind w:right="8959"/>
        <w:spacing w:after="0" w:line="238" w:lineRule="auto"/>
        <w:rPr>
          <w:sz w:val="20"/>
          <w:szCs w:val="20"/>
          <w:color w:val="auto"/>
        </w:rPr>
      </w:pPr>
      <w:r>
        <w:rPr>
          <w:rFonts w:ascii="Courier New" w:cs="Courier New" w:eastAsia="Courier New" w:hAnsi="Courier New"/>
          <w:sz w:val="18"/>
          <w:szCs w:val="18"/>
          <w:color w:val="auto"/>
        </w:rPr>
        <w:t>(d)</w:t>
      </w:r>
    </w:p>
    <w:p>
      <w:pPr>
        <w:jc w:val="center"/>
        <w:ind w:right="8959"/>
        <w:spacing w:after="0"/>
        <w:rPr>
          <w:sz w:val="20"/>
          <w:szCs w:val="20"/>
          <w:color w:val="auto"/>
        </w:rPr>
      </w:pPr>
      <w:r>
        <w:rPr>
          <w:rFonts w:ascii="Courier New" w:cs="Courier New" w:eastAsia="Courier New" w:hAnsi="Courier New"/>
          <w:sz w:val="18"/>
          <w:szCs w:val="18"/>
          <w:color w:val="auto"/>
        </w:rPr>
        <w:t>September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30,</w:t>
      </w:r>
    </w:p>
    <w:p>
      <w:pPr>
        <w:ind w:left="60"/>
        <w:spacing w:after="0" w:line="238" w:lineRule="auto"/>
        <w:rPr>
          <w:sz w:val="20"/>
          <w:szCs w:val="20"/>
          <w:color w:val="auto"/>
        </w:rPr>
      </w:pPr>
      <w:r>
        <w:rPr>
          <w:rFonts w:ascii="Courier New" w:cs="Courier New" w:eastAsia="Courier New" w:hAnsi="Courier New"/>
          <w:sz w:val="18"/>
          <w:szCs w:val="18"/>
          <w:color w:val="auto"/>
        </w:rPr>
        <w:t>2002.......</w:t>
      </w:r>
    </w:p>
    <w:p>
      <w:pPr>
        <w:spacing w:after="0" w:line="5" w:lineRule="exact"/>
        <w:rPr>
          <w:sz w:val="20"/>
          <w:szCs w:val="20"/>
          <w:color w:val="auto"/>
        </w:rPr>
      </w:pPr>
    </w:p>
    <w:p>
      <w:pPr>
        <w:jc w:val="both"/>
        <w:ind w:left="160" w:right="9099" w:firstLine="2"/>
        <w:spacing w:after="0" w:line="268" w:lineRule="auto"/>
        <w:tabs>
          <w:tab w:leader="none" w:pos="37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(4) (b) September</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30,</w:t>
      </w:r>
    </w:p>
    <w:p>
      <w:pPr>
        <w:ind w:left="60"/>
        <w:spacing w:after="0"/>
        <w:rPr>
          <w:sz w:val="20"/>
          <w:szCs w:val="20"/>
          <w:color w:val="auto"/>
        </w:rPr>
      </w:pPr>
      <w:r>
        <w:rPr>
          <w:rFonts w:ascii="Courier New" w:cs="Courier New" w:eastAsia="Courier New" w:hAnsi="Courier New"/>
          <w:sz w:val="18"/>
          <w:szCs w:val="18"/>
          <w:color w:val="auto"/>
        </w:rPr>
        <w:t>2002.......</w:t>
      </w:r>
    </w:p>
    <w:p>
      <w:pPr>
        <w:ind w:left="220"/>
        <w:spacing w:after="0" w:line="237" w:lineRule="auto"/>
        <w:rPr>
          <w:sz w:val="20"/>
          <w:szCs w:val="20"/>
          <w:color w:val="auto"/>
        </w:rPr>
      </w:pPr>
      <w:r>
        <w:rPr>
          <w:rFonts w:ascii="Courier New" w:cs="Courier New" w:eastAsia="Courier New" w:hAnsi="Courier New"/>
          <w:sz w:val="18"/>
          <w:szCs w:val="18"/>
          <w:color w:val="auto"/>
        </w:rPr>
        <w:t>$166 (c)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jc w:val="both"/>
        <w:ind w:left="420" w:right="2099" w:hanging="412"/>
        <w:spacing w:after="0" w:line="236" w:lineRule="auto"/>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fair value for interest rate derivatives is included in the Company's balance sheet as components of other long-term assets and other long-term liabilities.</w:t>
      </w:r>
    </w:p>
    <w:p>
      <w:pPr>
        <w:spacing w:after="0" w:line="208" w:lineRule="exact"/>
        <w:rPr>
          <w:rFonts w:ascii="Courier New" w:cs="Courier New" w:eastAsia="Courier New" w:hAnsi="Courier New"/>
          <w:sz w:val="18"/>
          <w:szCs w:val="18"/>
          <w:color w:val="auto"/>
        </w:rPr>
      </w:pPr>
    </w:p>
    <w:p>
      <w:pPr>
        <w:ind w:left="420" w:right="1779" w:hanging="412"/>
        <w:spacing w:after="0" w:line="236" w:lineRule="auto"/>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 rate contract's terms do not qualify for hedge accounting. Therefore, the contract is accounted for using mark-to-market accounting and changes in fair value are immediately recognized in interest expense.</w:t>
      </w:r>
    </w:p>
    <w:p>
      <w:pPr>
        <w:spacing w:after="0" w:line="208"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of the interest rate contracts and the underlying debt instruments are identical. Accordingly, these interest rate contracts are recorded at fair value and changes in fair value of these interest rate contracts are deferred as an adjustment to the carrying value of the underlying debt instruments and recognized in interest expense over the life of the underlying debt instruments.</w:t>
      </w:r>
    </w:p>
    <w:p>
      <w:pPr>
        <w:spacing w:after="0" w:line="209" w:lineRule="exact"/>
        <w:rPr>
          <w:rFonts w:ascii="Courier New" w:cs="Courier New" w:eastAsia="Courier New" w:hAnsi="Courier New"/>
          <w:sz w:val="18"/>
          <w:szCs w:val="18"/>
          <w:color w:val="auto"/>
        </w:rPr>
      </w:pPr>
    </w:p>
    <w:p>
      <w:pPr>
        <w:ind w:left="420" w:right="1879" w:hanging="412"/>
        <w:spacing w:after="0" w:line="236" w:lineRule="auto"/>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fair value for these interest rate derivatives at December 31, 2001, is comprised of $20 million long-term risk management assets and $20 million long-term risk management liabilities.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July 2002, the Company elected to terminate several interest rate swap agreements with a notional amount of $600 million prior to the scheduled maturities and received cash of $55 million (which is comprised of $43 million for the fair value of the swaps that were terminated and $12 million of accrued but unpaid interest receivable) from the counterparties to the interest rate swaps. Under the hedge method of accounting for these types of derivatives, the unamortized adjustment to long-term debt for the terminated swaps remains classified as long-term debt. The proceeds received from the termination of the interest rate swap agreements have been classified as a change in other assets or other liabilities within operating activities in the accompanying condensed consolidated statement of cash flows.</w:t>
      </w:r>
    </w:p>
    <w:p>
      <w:pPr>
        <w:spacing w:after="0" w:line="216"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carrying value of debt instruments have been increased by approximately $255 million and $62 million as of September 30, 2002 and December 31, 2001, respectively, related to the accounting for interest rate swap contracts. The following table summarizes the accumulated fair value adjustments from interest rate swap agreements by underlying debt instrument category (in millions):</w:t>
      </w:r>
    </w:p>
    <w:p>
      <w:pPr>
        <w:spacing w:after="0" w:line="179"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1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4"/>
              </w:rPr>
              <w:t>SEPTEMBER</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30,</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w w:val="96"/>
              </w:rPr>
              <w:t>DECEMBER 31, INCREASE IN CARRYING VALUE</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DEBT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DUE</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ACCOUNTING FOR INTEREST RATE SWAPS</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2002</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w:t>
            </w:r>
          </w:p>
        </w:tc>
        <w:tc>
          <w:tcPr>
            <w:tcW w:w="4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bl>
    <w:p>
      <w:pPr>
        <w:ind w:left="60"/>
        <w:spacing w:after="0" w:line="238" w:lineRule="auto"/>
        <w:rPr>
          <w:sz w:val="20"/>
          <w:szCs w:val="20"/>
          <w:color w:val="auto"/>
        </w:rPr>
      </w:pPr>
      <w:r>
        <w:rPr>
          <w:rFonts w:ascii="Courier New" w:cs="Courier New" w:eastAsia="Courier New" w:hAnsi="Courier New"/>
          <w:sz w:val="18"/>
          <w:szCs w:val="18"/>
          <w:color w:val="auto"/>
        </w:rPr>
        <w:t>----------------------------------- ------------- ---</w:t>
      </w:r>
    </w:p>
    <w:p>
      <w:pPr>
        <w:ind w:left="220"/>
        <w:spacing w:after="0"/>
        <w:rPr>
          <w:sz w:val="20"/>
          <w:szCs w:val="20"/>
          <w:color w:val="auto"/>
        </w:rPr>
      </w:pPr>
      <w:r>
        <w:rPr>
          <w:rFonts w:ascii="Courier New" w:cs="Courier New" w:eastAsia="Courier New" w:hAnsi="Courier New"/>
          <w:sz w:val="18"/>
          <w:szCs w:val="18"/>
          <w:color w:val="auto"/>
        </w:rPr>
        <w:t>--------- Senior notes and debentures: Active swap</w:t>
      </w:r>
    </w:p>
    <w:p>
      <w:pPr>
        <w:spacing w:after="0" w:line="237" w:lineRule="auto"/>
        <w:rPr>
          <w:sz w:val="20"/>
          <w:szCs w:val="20"/>
          <w:color w:val="auto"/>
        </w:rPr>
      </w:pPr>
      <w:r>
        <w:rPr>
          <w:rFonts w:ascii="Courier New" w:cs="Courier New" w:eastAsia="Courier New" w:hAnsi="Courier New"/>
          <w:sz w:val="18"/>
          <w:szCs w:val="18"/>
          <w:color w:val="auto"/>
        </w:rPr>
        <w:t>agreements............................................</w:t>
      </w:r>
    </w:p>
    <w:p>
      <w:pPr>
        <w:ind w:left="1580"/>
        <w:spacing w:after="0" w:line="238" w:lineRule="auto"/>
        <w:rPr>
          <w:sz w:val="20"/>
          <w:szCs w:val="20"/>
          <w:color w:val="auto"/>
        </w:rPr>
      </w:pPr>
      <w:r>
        <w:rPr>
          <w:rFonts w:ascii="Courier New" w:cs="Courier New" w:eastAsia="Courier New" w:hAnsi="Courier New"/>
          <w:sz w:val="18"/>
          <w:szCs w:val="18"/>
          <w:color w:val="auto"/>
        </w:rPr>
        <w:t>$166 $-- Terminated swap</w:t>
      </w:r>
    </w:p>
    <w:p>
      <w:pPr>
        <w:ind w:left="60"/>
        <w:spacing w:after="0"/>
        <w:rPr>
          <w:sz w:val="20"/>
          <w:szCs w:val="20"/>
          <w:color w:val="auto"/>
        </w:rPr>
      </w:pPr>
      <w:r>
        <w:rPr>
          <w:rFonts w:ascii="Courier New" w:cs="Courier New" w:eastAsia="Courier New" w:hAnsi="Courier New"/>
          <w:sz w:val="18"/>
          <w:szCs w:val="18"/>
          <w:color w:val="auto"/>
        </w:rPr>
        <w:t>agreements........................................ 88</w:t>
      </w:r>
    </w:p>
    <w:p>
      <w:pPr>
        <w:ind w:left="320"/>
        <w:spacing w:after="0" w:line="237" w:lineRule="auto"/>
        <w:rPr>
          <w:sz w:val="20"/>
          <w:szCs w:val="20"/>
          <w:color w:val="auto"/>
        </w:rPr>
      </w:pPr>
      <w:r>
        <w:rPr>
          <w:rFonts w:ascii="Courier New" w:cs="Courier New" w:eastAsia="Courier New" w:hAnsi="Courier New"/>
          <w:sz w:val="18"/>
          <w:szCs w:val="18"/>
          <w:color w:val="auto"/>
        </w:rPr>
        <w:t>60 ---- --- 254 60 Tax-exempt and project bonds:</w:t>
      </w:r>
    </w:p>
    <w:p>
      <w:pPr>
        <w:ind w:left="2060"/>
        <w:spacing w:after="0"/>
        <w:rPr>
          <w:sz w:val="20"/>
          <w:szCs w:val="20"/>
          <w:color w:val="auto"/>
        </w:rPr>
      </w:pPr>
      <w:r>
        <w:rPr>
          <w:rFonts w:ascii="Courier New" w:cs="Courier New" w:eastAsia="Courier New" w:hAnsi="Courier New"/>
          <w:sz w:val="18"/>
          <w:szCs w:val="18"/>
          <w:color w:val="auto"/>
        </w:rPr>
        <w:t>Terminated swap</w:t>
      </w:r>
    </w:p>
    <w:p>
      <w:pPr>
        <w:ind w:left="120"/>
        <w:spacing w:after="0" w:line="237" w:lineRule="auto"/>
        <w:rPr>
          <w:sz w:val="20"/>
          <w:szCs w:val="20"/>
          <w:color w:val="auto"/>
        </w:rPr>
      </w:pPr>
      <w:r>
        <w:rPr>
          <w:rFonts w:ascii="Courier New" w:cs="Courier New" w:eastAsia="Courier New" w:hAnsi="Courier New"/>
          <w:sz w:val="18"/>
          <w:szCs w:val="18"/>
          <w:color w:val="auto"/>
        </w:rPr>
        <w:t>agreements........................................ 1</w:t>
      </w:r>
    </w:p>
    <w:p>
      <w:pPr>
        <w:ind w:left="1380"/>
        <w:spacing w:after="0"/>
        <w:rPr>
          <w:sz w:val="20"/>
          <w:szCs w:val="20"/>
          <w:color w:val="auto"/>
        </w:rPr>
      </w:pPr>
      <w:r>
        <w:rPr>
          <w:rFonts w:ascii="Courier New" w:cs="Courier New" w:eastAsia="Courier New" w:hAnsi="Courier New"/>
          <w:sz w:val="18"/>
          <w:szCs w:val="18"/>
          <w:color w:val="auto"/>
        </w:rPr>
        <w:t>2 ---- --- $255 $62 ==== ===</w:t>
      </w: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36" w:right="1440" w:bottom="1440" w:gutter="0" w:footer="0" w:header="0"/>
        </w:sectPr>
      </w:pPr>
    </w:p>
    <w:bookmarkStart w:id="10" w:name="page11"/>
    <w:bookmarkEnd w:id="10"/>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Interest rate swap agreements reduced interest expense by $21 million and $64 million for the three and nine months ended September 30, 2002, respectively, and $16 million and $21 million for the three and nine months ended September 30, 2001, respectively.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also entered into hedging agreements in February 2001 and during the second quarter of 2002 to secure the then current market interest rate in anticipation of senior unsecured note issuances. At September 30, 2002, these cash flow hedges resulted in a deferred loss, net of taxes, of $50 million, which is included in accumulated other comprehensive income. The $50 million deferred loss includes $8 million for hedges that have terminated concurrently with a senior unsecured note issuance. Of this $8 million, $1 million (on a pre-tax basis) is scheduled to be reclassified into interest expense over the next 12 months.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June 2002, the Company entered into forward contracts, which expire in December 2002 and 2003, and cross-currency swaps, which expire in May 2004, with net notional amounts of $165 million Canadian dollars to mitigate the risk of foreign currency exchange rate fluctuations associated with the conversion of Canadian dollars into US dollars. At September 30, 2002, these derivatives have a net fair value of approximately $3 million and are included in other long-term assets. The Company had no foreign currency derivatives outstanding at December 31, 2001.</w:t>
      </w:r>
    </w:p>
    <w:p>
      <w:pPr>
        <w:spacing w:after="0" w:line="207" w:lineRule="exact"/>
        <w:rPr>
          <w:sz w:val="20"/>
          <w:szCs w:val="20"/>
          <w:color w:val="auto"/>
        </w:rPr>
      </w:pPr>
    </w:p>
    <w:p>
      <w:pPr>
        <w:ind w:left="420" w:hanging="412"/>
        <w:spacing w:after="0"/>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current and deferred tax obligations associated with the provision for income taxes recorded in the statement of operations are reflected in the accompanying condensed consolidated balance sheets as a component of accrued liabilities and deferred income taxes, respectively. The difference in federal income taxes computed at the federal statutory rate and reported income taxes for the three and nine months ended September 30, 2002 is primarily due to state and local income taxes, offset in part by non-conventional fuel tax credits. In addition, the Company recognized a tax benefit of approximately $12 million in the third quarter of 2002 due to the anticipated capital gain from a fourth quarter 2002 sale which enables the Company to utilize a previously fully reserved capital loss that arose from a divestiture that occurred earlier in 2002. The remaining benefit will be recognized in the fourth quarter. For the three and nine months ended September 30, 2001, the difference is primarily due to state and local income taxes, non-deductible costs related to acquired intangibles and non-deductible costs associated with the impairment and divestiture of certain businesses. Additionally, in the second quarter of 2001, scheduled Canadian federal and provincial tax rate reductions resulted in a tax benefit of $42 million, which was offset in part by a tax expense of $30 million related to the Company's plan to repatriate certain Canadian capital and earnings previously deemed permanently invested in Canada.</w:t>
      </w:r>
    </w:p>
    <w:p>
      <w:pPr>
        <w:spacing w:after="0" w:line="389" w:lineRule="exact"/>
        <w:rPr>
          <w:sz w:val="20"/>
          <w:szCs w:val="20"/>
          <w:color w:val="auto"/>
        </w:rPr>
      </w:pPr>
    </w:p>
    <w:p>
      <w:pPr>
        <w:ind w:left="420" w:hanging="412"/>
        <w:spacing w:after="0"/>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2002 RESTRUCTURING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March 2002, the Company adopted a new organizational structure designed to better align collection, transport, recycling and disposal resources within market areas. The Company believes the new structure will yield a number of benefits, including clearer accountability and responsibility for business performance and profitability in specific markets; simplification of structure; cost savings through consolidation of duplicate administrative and other support functions; improved utilization of operating assets; and better customer responsiveness.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March of 2002, all of the Company's operations other than WTI and Canadian Waste Services ("CWS") were restructured to reduce the number of field layers of management from four to three and the number of field layers that have administrative and functional staff from four to two. Under the new structure, the Company's approximately 1,200 operating sites, including waste collection depots, transfer stations, landfills and recycling facilities, were restructured into approximately 82 newly established Market Areas. These Market Areas are responsible for the sales and marketing of the Company's services and for directing the delivery of service by the districts. The Market Area is also the profit center, and the districts, all of which</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14" w:right="1440" w:bottom="970" w:gutter="0" w:footer="0" w:header="0"/>
        </w:sectPr>
      </w:pPr>
    </w:p>
    <w:bookmarkStart w:id="11" w:name="page12"/>
    <w:bookmarkEnd w:id="11"/>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used to be profit centers, became cost centers. The largest Market Areas are headed by a Vice President and the others are headed by a General Manager. The Market Areas consolidate financial reporting and provide a range of assistance in the areas of finance and accounting, procurement, people, market planning and development, fleet services, recycling, legal services, engineering, regulatory compliance, safety and public affairs to support the districts. These Market Areas all report to one of four Groups that divide the United States geographically, and which were formerly known as the Company's "Areas." CWS, which was restructured into ten newly established Market Areas in July 2002, and WTI were the fifth and sixth Groups under the previous structure and continue as the fifth and sixth Groups under the new structure.</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recorded $1 million and $38 million of pre-tax charges for costs associated with the implementation of the new structure for the three and nine months ended September 30, 2002, respectively. These charges include $36 million for employee severance and benefit costs and $2 million related to abandoned operating lease agreements. The Company expects to incur an additional $3 million of restructuring expenses in the last quarter of 2002 primarily related to the relocation of employees and the consolidation of facilities to support the new organizational structure.</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new structure approximately 1,900 field-level administrative and operational positions have been eliminated. The Company's obligation for severance payments will continue during the last quarter of 2002 and, in some cases, into 2003. As of September 30, 2002, payments of $29 million for employee severance and benefits and for abandoned leases had been recorded against the restructuring liability that was previously established.</w:t>
      </w:r>
    </w:p>
    <w:p>
      <w:pPr>
        <w:spacing w:after="0" w:line="204" w:lineRule="exact"/>
        <w:rPr>
          <w:sz w:val="20"/>
          <w:szCs w:val="20"/>
          <w:color w:val="auto"/>
        </w:rPr>
      </w:pPr>
    </w:p>
    <w:p>
      <w:pPr>
        <w:ind w:left="420" w:hanging="412"/>
        <w:spacing w:after="0"/>
        <w:tabs>
          <w:tab w:leader="none" w:pos="4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SHARE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following reconciles income before extraordinary item and cumulative effect of changes in accounting principle as presented on the condensed consolidated statements of operations with diluted net income for the purposes of calculating diluted earnings per common share (in millions):</w:t>
      </w:r>
    </w:p>
    <w:p>
      <w:pPr>
        <w:spacing w:after="0" w:line="207" w:lineRule="exact"/>
        <w:rPr>
          <w:sz w:val="20"/>
          <w:szCs w:val="20"/>
          <w:color w:val="auto"/>
        </w:rPr>
      </w:pPr>
    </w:p>
    <w:p>
      <w:pPr>
        <w:ind w:left="220" w:right="4619" w:firstLine="53"/>
        <w:spacing w:after="0" w:line="268" w:lineRule="auto"/>
        <w:rPr>
          <w:sz w:val="20"/>
          <w:szCs w:val="20"/>
          <w:color w:val="auto"/>
        </w:rPr>
      </w:pPr>
      <w:r>
        <w:rPr>
          <w:rFonts w:ascii="Courier New" w:cs="Courier New" w:eastAsia="Courier New" w:hAnsi="Courier New"/>
          <w:sz w:val="16"/>
          <w:szCs w:val="16"/>
          <w:color w:val="auto"/>
        </w:rPr>
        <w:t>THREE MONTHS NINE MONTHS ENDED ENDED SEPTEMBER 30, SEPTEMBER 30, ------------- ------------- 2002 2001</w:t>
      </w:r>
    </w:p>
    <w:p>
      <w:pPr>
        <w:ind w:left="420"/>
        <w:spacing w:after="0" w:line="233" w:lineRule="auto"/>
        <w:rPr>
          <w:sz w:val="20"/>
          <w:szCs w:val="20"/>
          <w:color w:val="auto"/>
        </w:rPr>
      </w:pPr>
      <w:r>
        <w:rPr>
          <w:rFonts w:ascii="Courier New" w:cs="Courier New" w:eastAsia="Courier New" w:hAnsi="Courier New"/>
          <w:sz w:val="18"/>
          <w:szCs w:val="18"/>
          <w:color w:val="auto"/>
        </w:rPr>
        <w:t>2002 2001 ----- ----- ----- ----- Income before</w:t>
      </w:r>
    </w:p>
    <w:p>
      <w:pPr>
        <w:ind w:left="60"/>
        <w:spacing w:after="0"/>
        <w:rPr>
          <w:sz w:val="20"/>
          <w:szCs w:val="20"/>
          <w:color w:val="auto"/>
        </w:rPr>
      </w:pPr>
      <w:r>
        <w:rPr>
          <w:rFonts w:ascii="Courier New" w:cs="Courier New" w:eastAsia="Courier New" w:hAnsi="Courier New"/>
          <w:sz w:val="18"/>
          <w:szCs w:val="18"/>
          <w:color w:val="auto"/>
        </w:rPr>
        <w:t>extraordinary item and cumulative effect of changes in</w:t>
      </w:r>
    </w:p>
    <w:p>
      <w:pPr>
        <w:jc w:val="center"/>
        <w:ind w:right="4419"/>
        <w:spacing w:after="0" w:line="237" w:lineRule="auto"/>
        <w:rPr>
          <w:sz w:val="20"/>
          <w:szCs w:val="20"/>
          <w:color w:val="auto"/>
        </w:rPr>
      </w:pPr>
      <w:r>
        <w:rPr>
          <w:rFonts w:ascii="Courier New" w:cs="Courier New" w:eastAsia="Courier New" w:hAnsi="Courier New"/>
          <w:sz w:val="18"/>
          <w:szCs w:val="18"/>
          <w:color w:val="auto"/>
        </w:rPr>
        <w:t>accounting principle........................ $231 $31</w:t>
      </w:r>
    </w:p>
    <w:p>
      <w:pPr>
        <w:jc w:val="center"/>
        <w:ind w:right="4419"/>
        <w:spacing w:after="0"/>
        <w:rPr>
          <w:sz w:val="20"/>
          <w:szCs w:val="20"/>
          <w:color w:val="auto"/>
        </w:rPr>
      </w:pPr>
      <w:r>
        <w:rPr>
          <w:rFonts w:ascii="Courier New" w:cs="Courier New" w:eastAsia="Courier New" w:hAnsi="Courier New"/>
          <w:sz w:val="18"/>
          <w:szCs w:val="18"/>
          <w:color w:val="auto"/>
        </w:rPr>
        <w:t>$585 $345 Interest on convertible securities, net of</w:t>
      </w:r>
    </w:p>
    <w:p>
      <w:pPr>
        <w:jc w:val="center"/>
        <w:ind w:right="4419"/>
        <w:spacing w:after="0" w:line="237" w:lineRule="auto"/>
        <w:rPr>
          <w:sz w:val="20"/>
          <w:szCs w:val="20"/>
          <w:color w:val="auto"/>
        </w:rPr>
      </w:pPr>
      <w:r>
        <w:rPr>
          <w:rFonts w:ascii="Courier New" w:cs="Courier New" w:eastAsia="Courier New" w:hAnsi="Courier New"/>
          <w:sz w:val="18"/>
          <w:szCs w:val="18"/>
          <w:color w:val="auto"/>
        </w:rPr>
        <w:t>income</w:t>
      </w:r>
    </w:p>
    <w:p>
      <w:pPr>
        <w:spacing w:after="0" w:line="5"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taxes..................................................</w:t>
      </w:r>
    </w:p>
    <w:p>
      <w:pPr>
        <w:spacing w:after="0" w:line="21" w:lineRule="exact"/>
        <w:rPr>
          <w:sz w:val="20"/>
          <w:szCs w:val="20"/>
          <w:color w:val="auto"/>
        </w:rPr>
      </w:pPr>
    </w:p>
    <w:p>
      <w:pPr>
        <w:ind w:left="60" w:right="4479" w:firstLine="159"/>
        <w:spacing w:after="0" w:line="268" w:lineRule="auto"/>
        <w:tabs>
          <w:tab w:leader="none" w:pos="53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-- 1 -- ---- --- ---- ---- Diluted income before extraordinary item and cumulative effect of changes in</w:t>
      </w:r>
    </w:p>
    <w:p>
      <w:pPr>
        <w:jc w:val="center"/>
        <w:ind w:right="4419"/>
        <w:spacing w:after="0" w:line="233" w:lineRule="auto"/>
        <w:rPr>
          <w:sz w:val="20"/>
          <w:szCs w:val="20"/>
          <w:color w:val="auto"/>
        </w:rPr>
      </w:pPr>
      <w:r>
        <w:rPr>
          <w:rFonts w:ascii="Courier New" w:cs="Courier New" w:eastAsia="Courier New" w:hAnsi="Courier New"/>
          <w:sz w:val="18"/>
          <w:szCs w:val="18"/>
          <w:color w:val="auto"/>
        </w:rPr>
        <w:t>accounting principle.............. 231 31 586 345</w:t>
      </w:r>
    </w:p>
    <w:p>
      <w:pPr>
        <w:spacing w:after="0" w:line="5"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Extraordinary loss on early retirement of debt, net of</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income tax</w:t>
      </w:r>
    </w:p>
    <w:p>
      <w:pPr>
        <w:jc w:val="center"/>
        <w:ind w:right="4419"/>
        <w:spacing w:after="0" w:line="238" w:lineRule="auto"/>
        <w:rPr>
          <w:sz w:val="20"/>
          <w:szCs w:val="20"/>
          <w:color w:val="auto"/>
        </w:rPr>
      </w:pPr>
      <w:r>
        <w:rPr>
          <w:rFonts w:ascii="Courier New" w:cs="Courier New" w:eastAsia="Courier New" w:hAnsi="Courier New"/>
          <w:sz w:val="18"/>
          <w:szCs w:val="18"/>
          <w:color w:val="auto"/>
        </w:rPr>
        <w:t>benefit..................................... -- (1)</w:t>
      </w:r>
    </w:p>
    <w:p>
      <w:pPr>
        <w:jc w:val="center"/>
        <w:ind w:right="4419"/>
        <w:spacing w:after="0"/>
        <w:rPr>
          <w:sz w:val="20"/>
          <w:szCs w:val="20"/>
          <w:color w:val="auto"/>
        </w:rPr>
      </w:pPr>
      <w:r>
        <w:rPr>
          <w:rFonts w:ascii="Courier New" w:cs="Courier New" w:eastAsia="Courier New" w:hAnsi="Courier New"/>
          <w:sz w:val="18"/>
          <w:szCs w:val="18"/>
          <w:color w:val="auto"/>
        </w:rPr>
        <w:t>(1) (2) Cumulative effect of changes in accounting</w:t>
      </w:r>
    </w:p>
    <w:p>
      <w:pPr>
        <w:jc w:val="center"/>
        <w:ind w:right="4419"/>
        <w:spacing w:after="0" w:line="237" w:lineRule="auto"/>
        <w:rPr>
          <w:sz w:val="20"/>
          <w:szCs w:val="20"/>
          <w:color w:val="auto"/>
        </w:rPr>
      </w:pPr>
      <w:r>
        <w:rPr>
          <w:rFonts w:ascii="Courier New" w:cs="Courier New" w:eastAsia="Courier New" w:hAnsi="Courier New"/>
          <w:sz w:val="18"/>
          <w:szCs w:val="18"/>
          <w:color w:val="auto"/>
        </w:rPr>
        <w:t>principle, net of income tax</w:t>
      </w:r>
    </w:p>
    <w:p>
      <w:pPr>
        <w:spacing w:after="0" w:line="5"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expense.................................. -- -- 2 2 --</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 --- ---- ---- Diluted net</w:t>
      </w:r>
    </w:p>
    <w:p>
      <w:pPr>
        <w:spacing w:after="0" w:line="4"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income....................................... $231 $30</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$587 $345 ==== === ==== ====</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514" w:right="1440" w:bottom="1440" w:gutter="0" w:footer="0" w:header="0"/>
        </w:sectPr>
      </w:pPr>
    </w:p>
    <w:bookmarkStart w:id="12" w:name="page13"/>
    <w:bookmarkEnd w:id="12"/>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following reconciles the number of common shares outstanding at September 30 of each year to the weighted average number of common shares outstanding and the weighted average number of common and dilutive potential common shares outstanding for the purposes of calculating basic and diluted earnings per common share (shares in millions):</w:t>
      </w:r>
    </w:p>
    <w:p>
      <w:pPr>
        <w:spacing w:after="0" w:line="209" w:lineRule="exact"/>
        <w:rPr>
          <w:sz w:val="20"/>
          <w:szCs w:val="20"/>
          <w:color w:val="auto"/>
        </w:rPr>
      </w:pPr>
    </w:p>
    <w:p>
      <w:pPr>
        <w:ind w:left="220" w:right="4619" w:firstLine="53"/>
        <w:spacing w:after="0" w:line="268" w:lineRule="auto"/>
        <w:rPr>
          <w:sz w:val="20"/>
          <w:szCs w:val="20"/>
          <w:color w:val="auto"/>
        </w:rPr>
      </w:pPr>
      <w:r>
        <w:rPr>
          <w:rFonts w:ascii="Courier New" w:cs="Courier New" w:eastAsia="Courier New" w:hAnsi="Courier New"/>
          <w:sz w:val="16"/>
          <w:szCs w:val="16"/>
          <w:color w:val="auto"/>
        </w:rPr>
        <w:t>THREE MONTHS NINE MONTHS ENDED ENDED SEPTEMBER 30, SEPTEMBER 30, ------------- ------------- 2002 2001</w:t>
      </w:r>
    </w:p>
    <w:p>
      <w:pPr>
        <w:ind w:left="280"/>
        <w:spacing w:after="0" w:line="233" w:lineRule="auto"/>
        <w:rPr>
          <w:sz w:val="20"/>
          <w:szCs w:val="20"/>
          <w:color w:val="auto"/>
        </w:rPr>
      </w:pPr>
      <w:r>
        <w:rPr>
          <w:rFonts w:ascii="Courier New" w:cs="Courier New" w:eastAsia="Courier New" w:hAnsi="Courier New"/>
          <w:sz w:val="18"/>
          <w:szCs w:val="18"/>
          <w:color w:val="auto"/>
        </w:rPr>
        <w:t>2002 2001 ----- ----- ----- ----- Number of common</w:t>
      </w:r>
    </w:p>
    <w:p>
      <w:pPr>
        <w:jc w:val="center"/>
        <w:ind w:right="4419"/>
        <w:spacing w:after="0"/>
        <w:rPr>
          <w:sz w:val="20"/>
          <w:szCs w:val="20"/>
          <w:color w:val="auto"/>
        </w:rPr>
      </w:pPr>
      <w:r>
        <w:rPr>
          <w:rFonts w:ascii="Courier New" w:cs="Courier New" w:eastAsia="Courier New" w:hAnsi="Courier New"/>
          <w:sz w:val="18"/>
          <w:szCs w:val="18"/>
          <w:color w:val="auto"/>
        </w:rPr>
        <w:t>shares outstanding at end of period........ 608.7</w:t>
      </w:r>
    </w:p>
    <w:p>
      <w:pPr>
        <w:jc w:val="center"/>
        <w:ind w:right="4419"/>
        <w:spacing w:after="0" w:line="237" w:lineRule="auto"/>
        <w:rPr>
          <w:sz w:val="20"/>
          <w:szCs w:val="20"/>
          <w:color w:val="auto"/>
        </w:rPr>
      </w:pPr>
      <w:r>
        <w:rPr>
          <w:rFonts w:ascii="Courier New" w:cs="Courier New" w:eastAsia="Courier New" w:hAnsi="Courier New"/>
          <w:sz w:val="18"/>
          <w:szCs w:val="18"/>
          <w:color w:val="auto"/>
        </w:rPr>
        <w:t>627.5 608.7 627.5 Effect of using weighted average</w:t>
      </w:r>
    </w:p>
    <w:p>
      <w:pPr>
        <w:jc w:val="center"/>
        <w:ind w:right="4419"/>
        <w:spacing w:after="0"/>
        <w:rPr>
          <w:sz w:val="20"/>
          <w:szCs w:val="20"/>
          <w:color w:val="auto"/>
        </w:rPr>
      </w:pPr>
      <w:r>
        <w:rPr>
          <w:rFonts w:ascii="Courier New" w:cs="Courier New" w:eastAsia="Courier New" w:hAnsi="Courier New"/>
          <w:sz w:val="18"/>
          <w:szCs w:val="18"/>
          <w:color w:val="auto"/>
        </w:rPr>
        <w:t>common shares</w:t>
      </w:r>
    </w:p>
    <w:p>
      <w:pPr>
        <w:spacing w:after="0" w:line="4"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outstanding............................................</w:t>
      </w:r>
    </w:p>
    <w:p>
      <w:pPr>
        <w:spacing w:after="0" w:line="224"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common shares outstanding.............................</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610.4 627.0 617.1 625.8 Dilutive effect of common</w:t>
      </w:r>
    </w:p>
    <w:p>
      <w:pPr>
        <w:jc w:val="center"/>
        <w:ind w:right="4419"/>
        <w:spacing w:after="0" w:line="238" w:lineRule="auto"/>
        <w:rPr>
          <w:sz w:val="20"/>
          <w:szCs w:val="20"/>
          <w:color w:val="auto"/>
        </w:rPr>
      </w:pPr>
      <w:r>
        <w:rPr>
          <w:rFonts w:ascii="Courier New" w:cs="Courier New" w:eastAsia="Courier New" w:hAnsi="Courier New"/>
          <w:sz w:val="18"/>
          <w:szCs w:val="18"/>
          <w:color w:val="auto"/>
        </w:rPr>
        <w:t>stock options and warrants...... 2.8 5.3 3.7 4.5</w:t>
      </w:r>
    </w:p>
    <w:p>
      <w:pPr>
        <w:jc w:val="center"/>
        <w:ind w:right="4419"/>
        <w:spacing w:after="0"/>
        <w:rPr>
          <w:sz w:val="20"/>
          <w:szCs w:val="20"/>
          <w:color w:val="auto"/>
        </w:rPr>
      </w:pPr>
      <w:r>
        <w:rPr>
          <w:rFonts w:ascii="Courier New" w:cs="Courier New" w:eastAsia="Courier New" w:hAnsi="Courier New"/>
          <w:sz w:val="18"/>
          <w:szCs w:val="18"/>
          <w:color w:val="auto"/>
        </w:rPr>
        <w:t>Dilutive effect of convertible subordinated</w:t>
      </w:r>
    </w:p>
    <w:p>
      <w:pPr>
        <w:jc w:val="center"/>
        <w:ind w:right="4419"/>
        <w:spacing w:after="0" w:line="237" w:lineRule="auto"/>
        <w:rPr>
          <w:sz w:val="20"/>
          <w:szCs w:val="20"/>
          <w:color w:val="auto"/>
        </w:rPr>
      </w:pPr>
      <w:r>
        <w:rPr>
          <w:rFonts w:ascii="Courier New" w:cs="Courier New" w:eastAsia="Courier New" w:hAnsi="Courier New"/>
          <w:sz w:val="18"/>
          <w:szCs w:val="18"/>
          <w:color w:val="auto"/>
        </w:rPr>
        <w:t>notes......... -- -- 1.1 -- ----- ----- ----- -----</w:t>
      </w:r>
    </w:p>
    <w:p>
      <w:pPr>
        <w:jc w:val="center"/>
        <w:ind w:right="4419"/>
        <w:spacing w:after="0" w:line="238" w:lineRule="auto"/>
        <w:rPr>
          <w:sz w:val="20"/>
          <w:szCs w:val="20"/>
          <w:color w:val="auto"/>
        </w:rPr>
      </w:pPr>
      <w:r>
        <w:rPr>
          <w:rFonts w:ascii="Courier New" w:cs="Courier New" w:eastAsia="Courier New" w:hAnsi="Courier New"/>
          <w:sz w:val="18"/>
          <w:szCs w:val="18"/>
          <w:color w:val="auto"/>
        </w:rPr>
        <w:t>Diluted common shares</w:t>
      </w:r>
    </w:p>
    <w:p>
      <w:pPr>
        <w:jc w:val="center"/>
        <w:ind w:right="4419"/>
        <w:spacing w:after="0"/>
        <w:rPr>
          <w:sz w:val="20"/>
          <w:szCs w:val="20"/>
          <w:color w:val="auto"/>
        </w:rPr>
      </w:pPr>
      <w:r>
        <w:rPr>
          <w:rFonts w:ascii="Courier New" w:cs="Courier New" w:eastAsia="Courier New" w:hAnsi="Courier New"/>
          <w:sz w:val="18"/>
          <w:szCs w:val="18"/>
          <w:color w:val="auto"/>
        </w:rPr>
        <w:t>outstanding........................... 613.2 632.3</w:t>
      </w:r>
    </w:p>
    <w:p>
      <w:pPr>
        <w:jc w:val="center"/>
        <w:ind w:right="4419"/>
        <w:spacing w:after="0" w:line="237" w:lineRule="auto"/>
        <w:rPr>
          <w:sz w:val="20"/>
          <w:szCs w:val="20"/>
          <w:color w:val="auto"/>
        </w:rPr>
      </w:pPr>
      <w:r>
        <w:rPr>
          <w:rFonts w:ascii="Courier New" w:cs="Courier New" w:eastAsia="Courier New" w:hAnsi="Courier New"/>
          <w:sz w:val="18"/>
          <w:szCs w:val="18"/>
          <w:color w:val="auto"/>
        </w:rPr>
        <w:t>621.9 630.3 ===== ===== ===== =====</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the three months ended September 30, 2002 and the three and nine months ended September 30, 2001, the effect of the Company's convertible subordinated notes is excluded from the diluted earnings per share calculation because its inclusion would be antidilutive.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September 30, 2002, there were approximately 47 million shares of common stock potentially issuable with respect to stock options, warrants and convertible debt, of which approximately 25 million shares were not included in the diluted earnings per share computation because their exercise price was greater than the average per share market price of the Company's stock for the three and nine months ended September 30, 2002. Including the impact of these potentially issuable shares in the current period calculations would have been antidilutive for the periods presented, but could further dilute earnings per share in the future.</w:t>
      </w:r>
    </w:p>
    <w:p>
      <w:pPr>
        <w:spacing w:after="0" w:line="214"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 the third quarter of 2002, the Company declared an annual cash dividend of $0.01 per share, or approximately $6 million, to stockholders of record on September 30, 2002, which was paid on October 15, 2002.</w:t>
      </w:r>
    </w:p>
    <w:p>
      <w:pPr>
        <w:spacing w:after="0" w:line="203" w:lineRule="exact"/>
        <w:rPr>
          <w:sz w:val="20"/>
          <w:szCs w:val="20"/>
          <w:color w:val="auto"/>
        </w:rPr>
      </w:pPr>
    </w:p>
    <w:p>
      <w:pPr>
        <w:ind w:left="420" w:hanging="412"/>
        <w:spacing w:after="0"/>
        <w:tabs>
          <w:tab w:leader="none" w:pos="4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DERIVATIVE INSTRUMENT POTENTIALLY SETTLED IN COMMON STOCK</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the first quarter of 2002, the Company entered into a transaction to purchase stock under an accelerated stock repurchase master agreement, purchasing approximately 10.9 million shares at $27.46 per share for a total of approximately $300 million. Under the agreement, if the weighted average daily market price at the end of the valuation period times the number of shares initially purchased exceeded the approximately $300 million paid by the Company, the difference would have been paid by the Company to the counterparty. However, if at the end of the valuation period the weighted average daily market price times the number of shares initially purchased was less than the amount paid by the Company, this deficiency would be paid by the counterparty to the Company. The Company accounted for the initial payment as a purchase of treasury stock and classified the future settlement with the counterparty as an equity instrument because the Company had the option under the agreement to settle its obligations, if it had any obligations, in shares of its common stock.</w:t>
      </w:r>
    </w:p>
    <w:p>
      <w:pPr>
        <w:spacing w:after="0" w:line="38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weighted average daily market price of the stock during the valuation period times the number of shares initially purchased by the Company was approximately $18 million less than the approximately $300 million the Company paid for the repurchase. Therefore, during the third quarter of 2002 the counterparty paid the Company approximately $18 million in cash to settle the agreement. The Company accounted for the cash receipt as an adjustment to the carrying value of treasury stock and has therefore</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514" w:right="1440" w:bottom="970" w:gutter="0" w:footer="0" w:header="0"/>
        </w:sectPr>
      </w:pPr>
    </w:p>
    <w:bookmarkStart w:id="13" w:name="page14"/>
    <w:bookmarkEnd w:id="13"/>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included it in common stock repurchases within financing activities in the accompanying condensed consolidated statement of cash flows.</w:t>
      </w:r>
    </w:p>
    <w:p>
      <w:pPr>
        <w:spacing w:after="0" w:line="203" w:lineRule="exact"/>
        <w:rPr>
          <w:sz w:val="20"/>
          <w:szCs w:val="20"/>
          <w:color w:val="auto"/>
        </w:rPr>
      </w:pPr>
    </w:p>
    <w:p>
      <w:pPr>
        <w:ind w:left="420" w:hanging="412"/>
        <w:spacing w:after="0"/>
        <w:tabs>
          <w:tab w:leader="none" w:pos="4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COMPREHENSIVE INCOME (LOSS)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Comprehensive income (loss) is as follows (in millions):</w:t>
      </w:r>
    </w:p>
    <w:p>
      <w:pPr>
        <w:spacing w:after="0" w:line="207" w:lineRule="exact"/>
        <w:rPr>
          <w:sz w:val="20"/>
          <w:szCs w:val="20"/>
          <w:color w:val="auto"/>
        </w:rPr>
      </w:pPr>
    </w:p>
    <w:p>
      <w:pPr>
        <w:ind w:left="260" w:right="4579" w:firstLine="52"/>
        <w:spacing w:after="0" w:line="268" w:lineRule="auto"/>
        <w:rPr>
          <w:sz w:val="20"/>
          <w:szCs w:val="20"/>
          <w:color w:val="auto"/>
        </w:rPr>
      </w:pPr>
      <w:r>
        <w:rPr>
          <w:rFonts w:ascii="Courier New" w:cs="Courier New" w:eastAsia="Courier New" w:hAnsi="Courier New"/>
          <w:sz w:val="16"/>
          <w:szCs w:val="16"/>
          <w:color w:val="auto"/>
        </w:rPr>
        <w:t>THREE MONTHS NINE MONTHS ENDED ENDED SEPTEMBER 30, SEPTEMBER 30, ------------- ------------- 2002 2001</w:t>
      </w:r>
    </w:p>
    <w:p>
      <w:pPr>
        <w:ind w:left="1000"/>
        <w:spacing w:after="0" w:line="233" w:lineRule="auto"/>
        <w:rPr>
          <w:sz w:val="20"/>
          <w:szCs w:val="20"/>
          <w:color w:val="auto"/>
        </w:rPr>
      </w:pPr>
      <w:r>
        <w:rPr>
          <w:rFonts w:ascii="Courier New" w:cs="Courier New" w:eastAsia="Courier New" w:hAnsi="Courier New"/>
          <w:sz w:val="18"/>
          <w:szCs w:val="18"/>
          <w:color w:val="auto"/>
        </w:rPr>
        <w:t>2002 2001 ----- ----- ----- ----- Net</w:t>
      </w:r>
    </w:p>
    <w:p>
      <w:pPr>
        <w:spacing w:after="0"/>
        <w:rPr>
          <w:sz w:val="20"/>
          <w:szCs w:val="20"/>
          <w:color w:val="auto"/>
        </w:rPr>
      </w:pPr>
      <w:r>
        <w:rPr>
          <w:rFonts w:ascii="Courier New" w:cs="Courier New" w:eastAsia="Courier New" w:hAnsi="Courier New"/>
          <w:sz w:val="18"/>
          <w:szCs w:val="18"/>
          <w:color w:val="auto"/>
        </w:rPr>
        <w:t>income..................................................</w:t>
      </w:r>
    </w:p>
    <w:p>
      <w:pPr>
        <w:ind w:left="580"/>
        <w:spacing w:after="0" w:line="237" w:lineRule="auto"/>
        <w:rPr>
          <w:sz w:val="20"/>
          <w:szCs w:val="20"/>
          <w:color w:val="auto"/>
        </w:rPr>
      </w:pPr>
      <w:r>
        <w:rPr>
          <w:rFonts w:ascii="Courier New" w:cs="Courier New" w:eastAsia="Courier New" w:hAnsi="Courier New"/>
          <w:sz w:val="18"/>
          <w:szCs w:val="18"/>
          <w:color w:val="auto"/>
        </w:rPr>
        <w:t>$231 $ 30 $586 $345 ---- ---- ---- ---- Other</w:t>
      </w:r>
    </w:p>
    <w:p>
      <w:pPr>
        <w:spacing w:after="0" w:line="5"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comprehensive income (loss): Changes in minimum pension</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liability adjustment, net of</w:t>
      </w:r>
    </w:p>
    <w:p>
      <w:pPr>
        <w:ind w:left="60"/>
        <w:spacing w:after="0" w:line="238" w:lineRule="auto"/>
        <w:rPr>
          <w:sz w:val="20"/>
          <w:szCs w:val="20"/>
          <w:color w:val="auto"/>
        </w:rPr>
      </w:pPr>
      <w:r>
        <w:rPr>
          <w:rFonts w:ascii="Courier New" w:cs="Courier New" w:eastAsia="Courier New" w:hAnsi="Courier New"/>
          <w:sz w:val="18"/>
          <w:szCs w:val="18"/>
          <w:color w:val="auto"/>
        </w:rPr>
        <w:t>taxes..................................................</w:t>
      </w:r>
    </w:p>
    <w:p>
      <w:pPr>
        <w:jc w:val="center"/>
        <w:ind w:right="4319"/>
        <w:spacing w:after="0"/>
        <w:rPr>
          <w:sz w:val="20"/>
          <w:szCs w:val="20"/>
          <w:color w:val="auto"/>
        </w:rPr>
      </w:pPr>
      <w:r>
        <w:rPr>
          <w:rFonts w:ascii="Courier New" w:cs="Courier New" w:eastAsia="Courier New" w:hAnsi="Courier New"/>
          <w:sz w:val="18"/>
          <w:szCs w:val="18"/>
          <w:color w:val="auto"/>
        </w:rPr>
        <w:t>-- -- -- 3 Unrealized gain (loss) on derivative</w:t>
      </w:r>
    </w:p>
    <w:p>
      <w:pPr>
        <w:spacing w:after="0" w:line="3" w:lineRule="exact"/>
        <w:rPr>
          <w:sz w:val="20"/>
          <w:szCs w:val="20"/>
          <w:color w:val="auto"/>
        </w:rPr>
      </w:pPr>
    </w:p>
    <w:p>
      <w:pPr>
        <w:jc w:val="center"/>
        <w:ind w:right="4319"/>
        <w:spacing w:after="0" w:line="270" w:lineRule="auto"/>
        <w:rPr>
          <w:sz w:val="20"/>
          <w:szCs w:val="20"/>
          <w:color w:val="auto"/>
        </w:rPr>
      </w:pPr>
      <w:r>
        <w:rPr>
          <w:rFonts w:ascii="Courier New" w:cs="Courier New" w:eastAsia="Courier New" w:hAnsi="Courier New"/>
          <w:sz w:val="16"/>
          <w:szCs w:val="16"/>
          <w:color w:val="auto"/>
        </w:rPr>
        <w:t>instruments.......... (25) (2) (49) 5 Unrealized gain (loss) on marketable securities, net of taxes.................................................. (1) 2 (6) 10 Foreign currency translation adjustment................... (28) (40) 9 (43) ---- --- - ---- ---- Other comprehensive loss.................................... (54) (40) (46) (25) ---- ---- ---- ---- Total comprehensive income (loss)........................... $177 $(10) $540 $320 ==== ==== ==== ====</w:t>
      </w:r>
    </w:p>
    <w:p>
      <w:pPr>
        <w:spacing w:after="0" w:line="392"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components of accumulated other comprehensive loss were as follows (in millions):</w:t>
      </w:r>
    </w:p>
    <w:p>
      <w:pPr>
        <w:spacing w:after="0" w:line="208" w:lineRule="exact"/>
        <w:rPr>
          <w:sz w:val="20"/>
          <w:szCs w:val="20"/>
          <w:color w:val="auto"/>
        </w:rPr>
      </w:pPr>
    </w:p>
    <w:p>
      <w:pPr>
        <w:jc w:val="center"/>
        <w:ind w:right="4099"/>
        <w:spacing w:after="0" w:line="237" w:lineRule="auto"/>
        <w:rPr>
          <w:sz w:val="20"/>
          <w:szCs w:val="20"/>
          <w:color w:val="auto"/>
        </w:rPr>
      </w:pPr>
      <w:r>
        <w:rPr>
          <w:rFonts w:ascii="Courier New" w:cs="Courier New" w:eastAsia="Courier New" w:hAnsi="Courier New"/>
          <w:sz w:val="18"/>
          <w:szCs w:val="18"/>
          <w:color w:val="auto"/>
        </w:rPr>
        <w:t>SEPTEMBER 30, DECEMBER 31, 2002 2001 ------------- ------ ------ Minimum pension liability adjustment, net of taxes.......... $ (1) $ (1) Accumulated unrealized gain (loss) resulting from changes in fair values of derivative instruments, net of taxes....... (44) 5 Accumulated unrealized loss from derivative instruments</w:t>
      </w:r>
    </w:p>
    <w:p>
      <w:pPr>
        <w:spacing w:after="0" w:line="2"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reclassified into earnings, net of</w:t>
      </w:r>
    </w:p>
    <w:p>
      <w:pPr>
        <w:jc w:val="center"/>
        <w:ind w:right="4099"/>
        <w:spacing w:after="0" w:line="238" w:lineRule="auto"/>
        <w:rPr>
          <w:sz w:val="20"/>
          <w:szCs w:val="20"/>
          <w:color w:val="auto"/>
        </w:rPr>
      </w:pPr>
      <w:r>
        <w:rPr>
          <w:rFonts w:ascii="Courier New" w:cs="Courier New" w:eastAsia="Courier New" w:hAnsi="Courier New"/>
          <w:sz w:val="18"/>
          <w:szCs w:val="18"/>
          <w:color w:val="auto"/>
        </w:rPr>
        <w:t>taxes.................. (4) (4) Accumulated unrealized</w:t>
      </w:r>
    </w:p>
    <w:p>
      <w:pPr>
        <w:jc w:val="center"/>
        <w:ind w:right="4099"/>
        <w:spacing w:after="0"/>
        <w:rPr>
          <w:sz w:val="20"/>
          <w:szCs w:val="20"/>
          <w:color w:val="auto"/>
        </w:rPr>
      </w:pPr>
      <w:r>
        <w:rPr>
          <w:rFonts w:ascii="Courier New" w:cs="Courier New" w:eastAsia="Courier New" w:hAnsi="Courier New"/>
          <w:sz w:val="18"/>
          <w:szCs w:val="18"/>
          <w:color w:val="auto"/>
        </w:rPr>
        <w:t>gain on marketable securities, net of</w:t>
      </w:r>
    </w:p>
    <w:p>
      <w:pPr>
        <w:spacing w:after="0" w:line="237" w:lineRule="auto"/>
        <w:rPr>
          <w:sz w:val="20"/>
          <w:szCs w:val="20"/>
          <w:color w:val="auto"/>
        </w:rPr>
      </w:pPr>
      <w:r>
        <w:rPr>
          <w:rFonts w:ascii="Courier New" w:cs="Courier New" w:eastAsia="Courier New" w:hAnsi="Courier New"/>
          <w:sz w:val="18"/>
          <w:szCs w:val="18"/>
          <w:color w:val="auto"/>
        </w:rPr>
        <w:t>taxes.....................................................</w:t>
      </w:r>
    </w:p>
    <w:p>
      <w:pPr>
        <w:jc w:val="center"/>
        <w:ind w:right="4099"/>
        <w:spacing w:after="0" w:line="238" w:lineRule="auto"/>
        <w:rPr>
          <w:sz w:val="20"/>
          <w:szCs w:val="20"/>
          <w:color w:val="auto"/>
        </w:rPr>
      </w:pPr>
      <w:r>
        <w:rPr>
          <w:rFonts w:ascii="Courier New" w:cs="Courier New" w:eastAsia="Courier New" w:hAnsi="Courier New"/>
          <w:sz w:val="18"/>
          <w:szCs w:val="18"/>
          <w:color w:val="auto"/>
        </w:rPr>
        <w:t>-- 6 Cumulative foreign currency translation</w:t>
      </w:r>
    </w:p>
    <w:p>
      <w:pPr>
        <w:jc w:val="center"/>
        <w:ind w:right="4099"/>
        <w:spacing w:after="0"/>
        <w:rPr>
          <w:sz w:val="20"/>
          <w:szCs w:val="20"/>
          <w:color w:val="auto"/>
        </w:rPr>
      </w:pPr>
      <w:r>
        <w:rPr>
          <w:rFonts w:ascii="Courier New" w:cs="Courier New" w:eastAsia="Courier New" w:hAnsi="Courier New"/>
          <w:sz w:val="18"/>
          <w:szCs w:val="18"/>
          <w:color w:val="auto"/>
        </w:rPr>
        <w:t>adjustment.......... (145) (154) ----- ----- $(194)</w:t>
      </w:r>
    </w:p>
    <w:p>
      <w:pPr>
        <w:jc w:val="center"/>
        <w:ind w:right="4099"/>
        <w:spacing w:after="0" w:line="237" w:lineRule="auto"/>
        <w:rPr>
          <w:sz w:val="20"/>
          <w:szCs w:val="20"/>
          <w:color w:val="auto"/>
        </w:rPr>
      </w:pPr>
      <w:r>
        <w:rPr>
          <w:rFonts w:ascii="Courier New" w:cs="Courier New" w:eastAsia="Courier New" w:hAnsi="Courier New"/>
          <w:sz w:val="18"/>
          <w:szCs w:val="18"/>
          <w:color w:val="auto"/>
        </w:rPr>
        <w:t>$(148) ===== =====</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LIABILITIES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Company has material financial commitments for final closure and post-closure obligations with respect to the landfills it owns or operates. Estimates of final closure and post-closure costs are developed using input from the Company's engineers and accountants and are reviewed by management, typically at least once per year. Adjustments for final closure and post-closure estimates are accounted for prospectively over the remaining capacity of the landfill. The estimates are based on the Company's interpretation of current requirements and proposed regulatory changes. For landfills, the present value of final closure and post-closure liabilities is accrued using a calculated rate per ton and charged to expense as airspace is consumed. Each year the Company revises its calculated rate per ton to reflect accretion on the present value of the liability. The revised rate per ton is calculated by dividing the revised present value of the liability, less the accumulated liability recognized to date, by the estimated remaining capacity of the landfill. The present value of total estimated final closure and post-closure costs will be fully accrued for each landfill at the time the site discontinues accepting waste and is closed. Final closure and post-closure accruals consider estimates for the final cap and cover for the site, methane gas control, leachate management and groundwater monitoring, and other operational and maintenance costs to be incurred after the site discontinues accepting waste, which is</w:t>
      </w:r>
    </w:p>
    <w:p>
      <w:pPr>
        <w:spacing w:after="0" w:line="38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514" w:right="1440" w:bottom="767" w:gutter="0" w:footer="0" w:header="0"/>
        </w:sectPr>
      </w:pPr>
    </w:p>
    <w:bookmarkStart w:id="14" w:name="page15"/>
    <w:bookmarkEnd w:id="14"/>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generally expected to be for a period of up to thirty years after final site closure. For purchased disposal sites, the Company assesses and records a present value-based final closure and post-closure liability at the time the Company assumes closure responsibility. This liability is based on the estimated final closure and post-closure costs and the percentage of airspace used as of the date the Company has assumed the closure responsibility. Thereafter, the difference between the final closure and post-closure liability recorded at the time of acquisition and the present value of total estimated final closure and post-closure costs to be incurred is accrued using the calculated rate and charged to operating costs as airspace is consumed.</w:t>
      </w:r>
    </w:p>
    <w:p>
      <w:pPr>
        <w:spacing w:after="0" w:line="215"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In the United States, the final closure and post-closure requirements are established by the EPA's Subtitles C and D regulations, as implemented and applied on a state-by-state basis. The costs to comply with these requirements could increase in the future as a result of legislation or regulation.</w:t>
      </w:r>
    </w:p>
    <w:p>
      <w:pPr>
        <w:spacing w:after="0" w:line="18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Company routinely reviews and evaluates sites that require remediation, including sites listed on the EPA's National Priorities List ("NPL sites"). The Company considers whether the Company was an owner, operator, transporter, or generator at the site, the amount and type of waste hauled to the site and the number of years the Company was connected with the site. The Company also reviews the same information with respect to other named and unnamed potentially responsible parties ("PRPs"). The Company then reviews the estimated cost for the likely remedy, which is based on management's judgment and experience in remediating such sites for the Company as well as for unrelated parties, information available from regulatory agencies as to costs of remediation, and the number, financial resources and relative degree of responsibility of other PRPs who may be liable for remediation of a specific site, as well as the typical allocation of costs among PRPs. These estimates are sometimes a range of possible outcomes. In those cases, the Company uses the amount within the range that constitutes its best estimate. If no amount within the range appears to be a better estimate than any other, the Company uses the amounts that are the low ends of the ranges in accordance with Statement of Financial Accounting Standards No. 5, Accounting for Contingencies, and its interpretations. Were the Company to use the high ends of such ranges, it is reasonably possible that the Company's potential liability would be approximately $220 million higher on a discounted basis in the aggregate than the estimate recorded in the consolidated financial statements as of September 30, 2002. As used in this context, "reasonably possible" means the Company believes it is more than remote but less than likely.</w:t>
      </w:r>
    </w:p>
    <w:p>
      <w:pPr>
        <w:spacing w:after="0" w:line="200" w:lineRule="exact"/>
        <w:rPr>
          <w:sz w:val="20"/>
          <w:szCs w:val="20"/>
          <w:color w:val="auto"/>
        </w:rPr>
      </w:pPr>
    </w:p>
    <w:p>
      <w:pPr>
        <w:spacing w:after="0" w:line="39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of September 30, 2002, the Company or its subsidiaries had been notified that they are potentially responsible parties in connection with 75 locations listed on the NPL at which the Company's liability has not been rendered remote as a result of a settlement, judgment or other facts. Of the 75 NPL sites at which claims remain unliquidated, 17 are sites that the Company currently owns. All of the NPL sites owned by the Company were initially developed by others as landfill disposal facilities. At each of the 17 owned facilities, the Company is working with the appropriate government agency to characterize or remediate identified site problems. In addition, at these 17 owned facilities, the Company has either agreed with other liable parties on an arrangement for sharing the costs of remediation or is pursuing resolution of an allocation formula. The Company believes that the remediation costs associated with the 17 NPL sites it currently owns are accrued for adequately. The 58 NPL sites at which claims against the Company remain unliquidated and that are not owned by the Company are at different procedural stages under Superfund. At some of these sites, the Company's liability is well defined as a consequence of governmental decisions as to the appropriate remedy and agreements among liable parties as to the share each will pay for implementing that remedy. At others where no remedy has been selected or the liable parties have been unable to agree on an appropriate allocation, the Company's future costs are uncertain, and as they become estimable, could have a material adverse effect on the Company's financial statements.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Estimates of the Company's degree of responsibility for remediation of a particular site and the method and ultimate cost of remediation require a number of assumptions and are inherently difficult, and the ultimate outcome may differ materially from current estimates. It is possible that technological, regulatory or enforcement developments, the results of environmental studies, the inability to identify other PRPs, the</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514" w:right="1440" w:bottom="362" w:gutter="0" w:footer="0" w:header="0"/>
        </w:sectPr>
      </w:pPr>
    </w:p>
    <w:bookmarkStart w:id="15" w:name="page16"/>
    <w:bookmarkEnd w:id="15"/>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inability of other PRPs to contribute to the settlements of such liabilities, or other factors could necessitate the recording of additional liabilities that could be material. Additionally, the Company's ongoing review of its remediation liabilities could result in revisions that could cause upward or downward adjustments to income from operations. These adjustments could be material in any given period.</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Where the Company believes that both the amount of a particular environmental liability and the timing of the payments are reliably determinable, the cost in current dollars is increased for inflation until expected time of payment and then discounted to present value. The inflation rate and discount rate, which are based on the rates for United States Treasury bonds, are reviewed on an annual basis. At both September 30, 2002 and December 31, 2001, the inflation rate and discount rate were 2.0% and 5.5%, respectively. The accretion of the interest related to the discounted environmental liabilities for operating landfills is included in the annual calculation of the landfill's final closure and post-closure cost per ton and is charged to operating costs as landfill airspace is consumed. This practice, as it relates to operating landfills, will change upon the Company's adoption of Statement of Financial Accounting Standards No. 143, Accounting for Asset Retirement Obligations ("SFAS No. 143"). See Note 12 for additional comments on this pronouncement.</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Liabilities for final closure, post-closure and environmental remediation costs consisted of the following (in millions):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SEPTEMBER 30, 2002</w:t>
      </w:r>
    </w:p>
    <w:p>
      <w:pPr>
        <w:ind w:left="120"/>
        <w:spacing w:after="0" w:line="238" w:lineRule="auto"/>
        <w:rPr>
          <w:sz w:val="20"/>
          <w:szCs w:val="20"/>
          <w:color w:val="auto"/>
        </w:rPr>
      </w:pPr>
      <w:r>
        <w:rPr>
          <w:rFonts w:ascii="Courier New" w:cs="Courier New" w:eastAsia="Courier New" w:hAnsi="Courier New"/>
          <w:sz w:val="18"/>
          <w:szCs w:val="18"/>
          <w:color w:val="auto"/>
        </w:rPr>
        <w:t>DECEMBER 31, 2001</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80" w:hanging="221"/>
        <w:spacing w:after="0" w:line="238" w:lineRule="auto"/>
        <w:tabs>
          <w:tab w:leader="none" w:pos="2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80" w:right="8319" w:hanging="168"/>
        <w:spacing w:after="0" w:line="268" w:lineRule="auto"/>
        <w:tabs>
          <w:tab w:leader="none" w:pos="438"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FINAL CLOSURE/ FINAL CLOSURE/</w:t>
      </w:r>
    </w:p>
    <w:p>
      <w:pPr>
        <w:jc w:val="center"/>
        <w:ind w:right="8199"/>
        <w:spacing w:after="0" w:line="233" w:lineRule="auto"/>
        <w:rPr>
          <w:sz w:val="20"/>
          <w:szCs w:val="20"/>
          <w:color w:val="auto"/>
        </w:rPr>
      </w:pPr>
      <w:r>
        <w:rPr>
          <w:rFonts w:ascii="Courier New" w:cs="Courier New" w:eastAsia="Courier New" w:hAnsi="Courier New"/>
          <w:sz w:val="18"/>
          <w:szCs w:val="18"/>
          <w:color w:val="auto"/>
        </w:rPr>
        <w:t>POST-CLOSURE</w:t>
      </w:r>
    </w:p>
    <w:p>
      <w:pPr>
        <w:jc w:val="center"/>
        <w:ind w:right="8199"/>
        <w:spacing w:after="0"/>
        <w:rPr>
          <w:sz w:val="20"/>
          <w:szCs w:val="20"/>
          <w:color w:val="auto"/>
        </w:rPr>
      </w:pPr>
      <w:r>
        <w:rPr>
          <w:rFonts w:ascii="Courier New" w:cs="Courier New" w:eastAsia="Courier New" w:hAnsi="Courier New"/>
          <w:sz w:val="18"/>
          <w:szCs w:val="18"/>
          <w:color w:val="auto"/>
        </w:rPr>
        <w:t>REMEDIATION TOTAL</w:t>
      </w:r>
    </w:p>
    <w:p>
      <w:pPr>
        <w:jc w:val="center"/>
        <w:ind w:right="8199"/>
        <w:spacing w:after="0" w:line="237" w:lineRule="auto"/>
        <w:rPr>
          <w:sz w:val="20"/>
          <w:szCs w:val="20"/>
          <w:color w:val="auto"/>
        </w:rPr>
      </w:pPr>
      <w:r>
        <w:rPr>
          <w:rFonts w:ascii="Courier New" w:cs="Courier New" w:eastAsia="Courier New" w:hAnsi="Courier New"/>
          <w:sz w:val="18"/>
          <w:szCs w:val="18"/>
          <w:color w:val="auto"/>
        </w:rPr>
        <w:t>POST-CLOSURE</w:t>
      </w:r>
    </w:p>
    <w:p>
      <w:pPr>
        <w:jc w:val="center"/>
        <w:ind w:right="8199"/>
        <w:spacing w:after="0"/>
        <w:rPr>
          <w:sz w:val="20"/>
          <w:szCs w:val="20"/>
          <w:color w:val="auto"/>
        </w:rPr>
      </w:pPr>
      <w:r>
        <w:rPr>
          <w:rFonts w:ascii="Courier New" w:cs="Courier New" w:eastAsia="Courier New" w:hAnsi="Courier New"/>
          <w:sz w:val="18"/>
          <w:szCs w:val="18"/>
          <w:color w:val="auto"/>
        </w:rPr>
        <w:t>REMEDIATION TOTAL</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380"/>
        <w:spacing w:after="0" w:line="238" w:lineRule="auto"/>
        <w:rPr>
          <w:sz w:val="20"/>
          <w:szCs w:val="20"/>
          <w:color w:val="auto"/>
        </w:rPr>
      </w:pPr>
      <w:r>
        <w:rPr>
          <w:rFonts w:ascii="Courier New" w:cs="Courier New" w:eastAsia="Courier New" w:hAnsi="Courier New"/>
          <w:sz w:val="18"/>
          <w:szCs w:val="18"/>
          <w:color w:val="auto"/>
        </w:rPr>
        <w:t>------ -----</w:t>
      </w:r>
    </w:p>
    <w:p>
      <w:pPr>
        <w:jc w:val="center"/>
        <w:ind w:right="8199"/>
        <w:spacing w:after="0"/>
        <w:rPr>
          <w:sz w:val="20"/>
          <w:szCs w:val="20"/>
          <w:color w:val="auto"/>
        </w:rPr>
      </w:pPr>
      <w:r>
        <w:rPr>
          <w:rFonts w:ascii="Courier New" w:cs="Courier New" w:eastAsia="Courier New" w:hAnsi="Courier New"/>
          <w:sz w:val="18"/>
          <w:szCs w:val="18"/>
          <w:color w:val="auto"/>
        </w:rPr>
        <w:t>Current (in</w:t>
      </w:r>
    </w:p>
    <w:p>
      <w:pPr>
        <w:jc w:val="center"/>
        <w:ind w:right="8199"/>
        <w:spacing w:after="0" w:line="237" w:lineRule="auto"/>
        <w:rPr>
          <w:sz w:val="20"/>
          <w:szCs w:val="20"/>
          <w:color w:val="auto"/>
        </w:rPr>
      </w:pPr>
      <w:r>
        <w:rPr>
          <w:rFonts w:ascii="Courier New" w:cs="Courier New" w:eastAsia="Courier New" w:hAnsi="Courier New"/>
          <w:sz w:val="18"/>
          <w:szCs w:val="18"/>
          <w:color w:val="auto"/>
        </w:rPr>
        <w:t>accrued</w:t>
      </w:r>
    </w:p>
    <w:p>
      <w:pPr>
        <w:spacing w:after="0"/>
        <w:rPr>
          <w:sz w:val="20"/>
          <w:szCs w:val="20"/>
          <w:color w:val="auto"/>
        </w:rPr>
      </w:pPr>
      <w:r>
        <w:rPr>
          <w:rFonts w:ascii="Courier New" w:cs="Courier New" w:eastAsia="Courier New" w:hAnsi="Courier New"/>
          <w:sz w:val="18"/>
          <w:szCs w:val="18"/>
          <w:color w:val="auto"/>
        </w:rPr>
        <w:t>liabilities).......</w:t>
      </w:r>
    </w:p>
    <w:p>
      <w:pPr>
        <w:ind w:left="120"/>
        <w:spacing w:after="0" w:line="237" w:lineRule="auto"/>
        <w:rPr>
          <w:sz w:val="20"/>
          <w:szCs w:val="20"/>
          <w:color w:val="auto"/>
        </w:rPr>
      </w:pPr>
      <w:r>
        <w:rPr>
          <w:rFonts w:ascii="Courier New" w:cs="Courier New" w:eastAsia="Courier New" w:hAnsi="Courier New"/>
          <w:sz w:val="18"/>
          <w:szCs w:val="18"/>
          <w:color w:val="auto"/>
        </w:rPr>
        <w:t>$ 55 $ 55 $ 110 $</w:t>
      </w:r>
    </w:p>
    <w:p>
      <w:pPr>
        <w:ind w:left="60"/>
        <w:spacing w:after="0"/>
        <w:rPr>
          <w:sz w:val="20"/>
          <w:szCs w:val="20"/>
          <w:color w:val="auto"/>
        </w:rPr>
      </w:pPr>
      <w:r>
        <w:rPr>
          <w:rFonts w:ascii="Courier New" w:cs="Courier New" w:eastAsia="Courier New" w:hAnsi="Courier New"/>
          <w:sz w:val="18"/>
          <w:szCs w:val="18"/>
          <w:color w:val="auto"/>
        </w:rPr>
        <w:t>55 $ 66 $121 Long-</w:t>
      </w:r>
    </w:p>
    <w:p>
      <w:pPr>
        <w:ind w:left="160"/>
        <w:spacing w:after="0" w:line="237" w:lineRule="auto"/>
        <w:rPr>
          <w:sz w:val="20"/>
          <w:szCs w:val="20"/>
          <w:color w:val="auto"/>
        </w:rPr>
      </w:pPr>
      <w:r>
        <w:rPr>
          <w:rFonts w:ascii="Courier New" w:cs="Courier New" w:eastAsia="Courier New" w:hAnsi="Courier New"/>
          <w:sz w:val="18"/>
          <w:szCs w:val="18"/>
          <w:color w:val="auto"/>
        </w:rPr>
        <w:t>term............</w:t>
      </w:r>
    </w:p>
    <w:p>
      <w:pPr>
        <w:jc w:val="center"/>
        <w:ind w:right="8199"/>
        <w:spacing w:after="0"/>
        <w:rPr>
          <w:sz w:val="20"/>
          <w:szCs w:val="20"/>
          <w:color w:val="auto"/>
        </w:rPr>
      </w:pPr>
      <w:r>
        <w:rPr>
          <w:rFonts w:ascii="Courier New" w:cs="Courier New" w:eastAsia="Courier New" w:hAnsi="Courier New"/>
          <w:sz w:val="18"/>
          <w:szCs w:val="18"/>
          <w:color w:val="auto"/>
        </w:rPr>
        <w:t>598 300 898 570</w:t>
      </w:r>
    </w:p>
    <w:p>
      <w:pPr>
        <w:ind w:left="120"/>
        <w:spacing w:after="0" w:line="237" w:lineRule="auto"/>
        <w:rPr>
          <w:sz w:val="20"/>
          <w:szCs w:val="20"/>
          <w:color w:val="auto"/>
        </w:rPr>
      </w:pPr>
      <w:r>
        <w:rPr>
          <w:rFonts w:ascii="Courier New" w:cs="Courier New" w:eastAsia="Courier New" w:hAnsi="Courier New"/>
          <w:sz w:val="18"/>
          <w:szCs w:val="18"/>
          <w:color w:val="auto"/>
        </w:rPr>
        <w:t>255 825 ---- ----</w:t>
      </w:r>
    </w:p>
    <w:p>
      <w:pPr>
        <w:ind w:left="60"/>
        <w:spacing w:after="0" w:line="238" w:lineRule="auto"/>
        <w:rPr>
          <w:sz w:val="20"/>
          <w:szCs w:val="20"/>
          <w:color w:val="auto"/>
        </w:rPr>
      </w:pPr>
      <w:r>
        <w:rPr>
          <w:rFonts w:ascii="Courier New" w:cs="Courier New" w:eastAsia="Courier New" w:hAnsi="Courier New"/>
          <w:sz w:val="18"/>
          <w:szCs w:val="18"/>
          <w:color w:val="auto"/>
        </w:rPr>
        <w:t>------ ---- ---- -</w:t>
      </w:r>
    </w:p>
    <w:p>
      <w:pPr>
        <w:jc w:val="center"/>
        <w:ind w:right="8199"/>
        <w:spacing w:after="0"/>
        <w:rPr>
          <w:sz w:val="20"/>
          <w:szCs w:val="20"/>
          <w:color w:val="auto"/>
        </w:rPr>
      </w:pPr>
      <w:r>
        <w:rPr>
          <w:rFonts w:ascii="Courier New" w:cs="Courier New" w:eastAsia="Courier New" w:hAnsi="Courier New"/>
          <w:sz w:val="18"/>
          <w:szCs w:val="18"/>
          <w:color w:val="auto"/>
        </w:rPr>
        <w:t>--- $653 $355</w:t>
      </w:r>
    </w:p>
    <w:p>
      <w:pPr>
        <w:jc w:val="center"/>
        <w:ind w:right="8199"/>
        <w:spacing w:after="0" w:line="237" w:lineRule="auto"/>
        <w:rPr>
          <w:sz w:val="20"/>
          <w:szCs w:val="20"/>
          <w:color w:val="auto"/>
        </w:rPr>
      </w:pPr>
      <w:r>
        <w:rPr>
          <w:rFonts w:ascii="Courier New" w:cs="Courier New" w:eastAsia="Courier New" w:hAnsi="Courier New"/>
          <w:sz w:val="18"/>
          <w:szCs w:val="18"/>
          <w:color w:val="auto"/>
        </w:rPr>
        <w:t>$1,008 $625 $321</w:t>
      </w:r>
    </w:p>
    <w:p>
      <w:pPr>
        <w:jc w:val="center"/>
        <w:ind w:right="8199"/>
        <w:spacing w:after="0"/>
        <w:rPr>
          <w:sz w:val="20"/>
          <w:szCs w:val="20"/>
          <w:color w:val="auto"/>
        </w:rPr>
      </w:pPr>
      <w:r>
        <w:rPr>
          <w:rFonts w:ascii="Courier New" w:cs="Courier New" w:eastAsia="Courier New" w:hAnsi="Courier New"/>
          <w:sz w:val="18"/>
          <w:szCs w:val="18"/>
          <w:color w:val="auto"/>
        </w:rPr>
        <w:t>$946 ==== ====</w:t>
      </w:r>
    </w:p>
    <w:p>
      <w:pPr>
        <w:jc w:val="center"/>
        <w:ind w:right="8199"/>
        <w:spacing w:after="0" w:line="237" w:lineRule="auto"/>
        <w:rPr>
          <w:sz w:val="20"/>
          <w:szCs w:val="20"/>
          <w:color w:val="auto"/>
        </w:rPr>
      </w:pPr>
      <w:r>
        <w:rPr>
          <w:rFonts w:ascii="Courier New" w:cs="Courier New" w:eastAsia="Courier New" w:hAnsi="Courier New"/>
          <w:sz w:val="18"/>
          <w:szCs w:val="18"/>
          <w:color w:val="auto"/>
        </w:rPr>
        <w:t>====== ==== ====</w:t>
      </w:r>
    </w:p>
    <w:p>
      <w:pPr>
        <w:jc w:val="center"/>
        <w:ind w:right="819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changes to environmental liabilities are as follows (in millions):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NINE MONTHS ENDED SEPTEMBER 30, -------------- 2002 2001 --</w:t>
      </w:r>
    </w:p>
    <w:p>
      <w:pPr>
        <w:ind w:left="2160"/>
        <w:spacing w:after="0" w:line="238" w:lineRule="auto"/>
        <w:rPr>
          <w:sz w:val="20"/>
          <w:szCs w:val="20"/>
          <w:color w:val="auto"/>
        </w:rPr>
      </w:pPr>
      <w:r>
        <w:rPr>
          <w:rFonts w:ascii="Courier New" w:cs="Courier New" w:eastAsia="Courier New" w:hAnsi="Courier New"/>
          <w:sz w:val="18"/>
          <w:szCs w:val="18"/>
          <w:color w:val="auto"/>
        </w:rPr>
        <w:t>---- ---- Beginning</w:t>
      </w:r>
    </w:p>
    <w:tbl>
      <w:tblPr>
        <w:tblLayout w:type="fixed"/>
        <w:tblInd w:w="0" w:type="dxa"/>
        <w:tblCellMar>
          <w:top w:w="0" w:type="dxa"/>
          <w:left w:w="0" w:type="dxa"/>
          <w:bottom w:w="0" w:type="dxa"/>
          <w:right w:w="0" w:type="dxa"/>
        </w:tblCellMar>
      </w:tblPr>
      <w:tr>
        <w:trPr>
          <w:trHeight w:val="203"/>
        </w:trPr>
        <w:tc>
          <w:tcPr>
            <w:tcW w:w="960" w:type="dxa"/>
            <w:vAlign w:val="bottom"/>
          </w:tcPr>
          <w:p>
            <w:pPr>
              <w:ind w:left="220"/>
              <w:spacing w:after="0"/>
              <w:rPr>
                <w:sz w:val="20"/>
                <w:szCs w:val="20"/>
                <w:color w:val="auto"/>
              </w:rPr>
            </w:pPr>
            <w:r>
              <w:rPr>
                <w:rFonts w:ascii="Courier New" w:cs="Courier New" w:eastAsia="Courier New" w:hAnsi="Courier New"/>
                <w:sz w:val="18"/>
                <w:szCs w:val="18"/>
                <w:color w:val="auto"/>
                <w:w w:val="95"/>
              </w:rPr>
              <w:t>balance</w:t>
            </w:r>
          </w:p>
        </w:tc>
        <w:tc>
          <w:tcPr>
            <w:tcW w:w="5160" w:type="dxa"/>
            <w:vAlign w:val="bottom"/>
          </w:tcPr>
          <w:p>
            <w:pPr>
              <w:jc w:val="right"/>
              <w:spacing w:after="0"/>
              <w:rPr>
                <w:sz w:val="20"/>
                <w:szCs w:val="20"/>
                <w:color w:val="auto"/>
              </w:rPr>
            </w:pPr>
            <w:r>
              <w:rPr>
                <w:rFonts w:ascii="Courier New" w:cs="Courier New" w:eastAsia="Courier New" w:hAnsi="Courier New"/>
                <w:sz w:val="18"/>
                <w:szCs w:val="18"/>
                <w:color w:val="auto"/>
                <w:w w:val="97"/>
              </w:rPr>
              <w:t>........................................... $ 946</w:t>
            </w:r>
          </w:p>
        </w:tc>
      </w:tr>
      <w:tr>
        <w:trPr>
          <w:trHeight w:val="203"/>
        </w:trPr>
        <w:tc>
          <w:tcPr>
            <w:tcW w:w="960" w:type="dxa"/>
            <w:vAlign w:val="bottom"/>
          </w:tcPr>
          <w:p>
            <w:pPr>
              <w:spacing w:after="0"/>
              <w:rPr>
                <w:sz w:val="17"/>
                <w:szCs w:val="17"/>
                <w:color w:val="auto"/>
              </w:rPr>
            </w:pPr>
          </w:p>
        </w:tc>
        <w:tc>
          <w:tcPr>
            <w:tcW w:w="5160" w:type="dxa"/>
            <w:vAlign w:val="bottom"/>
          </w:tcPr>
          <w:p>
            <w:pPr>
              <w:jc w:val="right"/>
              <w:ind w:right="2652"/>
              <w:spacing w:after="0" w:line="203" w:lineRule="exact"/>
              <w:rPr>
                <w:sz w:val="20"/>
                <w:szCs w:val="20"/>
                <w:color w:val="auto"/>
              </w:rPr>
            </w:pPr>
            <w:r>
              <w:rPr>
                <w:rFonts w:ascii="Courier New" w:cs="Courier New" w:eastAsia="Courier New" w:hAnsi="Courier New"/>
                <w:sz w:val="18"/>
                <w:szCs w:val="18"/>
                <w:color w:val="auto"/>
              </w:rPr>
              <w:t>$962</w:t>
            </w:r>
          </w:p>
        </w:tc>
      </w:tr>
      <w:tr>
        <w:trPr>
          <w:trHeight w:val="203"/>
        </w:trPr>
        <w:tc>
          <w:tcPr>
            <w:tcW w:w="6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Expense.....................................................</w:t>
            </w:r>
          </w:p>
        </w:tc>
      </w:tr>
      <w:tr>
        <w:trPr>
          <w:trHeight w:val="203"/>
        </w:trPr>
        <w:tc>
          <w:tcPr>
            <w:tcW w:w="960" w:type="dxa"/>
            <w:vAlign w:val="bottom"/>
          </w:tcPr>
          <w:p>
            <w:pPr>
              <w:spacing w:after="0"/>
              <w:rPr>
                <w:sz w:val="17"/>
                <w:szCs w:val="17"/>
                <w:color w:val="auto"/>
              </w:rPr>
            </w:pPr>
          </w:p>
        </w:tc>
        <w:tc>
          <w:tcPr>
            <w:tcW w:w="5160" w:type="dxa"/>
            <w:vAlign w:val="bottom"/>
          </w:tcPr>
          <w:p>
            <w:pPr>
              <w:jc w:val="right"/>
              <w:ind w:right="2592"/>
              <w:spacing w:after="0" w:line="203" w:lineRule="exact"/>
              <w:rPr>
                <w:sz w:val="20"/>
                <w:szCs w:val="20"/>
                <w:color w:val="auto"/>
              </w:rPr>
            </w:pPr>
            <w:r>
              <w:rPr>
                <w:rFonts w:ascii="Courier New" w:cs="Courier New" w:eastAsia="Courier New" w:hAnsi="Courier New"/>
                <w:sz w:val="18"/>
                <w:szCs w:val="18"/>
                <w:color w:val="auto"/>
              </w:rPr>
              <w:t>45 51</w:t>
            </w:r>
          </w:p>
        </w:tc>
      </w:tr>
    </w:tbl>
    <w:p>
      <w:pPr>
        <w:spacing w:after="0" w:line="4" w:lineRule="exact"/>
        <w:rPr>
          <w:sz w:val="20"/>
          <w:szCs w:val="20"/>
          <w:color w:val="auto"/>
        </w:rPr>
      </w:pPr>
    </w:p>
    <w:p>
      <w:pPr>
        <w:jc w:val="center"/>
        <w:ind w:right="3899"/>
        <w:spacing w:after="0" w:line="273" w:lineRule="auto"/>
        <w:rPr>
          <w:sz w:val="20"/>
          <w:szCs w:val="20"/>
          <w:color w:val="auto"/>
        </w:rPr>
      </w:pPr>
      <w:r>
        <w:rPr>
          <w:rFonts w:ascii="Courier New" w:cs="Courier New" w:eastAsia="Courier New" w:hAnsi="Courier New"/>
          <w:sz w:val="16"/>
          <w:szCs w:val="16"/>
          <w:color w:val="auto"/>
        </w:rPr>
        <w:t>Spending.................................................... (50) (63) Acquisitions, divestitures and other adjustments............ 67(a) 8 ------ ---- Ending balance.............................................. $1,008 $958 ====== ====</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514" w:right="1440" w:bottom="0" w:gutter="0" w:footer="0" w:header="0"/>
        </w:sectPr>
      </w:pPr>
    </w:p>
    <w:bookmarkStart w:id="16" w:name="page17"/>
    <w:bookmarkEnd w:id="16"/>
    <w:p>
      <w:pPr>
        <w:ind w:left="540" w:right="1999" w:hanging="532"/>
        <w:spacing w:after="0" w:line="279" w:lineRule="auto"/>
        <w:tabs>
          <w:tab w:leader="none" w:pos="5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recorded a reclassification entry since December 31, 2001 of approximately $56 million to increase its environmental liabilities, with the offset primarily being an increase to other long-term assets.</w:t>
      </w:r>
    </w:p>
    <w:p>
      <w:pPr>
        <w:spacing w:after="0" w:line="173" w:lineRule="exact"/>
        <w:rPr>
          <w:sz w:val="20"/>
          <w:szCs w:val="20"/>
          <w:color w:val="auto"/>
        </w:rPr>
      </w:pPr>
    </w:p>
    <w:p>
      <w:pPr>
        <w:ind w:left="420" w:hanging="412"/>
        <w:spacing w:after="0"/>
        <w:tabs>
          <w:tab w:leader="none" w:pos="4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 AND CONTINGENCIES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Financial instruments -- The Company has provided letters of credit, performance bonds, trust agreements, financial guarantees and insurance policies to support tax-exempt bonds, contracts, performance of landfill final closure and post-closure requirements, and other obligations. The Company also uses captive insurance, or insurance policies issued by a wholly-owned insurance company, the sole business of which is to issue such policies to the Company, in order to secure such obligations. In those instances where the use of captive insurance is not acceptable, the Company generally has available alternative bonding mechanisms. Because virtually no claims have been made against these financial instruments in the past, and considering</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142" w:right="1440" w:bottom="1440" w:gutter="0" w:footer="0" w:header="0"/>
        </w:sectPr>
      </w:pPr>
    </w:p>
    <w:bookmarkStart w:id="17" w:name="page18"/>
    <w:bookmarkEnd w:id="17"/>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the Company's current financial position, management does not expect that these instruments will have a material adverse effect on the Company's consolidated financial statements. The Company has not experienced any unmanageable difficulty in obtaining performance bonds or letters of credit for its current operations. However, the tragic events of September 11, 2001, as well as recently publicized financial difficulties of several large public companies, have had an impact on the financial status of a number of insurance, surety and reinsurance providers, which could cause an increase in the cost and a decrease in the availability of surety and insurance coverages available to the Company in the future. The Company has arranged for new sources of bonding capacity and continues to evaluate a number of options for further capacity increases.</w:t>
      </w:r>
    </w:p>
    <w:p>
      <w:pPr>
        <w:spacing w:after="0" w:line="18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For the 14 months ended January 1, 2000, the Company insured certain risks, including auto, general and workers' compensation, with Reliance National Insurance Company ("Reliance"). On June 11, 2001, the ultimate parent of Reliance, Reliance Group Holdings, Inc., filed for bankruptcy under Chapter 11 of the Bankruptcy Code of 1978, as amended (the "Bankruptcy Code"). On October 3, 2001, Reliance was placed in liquidation by a Pennsylvania Court. The Company has determined that it will have various levels of coverage through various state insurance guarantee funds in some, but not all, of the jurisdictions where it is subject to claims that would have been covered by the Reliance insurance program. While it is not possible to predict the outcome of proceedings involving Reliance, the Company believes that because of the various insurance guarantee funds and potential recoveries from the liquidation, it is unlikely that events relating to Reliance will have a material adverse impact on the Company's financial statements.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Environmental matters -- The Company's business is intrinsically connected with the protection of the environment. As such, a significant portion of the Company's operating costs and capital expenditures could be characterized as costs of environmental protection. Such costs may increase in the future as a result of legislation or regulation. However, the Company believes that it generally tends to benefit when environmental regulation increases, which may increase the demand for its services, and that it has the resources and experience to manage environmental risk.</w:t>
      </w:r>
    </w:p>
    <w:p>
      <w:pPr>
        <w:spacing w:after="0" w:line="212"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For more information regarding commitments and contingencies with respect to environmental matters, see Note 7.</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Litigation -- A group of companies that sold assets in exchange for common stock in March 1996 to Waste Management Holdings, Inc. ("WM Holdings"), which was acquired by the Company in July 1998 (the "WM Holdings Merger"), brought an action against the Company in March 2000 for breach of contract and fraud, among other things. The parties have agreed to resolve this dispute through arbitration, which is currently scheduled for November 2002. The extent of damages in the dispute has not yet been determined.</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December 1999, an individual brought an action against the Company, five former officers of WM Holdings, and WM Holdings' former auditor, Arthur Andersen LLP ("Andersen"), in Illinois state court on behalf of a proposed class of individuals who purchased WM Holdings common stock before November 3, 1994, and who held that stock through February 24, 1998, for alleged acts of common law fraud, negligence, and breach of fiduciary duty. In May 2001, the court granted in part and denied in part the defendants' motion to dismiss. This action is currently in the discovery stage and the extent of possible damages, if any, has not yet been determined.</w:t>
      </w: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To the extent that the Company is liable for any damages in the lawsuits described above, it may be able to seek reimbursement of some of these damages from a third party. However, it is reasonably possible that if any such reimbursement is ultimately sought, the Company would not be successful in collecting such amounts, and the Company would be required to recognize an additional loss.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is one of the defendants in a class action lawsuit arising from events related to its earnings announcements in July and August of 1999. On November 7, 2001, the Company announced that it had reached a settlement agreement with the plaintiff in this case, resolving all claims against it as well as claims</w:t>
      </w: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514" w:right="1440" w:bottom="767" w:gutter="0" w:footer="0" w:header="0"/>
        </w:sectPr>
      </w:pPr>
    </w:p>
    <w:bookmarkStart w:id="18" w:name="page19"/>
    <w:bookmarkEnd w:id="18"/>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against its current and former officers and directors. The agreement provides for a payment of $457 million to members of the class and for the Company to consent to the certification of a class for the settlement of purchasers or acquirers of the Company's securities from June 11, 1998 through November 9, 1999. The payment provided for by the settlement agreement is included in the accompanying condensed consolidated balance sheets as a component of accrued liabilities. A hearing was held April 29, 2002 at which the settlement was approved. There is currently pending before the court a motion to vacate the final approval order brought by a non-class member whose motion to intervene was disallowed by the court. The same would-be intervener, along with one other person (both former participants in WM Holdings' ERISA plans), has also filed a separate case in Washington, D.C. against the Company and others attempting to increase the recovery of a class of ERISA plan participants based on allegations related to both the events alleged in and the settlements relating to the class action against WM Holdings that was settled in 1998 and the complaint in this action.</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Also on November 7, 2001, the Company announced that it would receive $20 million (less fees of approximately $5 million awarded to counsel for the derivative plaintiffs) as a result of a settlement reached between the derivative plaintiffs and Andersen in a stockholder derivative suit filed on July 3, 2001 in Texas state court against Andersen, as the Company's independent auditor. The derivative plaintiffs alleged, among other things, that Andersen engaged in professional malpractice in connection with certain services that it performed for the Company. Andersen informed the Company that neither the complaint nor the settlement affected its independence in 2001 or prior years, when Andersen served as the Company's independent auditor. The settlement was approved in May 2002. Andersen's payment will become due at the same time the Company's payment to the plaintiffs in settlement of the class action lawsuit described above becomes due, which is the date that all time periods for appeal have lapsed or the judgment becomes final after all appeals have been exhausted. Because of current motions before the Court and the possible appeals process, the Company cannot predict when the class action payment will be due, and thus cannot predict when the Andersen receivable will become due. Although Andersen has experienced highly publicized negative events and has recently announced significant curtailments in its business, the Company presently has no reason to believe that the settlement amount will not be paid and the receivable that the Company has recorded will not be collected. Any prolonged delay in the payment ultimately becoming due could make such payment more uncertain, depending on Andersen's financial status at such time. If such uncertainties develop in the future, it is reasonably possible that the Company will be required to write down the receivable up to the full amount due from Andersen.</w:t>
      </w:r>
    </w:p>
    <w:p>
      <w:pPr>
        <w:spacing w:after="0" w:line="200" w:lineRule="exact"/>
        <w:rPr>
          <w:sz w:val="20"/>
          <w:szCs w:val="20"/>
          <w:color w:val="auto"/>
        </w:rPr>
      </w:pPr>
    </w:p>
    <w:p>
      <w:pPr>
        <w:spacing w:after="0" w:line="395"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On June 29, 2000, a putative class action was filed against the Company in Delaware state court by a class of former Eastern stockholders falling within the scope of the Eastern Merger Subclass described above. The plaintiffs allege that the Company stock they received in exchange for their Eastern shares was overvalued for the same reasons alleged in the consolidated class actions in Texas. The named plaintiffs in the Delaware case have excluded themselves from the Texas class action settlement and are pursuing their claim as individuals and not as a class action. The case is still at a relatively early stage, and the amount of damages, if any, cannot yet be determined.</w:t>
      </w:r>
    </w:p>
    <w:p>
      <w:pPr>
        <w:spacing w:after="0" w:line="184"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Two groups of stockholders have filed separate lawsuits in state courts in Texas against the Company and certain of its former officers. The petitions allege that the plaintiffs are substantial stockholders of the Company's common stock who intended to sell their stock in 1999, or to otherwise protect themselves against loss, but that the individual defendants made false and misleading statements regarding the Company's prospects that, along with public statements, induced the plaintiffs to retain their stock or not to take other measures. Plaintiffs assert that the value of their retained stock declined dramatically. Plaintiffs assert claims for fraud, negligent misrepresentation, and conspiracy. The Texas state court granted the Company's motion for summary judgment in the first of these cases in March 2002, which the plaintiffs have appealed. The second of these cases is in an early stage, and the extent of damages, if any, cannot yet be determined.</w:t>
      </w:r>
    </w:p>
    <w:p>
      <w:pPr>
        <w:spacing w:after="0" w:line="38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514" w:right="1440" w:bottom="1440" w:gutter="0" w:footer="0" w:header="0"/>
        </w:sectPr>
      </w:pPr>
    </w:p>
    <w:bookmarkStart w:id="19" w:name="page20"/>
    <w:bookmarkEnd w:id="19"/>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Company's business is intrinsically connected with the protection of the environment, and there is the potential for the unintended or unpermitted discharge of materials into the environment. From time to time, the Company pays fines or penalties in environmental proceedings relating primarily to waste treatment, storage or disposal facilities. As of September 30, 2002, there were nine proceedings involving Company subsidiaries where the sanctions involved in each could potentially exceed one hundred thousand dollars. The matters involve allegations that subsidiaries (i) operated a hazardous waste incinerator in such a way that its air emissions exceeded permit limits, (ii) engaged in the importation and disposal of hazardous waste in contravention of applicable federal regulations, (iii) are responsible for remediation of landfill gas and chemical compounds required pursuant to a Unilateral Administrative Order associated with an NPL site, (iv) are responsible for late performance of work required under a Unilateral Administrative Order, (v) improperly operated a solid waste landfill and caused excess odors, (vi) improperly operated a solid waste landfill by failing to maintain required records, properly place and cover waste and adhere to proper leachate levels, (vii) violated the state's clean water act, (viii) under-reported solid waste volumes that were received at a municipal solid waste landfill, and (ix) did not comply with air regulations requiring control of emissions at a closed landfill. The Company does not believe that the fines or other penalties in these matters will, individually or in the aggregate, have a material adverse effect on the Company's financial condition or results of operations.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It is not possible at this time to predict the impact that the above lawsuits, proceedings, investigations and inquiries may have on the Company, nor is it possible to predict whether any other suits or claims may arise out of these matters in the future. The Company and each of its subsidiaries intend to defend themselves vigorously in all the above matters. However, it is reasonably possible that the outcome of any of these matters may have a material adverse impact on the Company's financial conditions or results of operations in one or more future periods.</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and certain of its subsidiaries are also currently involved in other routine civil litigation and governmental proceedings relating to the conduct of their business. The Company does not believe that any of these matters will have a material adverse impact on the Company's financial statements.</w:t>
      </w: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Other -- The Company is a party to an agreement pursuant to which it is obligated to purchase certain operating assets in Canada no later than December 2005. However, there is an option in the agreement that allows either party to cause an earlier purchase. The purchase price is based on certain calculations of the financial performance of the assets to be acquired, which will be determined at the time of purchase. In addition, the Company subcontracted certain business to the owner of the assets to be purchased. The owner has informed the Company that it believes the Company is required to repurchase the subcontracted business. The Company strongly disagrees with this position. The Company does not currently believe that the purchase or other liabilities associated with its relationship with this third party will have a material effect on its financial statements.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is currently under audit by the Internal Revenue Service and from time to time is audited by other taxing authorities. The Company is fully cooperating with all audits, but plans to defend its positions vigorously. These audits are in various stages of completion. Results of the audit assessments by the taxing authorities could have a material effect on the Company's financial statements.</w:t>
      </w:r>
    </w:p>
    <w:p>
      <w:pPr>
        <w:spacing w:after="0" w:line="204" w:lineRule="exact"/>
        <w:rPr>
          <w:sz w:val="20"/>
          <w:szCs w:val="20"/>
          <w:color w:val="auto"/>
        </w:rPr>
      </w:pPr>
    </w:p>
    <w:p>
      <w:pPr>
        <w:ind w:left="420" w:hanging="412"/>
        <w:spacing w:after="0"/>
        <w:tabs>
          <w:tab w:leader="none" w:pos="4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SEGMENT AND RELATED INFORMATION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Company's one reportable segment consists of its North America solid waste ("NASW") operations. The NASW operations provide integrated waste management services consisting of collection, transfer, disposal (solid waste landfill, hazardous waste landfill and waste-to-energy facilities), recycling, independent power production plants ("IPPs"), and other miscellaneous services to commercial, industrial, municipal and residential customers throughout the United States, Puerto Rico and Canada.</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514" w:right="1440" w:bottom="767" w:gutter="0" w:footer="0" w:header="0"/>
        </w:sectPr>
      </w:pPr>
    </w:p>
    <w:bookmarkStart w:id="20" w:name="page21"/>
    <w:bookmarkEnd w:id="20"/>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has broken out its one reportable segment in the table shown below into "NASW (excluding WTI)" and "WTI," to provide more detailed information. NASW (excluding WTI) includes the Company's Eastern, Midwest, Western, Southern and CWS Groups plus its national recycling operations. WTI is the Company's sixth Group and consists of the Company's waste-to-energy facilities and its IPPs. The Company's previously reported segment that consisted of waste management services in international markets outside of North America and non-solid waste services, all of which were divested by March 31, 2002, is shown in the table below as "Other."</w:t>
      </w:r>
    </w:p>
    <w:p>
      <w:pPr>
        <w:spacing w:after="0" w:line="214"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Summarized financial information concerning the Company's reportable segments is shown in the following table (in millions). Prior period information has been restated to conform to the current year presentation.</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NASW -----------------</w:t>
      </w:r>
    </w:p>
    <w:p>
      <w:pPr>
        <w:ind w:left="220"/>
        <w:spacing w:after="0" w:line="238" w:lineRule="auto"/>
        <w:rPr>
          <w:sz w:val="20"/>
          <w:szCs w:val="20"/>
          <w:color w:val="auto"/>
        </w:rPr>
      </w:pPr>
      <w:r>
        <w:rPr>
          <w:rFonts w:ascii="Courier New" w:cs="Courier New" w:eastAsia="Courier New" w:hAnsi="Courier New"/>
          <w:sz w:val="18"/>
          <w:szCs w:val="18"/>
          <w:color w:val="auto"/>
        </w:rPr>
        <w:t>-------------- NASW</w:t>
      </w:r>
    </w:p>
    <w:p>
      <w:pPr>
        <w:jc w:val="center"/>
        <w:ind w:right="7799"/>
        <w:spacing w:after="0"/>
        <w:rPr>
          <w:sz w:val="20"/>
          <w:szCs w:val="20"/>
          <w:color w:val="auto"/>
        </w:rPr>
      </w:pPr>
      <w:r>
        <w:rPr>
          <w:rFonts w:ascii="Courier New" w:cs="Courier New" w:eastAsia="Courier New" w:hAnsi="Courier New"/>
          <w:sz w:val="18"/>
          <w:szCs w:val="18"/>
          <w:color w:val="auto"/>
        </w:rPr>
        <w:t>CORPORATE (EXCLUDING</w:t>
      </w:r>
    </w:p>
    <w:p>
      <w:pPr>
        <w:jc w:val="center"/>
        <w:ind w:right="7799"/>
        <w:spacing w:after="0" w:line="237" w:lineRule="auto"/>
        <w:rPr>
          <w:sz w:val="20"/>
          <w:szCs w:val="20"/>
          <w:color w:val="auto"/>
        </w:rPr>
      </w:pPr>
      <w:r>
        <w:rPr>
          <w:rFonts w:ascii="Courier New" w:cs="Courier New" w:eastAsia="Courier New" w:hAnsi="Courier New"/>
          <w:sz w:val="18"/>
          <w:szCs w:val="18"/>
          <w:color w:val="auto"/>
        </w:rPr>
        <w:t>WTI) WTI TOTAL OTHER</w:t>
      </w:r>
    </w:p>
    <w:p>
      <w:pPr>
        <w:jc w:val="center"/>
        <w:ind w:right="7799"/>
        <w:spacing w:after="0" w:line="238" w:lineRule="auto"/>
        <w:rPr>
          <w:sz w:val="20"/>
          <w:szCs w:val="20"/>
          <w:color w:val="auto"/>
        </w:rPr>
      </w:pPr>
      <w:r>
        <w:rPr>
          <w:rFonts w:ascii="Courier New" w:cs="Courier New" w:eastAsia="Courier New" w:hAnsi="Courier New"/>
          <w:sz w:val="18"/>
          <w:szCs w:val="18"/>
          <w:color w:val="auto"/>
        </w:rPr>
        <w:t>FUNCTIONS(A) TOTAL ---</w:t>
      </w:r>
    </w:p>
    <w:p>
      <w:pPr>
        <w:ind w:left="60"/>
        <w:spacing w:after="0"/>
        <w:rPr>
          <w:sz w:val="20"/>
          <w:szCs w:val="20"/>
          <w:color w:val="auto"/>
        </w:rPr>
      </w:pPr>
      <w:r>
        <w:rPr>
          <w:rFonts w:ascii="Courier New" w:cs="Courier New" w:eastAsia="Courier New" w:hAnsi="Courier New"/>
          <w:sz w:val="18"/>
          <w:szCs w:val="18"/>
          <w:color w:val="auto"/>
        </w:rPr>
        <w:t>------------ ---- ----</w:t>
      </w:r>
    </w:p>
    <w:p>
      <w:pPr>
        <w:ind w:left="420" w:hanging="309"/>
        <w:spacing w:after="0" w:line="237" w:lineRule="auto"/>
        <w:tabs>
          <w:tab w:leader="none" w:pos="42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center"/>
        <w:ind w:left="120" w:right="7899" w:firstLine="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Three Months Ended: September 30, 2002 Net operating revenues(b),(c)......</w:t>
      </w:r>
    </w:p>
    <w:p>
      <w:pPr>
        <w:jc w:val="center"/>
        <w:ind w:right="7779" w:firstLine="50"/>
        <w:spacing w:after="0" w:line="28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$2,710 $186 $2,896 $ - - $ -- $2,896 Income from operations(d)..........</w:t>
      </w:r>
    </w:p>
    <w:p>
      <w:pPr>
        <w:spacing w:after="0" w:line="175" w:lineRule="exact"/>
        <w:rPr>
          <w:rFonts w:ascii="Courier New" w:cs="Courier New" w:eastAsia="Courier New" w:hAnsi="Courier New"/>
          <w:sz w:val="18"/>
          <w:szCs w:val="18"/>
          <w:color w:val="auto"/>
        </w:rPr>
      </w:pPr>
    </w:p>
    <w:p>
      <w:pPr>
        <w:jc w:val="both"/>
        <w:ind w:left="60" w:right="78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485 73 558 -- (93) 465 September 30, 2001 Net operating revenues(b),</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 $2,670 $182</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$2,852 $ 45 $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$2,897 Income from</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operations(d)..........</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512 78 590 (1) (474)</w:t>
      </w:r>
    </w:p>
    <w:p>
      <w:pPr>
        <w:spacing w:after="0" w:line="4" w:lineRule="exact"/>
        <w:rPr>
          <w:rFonts w:ascii="Courier New" w:cs="Courier New" w:eastAsia="Courier New" w:hAnsi="Courier New"/>
          <w:sz w:val="18"/>
          <w:szCs w:val="18"/>
          <w:color w:val="auto"/>
        </w:rPr>
      </w:pPr>
    </w:p>
    <w:p>
      <w:pPr>
        <w:jc w:val="both"/>
        <w:ind w:left="60" w:right="78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115 Nine Months Ended: September 30, 2002 Net operating revenues(b),</w:t>
      </w:r>
    </w:p>
    <w:p>
      <w:pPr>
        <w:jc w:val="center"/>
        <w:ind w:right="7779" w:firstLine="10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 $7,790 $532 $8,322 $ 8 $ -- $8,330 Income from operations(d)..........</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1,364 170 1,534 (2)</w:t>
      </w:r>
    </w:p>
    <w:p>
      <w:pPr>
        <w:spacing w:after="0" w:line="4" w:lineRule="exact"/>
        <w:rPr>
          <w:rFonts w:ascii="Courier New" w:cs="Courier New" w:eastAsia="Courier New" w:hAnsi="Courier New"/>
          <w:sz w:val="18"/>
          <w:szCs w:val="18"/>
          <w:color w:val="auto"/>
        </w:rPr>
      </w:pPr>
    </w:p>
    <w:p>
      <w:pPr>
        <w:jc w:val="both"/>
        <w:ind w:left="60" w:right="783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(271) 1,261 September 30, 2001 Net operating revenues(b),(c)......</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$7,842 $562 $8,404</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$127 $ -- $8,531</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Income from</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operations(d)..........</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1,504 169 1,673 (17)</w:t>
      </w:r>
    </w:p>
    <w:p>
      <w:pPr>
        <w:ind w:left="1380" w:hanging="637"/>
        <w:spacing w:after="0" w:line="238" w:lineRule="auto"/>
        <w:tabs>
          <w:tab w:leader="none" w:pos="1380" w:val="left"/>
        </w:tabs>
        <w:numPr>
          <w:ilvl w:val="2"/>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900</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40" w:right="1779" w:hanging="532"/>
        <w:spacing w:after="0" w:line="271" w:lineRule="auto"/>
        <w:tabs>
          <w:tab w:leader="none" w:pos="54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functions include the treasury, legal, information technology, tax, insurance, management of closed landfills and related insurance recoveries, centralized service center and other typical administrative functions. Corporate functions' loss from operations for the three and nine months ended September 30, 2001 includes a $374 million charge to asset impairments and unusual items which is attributable to agreements that were reached to settle shareholder class action and shareholder derivative litigation. For discussion related to the settlement see Note 8.</w:t>
      </w:r>
    </w:p>
    <w:p>
      <w:pPr>
        <w:spacing w:after="0" w:line="185" w:lineRule="exact"/>
        <w:rPr>
          <w:rFonts w:ascii="Courier New" w:cs="Courier New" w:eastAsia="Courier New" w:hAnsi="Courier New"/>
          <w:sz w:val="16"/>
          <w:szCs w:val="16"/>
          <w:color w:val="auto"/>
        </w:rPr>
      </w:pPr>
    </w:p>
    <w:p>
      <w:pPr>
        <w:ind w:left="540" w:right="1779" w:hanging="532"/>
        <w:spacing w:after="0" w:line="237" w:lineRule="auto"/>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operations are net of intersegment revenue with NASW of $1 million for the nine months ended September 30, 2002 and $15 million and $34 million for the three and nine months ended September 30, 2001, respectively. There are no other significant sales between reportable segments. However, WTI operations are net of intrasegment revenue with NASW (excluding WTI) of $14 million and $43 million for the three and nine months ended September 30, 2002, respectively, and $13 million and $41 million for the corresponding periods of 2001. Additionally, NASW</w:t>
      </w:r>
    </w:p>
    <w:p>
      <w:pPr>
        <w:sectPr>
          <w:pgSz w:w="11900" w:h="16838" w:orient="portrait"/>
          <w:cols w:equalWidth="0" w:num="1">
            <w:col w:w="10219"/>
          </w:cols>
          <w:pgMar w:left="240" w:top="514" w:right="1440" w:bottom="0" w:gutter="0" w:footer="0" w:header="0"/>
        </w:sectPr>
      </w:pPr>
    </w:p>
    <w:bookmarkStart w:id="21" w:name="page22"/>
    <w:bookmarkEnd w:id="21"/>
    <w:p>
      <w:pPr>
        <w:ind w:left="532" w:right="1999"/>
        <w:spacing w:after="0" w:line="237" w:lineRule="auto"/>
        <w:rPr>
          <w:sz w:val="20"/>
          <w:szCs w:val="20"/>
          <w:color w:val="auto"/>
        </w:rPr>
      </w:pPr>
      <w:r>
        <w:rPr>
          <w:rFonts w:ascii="Courier New" w:cs="Courier New" w:eastAsia="Courier New" w:hAnsi="Courier New"/>
          <w:sz w:val="18"/>
          <w:szCs w:val="18"/>
          <w:color w:val="auto"/>
        </w:rPr>
        <w:t>(excluding WTI) operations are net of intrasegment revenue with WTI of $6 million and $16 million for the three and nine months ended September 30, 2002, respectively, and $6 million and $18 million for the corresponding periods of 2001.</w:t>
      </w:r>
    </w:p>
    <w:p>
      <w:pPr>
        <w:spacing w:after="0" w:line="207" w:lineRule="exact"/>
        <w:rPr>
          <w:sz w:val="20"/>
          <w:szCs w:val="20"/>
          <w:color w:val="auto"/>
        </w:rPr>
      </w:pPr>
    </w:p>
    <w:p>
      <w:pPr>
        <w:ind w:left="532" w:right="1779" w:hanging="532"/>
        <w:spacing w:after="0" w:line="237" w:lineRule="auto"/>
        <w:tabs>
          <w:tab w:leader="none" w:pos="532"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operating revenues tend to be somewhat lower in the winter months, primarily due to the lower volume of construction and demolition waste. The volumes of industrial and residential waste in certain regions where the Company operates also tends to decrease during the winter months. The Company's first and fourth quarter results of operations typically reflect this seasonality. In addition, particularly harsh weather conditions may result in the temporary suspension of certain of our operations.</w:t>
      </w:r>
    </w:p>
    <w:p>
      <w:pPr>
        <w:spacing w:after="0" w:line="212"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those items included in the determination of income from operations, the accounting policies of the segments are generally the same as those described in the summary of significant accounting policies in the Company's Form 10-K for the year ended December 31, 2001, except as it relates to goodwill. Income from operations in 2001 included goodwill amortization of $39 million and $117 million for the three and nine months ended September 30, 2001, respectively, of which $29 million and $87 million for the three and nine months ended September 30, 2001 was in the NASW (excluding WTI) operations, $8 million and $23 million</w:t>
      </w:r>
    </w:p>
    <w:p>
      <w:pPr>
        <w:spacing w:after="0" w:line="208"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1"/>
          </w:cols>
          <w:pgMar w:left="248" w:top="142" w:right="1440" w:bottom="1440" w:gutter="0" w:footer="0" w:header="0"/>
        </w:sectPr>
      </w:pPr>
    </w:p>
    <w:bookmarkStart w:id="22" w:name="page23"/>
    <w:bookmarkEnd w:id="22"/>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left="540" w:right="1779"/>
        <w:spacing w:after="0" w:line="270" w:lineRule="auto"/>
        <w:rPr>
          <w:sz w:val="20"/>
          <w:szCs w:val="20"/>
          <w:color w:val="auto"/>
        </w:rPr>
      </w:pPr>
      <w:r>
        <w:rPr>
          <w:rFonts w:ascii="Courier New" w:cs="Courier New" w:eastAsia="Courier New" w:hAnsi="Courier New"/>
          <w:sz w:val="16"/>
          <w:szCs w:val="16"/>
          <w:color w:val="auto"/>
        </w:rPr>
        <w:t>for the three and nine months ended September 30, 2001 was in the WTI operations, and $2 million and $7 million for the three and nine months ended September 30, 2001 was in the corporate function. As discussed in Note 12, the Company ceased the amortization of its goodwill in conjunction with the adoption of SFAS No. 142 on January 1, 2002. In 2002, the Company's corporate functions began charging its NASW operations an expense similar to what those NASW operations' goodwill amortization would have been had the Company not been required to adopt SFAS No. 142. For the three and nine months ended September 30, 2002, this charge increased income from operations for the corporate functions by $38 million and $111 million, respectively, and decreased income from operations for the WTI operations by $8 million and $23 million, respectively, and the NASW (excluding WTI) operations by $30 million and $88 million, respectively.</w:t>
      </w:r>
    </w:p>
    <w:p>
      <w:pPr>
        <w:spacing w:after="0" w:line="3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mix of NASW operating revenues for the three and nine months ended September 30, 2002 and 2001 is reflected in the table below. The presentation of prior period operating revenues has been conformed to the current period presentation (in millions).</w:t>
      </w:r>
    </w:p>
    <w:p>
      <w:pPr>
        <w:spacing w:after="0" w:line="202"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THREE MONTHS NINE MONTHS ENDED ENDED SEPTEMBER 30,</w:t>
      </w:r>
    </w:p>
    <w:p>
      <w:pPr>
        <w:ind w:left="220"/>
        <w:spacing w:after="0" w:line="238" w:lineRule="auto"/>
        <w:rPr>
          <w:sz w:val="20"/>
          <w:szCs w:val="20"/>
          <w:color w:val="auto"/>
        </w:rPr>
      </w:pPr>
      <w:r>
        <w:rPr>
          <w:rFonts w:ascii="Courier New" w:cs="Courier New" w:eastAsia="Courier New" w:hAnsi="Courier New"/>
          <w:sz w:val="18"/>
          <w:szCs w:val="18"/>
          <w:color w:val="auto"/>
        </w:rPr>
        <w:t>SEPTEMBER 30, --------------- --------------- 2002 2001</w:t>
      </w:r>
    </w:p>
    <w:p>
      <w:pPr>
        <w:ind w:left="1160"/>
        <w:spacing w:after="0"/>
        <w:rPr>
          <w:sz w:val="20"/>
          <w:szCs w:val="20"/>
          <w:color w:val="auto"/>
        </w:rPr>
      </w:pPr>
      <w:r>
        <w:rPr>
          <w:rFonts w:ascii="Courier New" w:cs="Courier New" w:eastAsia="Courier New" w:hAnsi="Courier New"/>
          <w:sz w:val="18"/>
          <w:szCs w:val="18"/>
          <w:color w:val="auto"/>
        </w:rPr>
        <w:t>2002 2001 ------ ------ ------ ------</w:t>
      </w:r>
    </w:p>
    <w:p>
      <w:pPr>
        <w:spacing w:after="0" w:line="237" w:lineRule="auto"/>
        <w:rPr>
          <w:sz w:val="20"/>
          <w:szCs w:val="20"/>
          <w:color w:val="auto"/>
        </w:rPr>
      </w:pPr>
      <w:r>
        <w:rPr>
          <w:rFonts w:ascii="Courier New" w:cs="Courier New" w:eastAsia="Courier New" w:hAnsi="Courier New"/>
          <w:sz w:val="18"/>
          <w:szCs w:val="18"/>
          <w:color w:val="auto"/>
        </w:rPr>
        <w:t>Collection.................................................</w:t>
      </w:r>
    </w:p>
    <w:p>
      <w:pPr>
        <w:jc w:val="center"/>
        <w:ind w:right="3999"/>
        <w:spacing w:after="0" w:line="238" w:lineRule="auto"/>
        <w:rPr>
          <w:sz w:val="20"/>
          <w:szCs w:val="20"/>
          <w:color w:val="auto"/>
        </w:rPr>
      </w:pPr>
      <w:r>
        <w:rPr>
          <w:rFonts w:ascii="Courier New" w:cs="Courier New" w:eastAsia="Courier New" w:hAnsi="Courier New"/>
          <w:sz w:val="18"/>
          <w:szCs w:val="18"/>
          <w:color w:val="auto"/>
        </w:rPr>
        <w:t>$1,950 $1,917 $5,689 $5,696</w:t>
      </w:r>
    </w:p>
    <w:p>
      <w:pPr>
        <w:spacing w:after="0"/>
        <w:rPr>
          <w:sz w:val="20"/>
          <w:szCs w:val="20"/>
          <w:color w:val="auto"/>
        </w:rPr>
      </w:pPr>
      <w:r>
        <w:rPr>
          <w:rFonts w:ascii="Courier New" w:cs="Courier New" w:eastAsia="Courier New" w:hAnsi="Courier New"/>
          <w:sz w:val="18"/>
          <w:szCs w:val="18"/>
          <w:color w:val="auto"/>
        </w:rPr>
        <w:t>Landfill...................................................</w:t>
      </w:r>
    </w:p>
    <w:p>
      <w:pPr>
        <w:jc w:val="center"/>
        <w:ind w:right="3999"/>
        <w:spacing w:after="0" w:line="237" w:lineRule="auto"/>
        <w:rPr>
          <w:sz w:val="20"/>
          <w:szCs w:val="20"/>
          <w:color w:val="auto"/>
        </w:rPr>
      </w:pPr>
      <w:r>
        <w:rPr>
          <w:rFonts w:ascii="Courier New" w:cs="Courier New" w:eastAsia="Courier New" w:hAnsi="Courier New"/>
          <w:sz w:val="18"/>
          <w:szCs w:val="18"/>
          <w:color w:val="auto"/>
        </w:rPr>
        <w:t>708 720 1,997 2,064</w:t>
      </w:r>
    </w:p>
    <w:p>
      <w:pPr>
        <w:spacing w:after="0"/>
        <w:rPr>
          <w:sz w:val="20"/>
          <w:szCs w:val="20"/>
          <w:color w:val="auto"/>
        </w:rPr>
      </w:pPr>
      <w:r>
        <w:rPr>
          <w:rFonts w:ascii="Courier New" w:cs="Courier New" w:eastAsia="Courier New" w:hAnsi="Courier New"/>
          <w:sz w:val="18"/>
          <w:szCs w:val="18"/>
          <w:color w:val="auto"/>
        </w:rPr>
        <w:t>Transfer...................................................</w:t>
      </w:r>
    </w:p>
    <w:p>
      <w:pPr>
        <w:ind w:left="800"/>
        <w:spacing w:after="0" w:line="237" w:lineRule="auto"/>
        <w:rPr>
          <w:sz w:val="20"/>
          <w:szCs w:val="20"/>
          <w:color w:val="auto"/>
        </w:rPr>
      </w:pPr>
      <w:r>
        <w:rPr>
          <w:rFonts w:ascii="Courier New" w:cs="Courier New" w:eastAsia="Courier New" w:hAnsi="Courier New"/>
          <w:sz w:val="18"/>
          <w:szCs w:val="18"/>
          <w:color w:val="auto"/>
        </w:rPr>
        <w:t>388 371 1,079 1,083 WTI (waste-to-energy and</w:t>
      </w:r>
    </w:p>
    <w:tbl>
      <w:tblPr>
        <w:tblLayout w:type="fixed"/>
        <w:tblInd w:w="0" w:type="dxa"/>
        <w:tblCellMar>
          <w:top w:w="0" w:type="dxa"/>
          <w:left w:w="0" w:type="dxa"/>
          <w:bottom w:w="0" w:type="dxa"/>
          <w:right w:w="0" w:type="dxa"/>
        </w:tblCellMar>
      </w:tblPr>
      <w:tr>
        <w:trPr>
          <w:trHeight w:val="203"/>
        </w:trPr>
        <w:tc>
          <w:tcPr>
            <w:tcW w:w="23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IPPs).............................</w:t>
            </w:r>
          </w:p>
        </w:tc>
        <w:tc>
          <w:tcPr>
            <w:tcW w:w="1480" w:type="dxa"/>
            <w:vAlign w:val="bottom"/>
          </w:tcPr>
          <w:p>
            <w:pPr>
              <w:spacing w:after="0"/>
              <w:rPr>
                <w:sz w:val="17"/>
                <w:szCs w:val="17"/>
                <w:color w:val="auto"/>
              </w:rPr>
            </w:pPr>
          </w:p>
        </w:tc>
        <w:tc>
          <w:tcPr>
            <w:tcW w:w="22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201 195 576 602</w:t>
            </w:r>
          </w:p>
        </w:tc>
      </w:tr>
      <w:tr>
        <w:trPr>
          <w:trHeight w:val="203"/>
        </w:trPr>
        <w:tc>
          <w:tcPr>
            <w:tcW w:w="1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Recycling and</w:t>
            </w:r>
          </w:p>
        </w:tc>
        <w:tc>
          <w:tcPr>
            <w:tcW w:w="2260" w:type="dxa"/>
            <w:vAlign w:val="bottom"/>
          </w:tcPr>
          <w:p>
            <w:pPr>
              <w:spacing w:after="0"/>
              <w:rPr>
                <w:sz w:val="17"/>
                <w:szCs w:val="17"/>
                <w:color w:val="auto"/>
              </w:rPr>
            </w:pPr>
          </w:p>
        </w:tc>
      </w:tr>
      <w:tr>
        <w:trPr>
          <w:trHeight w:val="203"/>
        </w:trPr>
        <w:tc>
          <w:tcPr>
            <w:tcW w:w="23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other........................................</w:t>
            </w:r>
          </w:p>
        </w:tc>
        <w:tc>
          <w:tcPr>
            <w:tcW w:w="1480" w:type="dxa"/>
            <w:vAlign w:val="bottom"/>
          </w:tcPr>
          <w:p>
            <w:pPr>
              <w:spacing w:after="0"/>
              <w:rPr>
                <w:sz w:val="17"/>
                <w:szCs w:val="17"/>
                <w:color w:val="auto"/>
              </w:rPr>
            </w:pP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176 158 471</w:t>
            </w:r>
          </w:p>
        </w:tc>
      </w:tr>
      <w:tr>
        <w:trPr>
          <w:trHeight w:val="203"/>
        </w:trPr>
        <w:tc>
          <w:tcPr>
            <w:tcW w:w="1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459</w:t>
            </w:r>
          </w:p>
        </w:tc>
        <w:tc>
          <w:tcPr>
            <w:tcW w:w="2260" w:type="dxa"/>
            <w:vAlign w:val="bottom"/>
          </w:tcPr>
          <w:p>
            <w:pPr>
              <w:spacing w:after="0"/>
              <w:rPr>
                <w:sz w:val="17"/>
                <w:szCs w:val="17"/>
                <w:color w:val="auto"/>
              </w:rPr>
            </w:pPr>
          </w:p>
        </w:tc>
      </w:tr>
      <w:tr>
        <w:trPr>
          <w:trHeight w:val="203"/>
        </w:trPr>
        <w:tc>
          <w:tcPr>
            <w:tcW w:w="23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Intercompany(a)............................................</w:t>
            </w:r>
          </w:p>
        </w:tc>
        <w:tc>
          <w:tcPr>
            <w:tcW w:w="14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38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8"/>
              </w:rPr>
              <w:t>(527) (509) (1,490) (1,500) ------</w:t>
            </w:r>
          </w:p>
        </w:tc>
        <w:tc>
          <w:tcPr>
            <w:tcW w:w="2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 ------</w:t>
            </w:r>
          </w:p>
        </w:tc>
      </w:tr>
      <w:tr>
        <w:trPr>
          <w:trHeight w:val="203"/>
        </w:trPr>
        <w:tc>
          <w:tcPr>
            <w:tcW w:w="23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TOTAL......................................................</w:t>
            </w:r>
          </w:p>
        </w:tc>
        <w:tc>
          <w:tcPr>
            <w:tcW w:w="14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$2,896 $2,852</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$8,322</w:t>
            </w:r>
          </w:p>
        </w:tc>
        <w:tc>
          <w:tcPr>
            <w:tcW w:w="3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$8,404 ====== ====== ====== ======</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2519" w:hanging="532"/>
        <w:spacing w:after="0" w:line="235" w:lineRule="auto"/>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Intercompany revenues between operations have been eliminated in the consolidated financial statements.</w:t>
      </w:r>
    </w:p>
    <w:p>
      <w:pPr>
        <w:spacing w:after="0" w:line="203" w:lineRule="exact"/>
        <w:rPr>
          <w:sz w:val="20"/>
          <w:szCs w:val="20"/>
          <w:color w:val="auto"/>
        </w:rPr>
      </w:pPr>
    </w:p>
    <w:p>
      <w:pPr>
        <w:ind w:left="540" w:hanging="532"/>
        <w:spacing w:after="0"/>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PAPER DERIVATIVES AND HEDGING ACTIVITIES</w:t>
      </w:r>
    </w:p>
    <w:p>
      <w:pPr>
        <w:spacing w:after="0" w:line="207"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All derivative transactions are subject to the Company's risk management policy. Swap agreements expose the Company to credit risk to the extent the counterparty is unable to meet its monthly settlement commitment. The Company carefully monitors the creditworthiness of each counterparty.</w:t>
      </w:r>
    </w:p>
    <w:p>
      <w:pPr>
        <w:spacing w:after="0" w:line="18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Company enters into paper swap agreements to secure margins on certain paper products to be sold from its material recovery facilities. The Company expects to achieve the margins by entering into transactions to mitigate the variability in cash flows from sales of waste paper products at floating prices, resulting in a fixed price being received from sales of such products. The Company's paper swap agreements have an average term of approximately two years with the maximum term being five years. The terms of the agreements represent the span of time over which the Company is hedging its exposure to variability in future cash flows from the sale of waste paper products. The Company accounts for these derivatives as cash flow hedges. In addition, the Company has entered into paper swap agreements with the objective of generating profits from exposure to changes in market prices of waste paper and other paper products.</w:t>
      </w:r>
    </w:p>
    <w:p>
      <w:pPr>
        <w:spacing w:after="0" w:line="39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of September 30, 2002, the net fair value of the Company's paper derivatives was approximately a $1 million net asset. As of September 30, 2002, the Company has included in accumulated other comprehensive income a net deferred loss of $1 million, which is net of taxes, on derivative commodity financial instruments designated as cash flow hedges. The Company's long-term position is a gain, however, its current position is a loss and will require approximately $4 million (on a pre-tax basis) of deferred loss to be reclassified as offsets to revenues over the next 12 months.</w:t>
      </w:r>
    </w:p>
    <w:p>
      <w:pPr>
        <w:spacing w:after="0" w:line="21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For the Company's waste paper swap agreements not designated as hedges, the Company experienced almost no earnings impact for the three months ended September 30, 2002. However, for the nine months</w:t>
      </w:r>
    </w:p>
    <w:p>
      <w:pPr>
        <w:sectPr>
          <w:pgSz w:w="11900" w:h="16838" w:orient="portrait"/>
          <w:cols w:equalWidth="0" w:num="1">
            <w:col w:w="10219"/>
          </w:cols>
          <w:pgMar w:left="240" w:top="514" w:right="1440" w:bottom="0" w:gutter="0" w:footer="0" w:header="0"/>
        </w:sectPr>
      </w:pPr>
    </w:p>
    <w:bookmarkStart w:id="23" w:name="page24"/>
    <w:bookmarkEnd w:id="23"/>
    <w:p>
      <w:pPr>
        <w:ind w:left="3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9019"/>
          </w:cols>
          <w:pgMar w:left="1440" w:top="339" w:right="1440" w:bottom="1440" w:gutter="0" w:footer="0" w:header="0"/>
        </w:sectPr>
      </w:pPr>
    </w:p>
    <w:bookmarkStart w:id="24" w:name="page25"/>
    <w:bookmarkEnd w:id="24"/>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ended September 30, 2002, the Company increased revenues by approximately $3 million for waste paper swap agreements not designated as hedges.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For the three and nine months ended September 30, 2001 the Company recorded a loss of approximately $1 million and a gain of $5 million, respectively, related to derivative agreements with Enron North America Corp. ("Enron") as an offset to operating expenses. In the fourth quarter of 2001, the Company reclassified its year-to-date net paper swap mark-to-market adjustments to be an adjustment to revenue instead of operating expenses. On December 2, 2001, Enron declared bankruptcy under Chapter 11 of the Bankruptcy Code. Due to the uncertainty of Enron's ability to satisfy all of its financial commitments, the Company determined that all of its paper derivatives with Enron had zero fair value at December 31, 2001. In February 2002, the Company terminated its derivative instruments with Enron. The Company carries a deferred gain, net of tax, as of September 30, 2002, which is included in accumulated other comprehensive income, of approximately $3 million related to the paper derivatives with Enron that had qualified through November 2001 as cash flow hedges. This deferred gain is being amortized into earnings as the forecasted transactions that were previously hedged actually occur and approximately $2 million (on a pre-tax basis) is expected to be reclassified into earnings over the next twelve months.</w:t>
      </w:r>
    </w:p>
    <w:p>
      <w:pPr>
        <w:spacing w:after="0" w:line="204" w:lineRule="exact"/>
        <w:rPr>
          <w:sz w:val="20"/>
          <w:szCs w:val="20"/>
          <w:color w:val="auto"/>
        </w:rPr>
      </w:pPr>
    </w:p>
    <w:p>
      <w:pPr>
        <w:ind w:left="540" w:hanging="532"/>
        <w:spacing w:after="0"/>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CONDENSED CONSOLIDATING FINANCIAL STATEMENTS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WM Holdings ("Guarantor"), which is 100% owned by the Company ("Parent"), has fully and unconditionally guaranteed all of the senior indebtedness of the Parent, as well as the Parent's 4% convertible subordinated notes that matured and were repaid in February 2002. The Parent has fully and unconditionally guaranteed all of the senior indebtedness of WM Holdings, as well as WM Holdings' 5.75% convertible subordinated debentures due 2005. However, none of the Company's nor WM Holdings' debt is guaranteed by any of the Parent's indirect subsidiaries or WM Holdings' subsidiaries ("Non-Guarantors"). Accordingly, the following unaudited condensed consolidating balance sheet as of September 30, 2002 and the condensed consolidating balance sheet as of December 31, 2001, the unaudited condensed consolidating statements of operations for the three and nine months ended September 30, 2002 and 2001, along with the related unaudited condensed consolidating statements of cash flows for the nine months ending September 30, 2002 and 2001, have been provided below (in millions).</w:t>
      </w:r>
    </w:p>
    <w:p>
      <w:pPr>
        <w:spacing w:after="0" w:line="3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514" w:right="1440" w:bottom="1440" w:gutter="0" w:footer="0" w:header="0"/>
        </w:sectPr>
      </w:pPr>
    </w:p>
    <w:bookmarkStart w:id="25" w:name="page26"/>
    <w:bookmarkEnd w:id="25"/>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48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CONDENSED CONSOLIDATING BALANCE SHEETS</w:t>
            </w:r>
          </w:p>
        </w:tc>
      </w:tr>
      <w:tr>
        <w:trPr>
          <w:trHeight w:val="203"/>
        </w:trPr>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40" w:type="dxa"/>
            <w:vAlign w:val="bottom"/>
            <w:gridSpan w:val="2"/>
          </w:tcPr>
          <w:p>
            <w:pPr>
              <w:jc w:val="right"/>
              <w:ind w:right="972"/>
              <w:spacing w:after="0" w:line="203" w:lineRule="exact"/>
              <w:rPr>
                <w:sz w:val="20"/>
                <w:szCs w:val="20"/>
                <w:color w:val="auto"/>
              </w:rPr>
            </w:pPr>
            <w:r>
              <w:rPr>
                <w:rFonts w:ascii="Courier New" w:cs="Courier New" w:eastAsia="Courier New" w:hAnsi="Courier New"/>
                <w:sz w:val="18"/>
                <w:szCs w:val="18"/>
                <w:color w:val="auto"/>
              </w:rPr>
              <w:t>SEPTEMBER 30, 2002</w:t>
            </w:r>
          </w:p>
        </w:tc>
      </w:tr>
      <w:tr>
        <w:trPr>
          <w:trHeight w:val="203"/>
        </w:trPr>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8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405"/>
        </w:trPr>
        <w:tc>
          <w:tcPr>
            <w:tcW w:w="6220" w:type="dxa"/>
            <w:vAlign w:val="bottom"/>
            <w:gridSpan w:val="4"/>
          </w:tcPr>
          <w:p>
            <w:pPr>
              <w:jc w:val="center"/>
              <w:ind w:right="1912"/>
              <w:spacing w:after="0"/>
              <w:rPr>
                <w:sz w:val="20"/>
                <w:szCs w:val="20"/>
                <w:color w:val="auto"/>
              </w:rPr>
            </w:pPr>
            <w:r>
              <w:rPr>
                <w:rFonts w:ascii="Courier New" w:cs="Courier New" w:eastAsia="Courier New" w:hAnsi="Courier New"/>
                <w:sz w:val="18"/>
                <w:szCs w:val="18"/>
                <w:color w:val="auto"/>
                <w:w w:val="97"/>
              </w:rPr>
              <w:t>PARENT GUARANTOR NON-GUARANTORS</w:t>
            </w:r>
          </w:p>
        </w:tc>
      </w:tr>
      <w:tr>
        <w:trPr>
          <w:trHeight w:val="203"/>
        </w:trPr>
        <w:tc>
          <w:tcPr>
            <w:tcW w:w="34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4"/>
              </w:rPr>
              <w:t>ELIMINATIONS CONSOLIDATED -------</w:t>
            </w:r>
          </w:p>
        </w:tc>
        <w:tc>
          <w:tcPr>
            <w:tcW w:w="2780" w:type="dxa"/>
            <w:vAlign w:val="bottom"/>
          </w:tcPr>
          <w:p>
            <w:pPr>
              <w:jc w:val="right"/>
              <w:ind w:right="19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gridSpan w:val="4"/>
          </w:tcPr>
          <w:p>
            <w:pPr>
              <w:jc w:val="right"/>
              <w:ind w:right="1972"/>
              <w:spacing w:after="0" w:line="203" w:lineRule="exact"/>
              <w:rPr>
                <w:sz w:val="20"/>
                <w:szCs w:val="20"/>
                <w:color w:val="auto"/>
              </w:rPr>
            </w:pPr>
            <w:r>
              <w:rPr>
                <w:rFonts w:ascii="Courier New" w:cs="Courier New" w:eastAsia="Courier New" w:hAnsi="Courier New"/>
                <w:sz w:val="18"/>
                <w:szCs w:val="18"/>
                <w:color w:val="auto"/>
                <w:w w:val="98"/>
              </w:rPr>
              <w:t>---- -------------- ------------ ------</w:t>
            </w:r>
          </w:p>
        </w:tc>
      </w:tr>
      <w:tr>
        <w:trPr>
          <w:trHeight w:val="203"/>
        </w:trPr>
        <w:tc>
          <w:tcPr>
            <w:tcW w:w="6220" w:type="dxa"/>
            <w:vAlign w:val="bottom"/>
            <w:gridSpan w:val="4"/>
          </w:tcPr>
          <w:p>
            <w:pPr>
              <w:jc w:val="center"/>
              <w:ind w:right="1892"/>
              <w:spacing w:after="0" w:line="203" w:lineRule="exact"/>
              <w:rPr>
                <w:sz w:val="20"/>
                <w:szCs w:val="20"/>
                <w:color w:val="auto"/>
              </w:rPr>
            </w:pPr>
            <w:r>
              <w:rPr>
                <w:rFonts w:ascii="Courier New" w:cs="Courier New" w:eastAsia="Courier New" w:hAnsi="Courier New"/>
                <w:sz w:val="18"/>
                <w:szCs w:val="18"/>
                <w:color w:val="auto"/>
                <w:w w:val="97"/>
              </w:rPr>
              <w:t>------ ASSETS Current assets: Cash and</w:t>
            </w:r>
          </w:p>
        </w:tc>
      </w:tr>
      <w:tr>
        <w:trPr>
          <w:trHeight w:val="203"/>
        </w:trPr>
        <w:tc>
          <w:tcPr>
            <w:tcW w:w="34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cash equivalents...............</w:t>
            </w:r>
          </w:p>
        </w:tc>
        <w:tc>
          <w:tcPr>
            <w:tcW w:w="2780" w:type="dxa"/>
            <w:vAlign w:val="bottom"/>
          </w:tcPr>
          <w:p>
            <w:pPr>
              <w:jc w:val="right"/>
              <w:ind w:right="1972"/>
              <w:spacing w:after="0" w:line="203" w:lineRule="exact"/>
              <w:rPr>
                <w:sz w:val="20"/>
                <w:szCs w:val="20"/>
                <w:color w:val="auto"/>
              </w:rPr>
            </w:pPr>
            <w:r>
              <w:rPr>
                <w:rFonts w:ascii="Courier New" w:cs="Courier New" w:eastAsia="Courier New" w:hAnsi="Courier New"/>
                <w:sz w:val="18"/>
                <w:szCs w:val="18"/>
                <w:color w:val="auto"/>
                <w:w w:val="92"/>
              </w:rPr>
              <w:t>$ 722 $</w:t>
            </w:r>
          </w:p>
        </w:tc>
      </w:tr>
      <w:tr>
        <w:trPr>
          <w:trHeight w:val="203"/>
        </w:trPr>
        <w:tc>
          <w:tcPr>
            <w:tcW w:w="138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 $ (66)</w:t>
            </w:r>
          </w:p>
        </w:tc>
        <w:tc>
          <w:tcPr>
            <w:tcW w:w="4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 $ 656 Other current</w:t>
            </w:r>
          </w:p>
        </w:tc>
      </w:tr>
      <w:tr>
        <w:trPr>
          <w:trHeight w:val="203"/>
        </w:trPr>
        <w:tc>
          <w:tcPr>
            <w:tcW w:w="2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81"/>
              </w:rPr>
              <w:t>assets....................</w:t>
            </w:r>
          </w:p>
        </w:tc>
        <w:tc>
          <w:tcPr>
            <w:tcW w:w="3840" w:type="dxa"/>
            <w:vAlign w:val="bottom"/>
            <w:gridSpan w:val="2"/>
          </w:tcPr>
          <w:p>
            <w:pPr>
              <w:jc w:val="right"/>
              <w:ind w:right="1972"/>
              <w:spacing w:after="0" w:line="203" w:lineRule="exact"/>
              <w:rPr>
                <w:sz w:val="20"/>
                <w:szCs w:val="20"/>
                <w:color w:val="auto"/>
              </w:rPr>
            </w:pPr>
            <w:r>
              <w:rPr>
                <w:rFonts w:ascii="Courier New" w:cs="Courier New" w:eastAsia="Courier New" w:hAnsi="Courier New"/>
                <w:sz w:val="18"/>
                <w:szCs w:val="18"/>
                <w:color w:val="auto"/>
              </w:rPr>
              <w:t>-- 5 2,418 -</w:t>
            </w:r>
          </w:p>
        </w:tc>
      </w:tr>
      <w:tr>
        <w:trPr>
          <w:trHeight w:val="203"/>
        </w:trPr>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6"/>
              </w:rPr>
              <w:t>- 2,423 -------</w:t>
            </w:r>
          </w:p>
        </w:tc>
        <w:tc>
          <w:tcPr>
            <w:tcW w:w="4840" w:type="dxa"/>
            <w:vAlign w:val="bottom"/>
            <w:gridSpan w:val="3"/>
          </w:tcPr>
          <w:p>
            <w:pPr>
              <w:jc w:val="right"/>
              <w:ind w:right="2012"/>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6220" w:type="dxa"/>
            <w:vAlign w:val="bottom"/>
            <w:gridSpan w:val="4"/>
          </w:tcPr>
          <w:p>
            <w:pPr>
              <w:jc w:val="center"/>
              <w:ind w:right="1912"/>
              <w:spacing w:after="0" w:line="203" w:lineRule="exact"/>
              <w:rPr>
                <w:sz w:val="20"/>
                <w:szCs w:val="20"/>
                <w:color w:val="auto"/>
              </w:rPr>
            </w:pPr>
            <w:r>
              <w:rPr>
                <w:rFonts w:ascii="Courier New" w:cs="Courier New" w:eastAsia="Courier New" w:hAnsi="Courier New"/>
                <w:sz w:val="18"/>
                <w:szCs w:val="18"/>
                <w:color w:val="auto"/>
                <w:w w:val="97"/>
              </w:rPr>
              <w:t>------- 722 5 2,352 -- 3,079 Property</w:t>
            </w:r>
          </w:p>
        </w:tc>
      </w:tr>
      <w:tr>
        <w:trPr>
          <w:trHeight w:val="203"/>
        </w:trPr>
        <w:tc>
          <w:tcPr>
            <w:tcW w:w="34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4"/>
              </w:rPr>
              <w:t>and equipment, net...............</w:t>
            </w:r>
          </w:p>
        </w:tc>
        <w:tc>
          <w:tcPr>
            <w:tcW w:w="2780" w:type="dxa"/>
            <w:vAlign w:val="bottom"/>
          </w:tcPr>
          <w:p>
            <w:pPr>
              <w:jc w:val="right"/>
              <w:ind w:right="197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6220" w:type="dxa"/>
            <w:vAlign w:val="bottom"/>
            <w:gridSpan w:val="4"/>
          </w:tcPr>
          <w:p>
            <w:pPr>
              <w:jc w:val="center"/>
              <w:ind w:right="1892"/>
              <w:spacing w:after="0" w:line="203" w:lineRule="exact"/>
              <w:rPr>
                <w:sz w:val="20"/>
                <w:szCs w:val="20"/>
                <w:color w:val="auto"/>
              </w:rPr>
            </w:pPr>
            <w:r>
              <w:rPr>
                <w:rFonts w:ascii="Courier New" w:cs="Courier New" w:eastAsia="Courier New" w:hAnsi="Courier New"/>
                <w:sz w:val="18"/>
                <w:szCs w:val="18"/>
                <w:color w:val="auto"/>
                <w:w w:val="97"/>
              </w:rPr>
              <w:t>10,539 -- 10,539 Intercompany and</w:t>
            </w:r>
          </w:p>
        </w:tc>
      </w:tr>
      <w:tr>
        <w:trPr>
          <w:trHeight w:val="203"/>
        </w:trPr>
        <w:tc>
          <w:tcPr>
            <w:tcW w:w="1380" w:type="dxa"/>
            <w:vAlign w:val="bottom"/>
          </w:tcPr>
          <w:p>
            <w:pPr>
              <w:spacing w:after="0"/>
              <w:rPr>
                <w:sz w:val="17"/>
                <w:szCs w:val="17"/>
                <w:color w:val="auto"/>
              </w:rPr>
            </w:pPr>
          </w:p>
        </w:tc>
        <w:tc>
          <w:tcPr>
            <w:tcW w:w="2060" w:type="dxa"/>
            <w:vAlign w:val="bottom"/>
            <w:gridSpan w:val="2"/>
          </w:tcPr>
          <w:p>
            <w:pPr>
              <w:jc w:val="center"/>
              <w:ind w:right="492"/>
              <w:spacing w:after="0" w:line="203" w:lineRule="exact"/>
              <w:rPr>
                <w:sz w:val="20"/>
                <w:szCs w:val="20"/>
                <w:color w:val="auto"/>
              </w:rPr>
            </w:pPr>
            <w:r>
              <w:rPr>
                <w:rFonts w:ascii="Courier New" w:cs="Courier New" w:eastAsia="Courier New" w:hAnsi="Courier New"/>
                <w:sz w:val="18"/>
                <w:szCs w:val="18"/>
                <w:color w:val="auto"/>
                <w:w w:val="96"/>
              </w:rPr>
              <w:t>investment in</w:t>
            </w:r>
          </w:p>
        </w:tc>
        <w:tc>
          <w:tcPr>
            <w:tcW w:w="2780" w:type="dxa"/>
            <w:vAlign w:val="bottom"/>
          </w:tcPr>
          <w:p>
            <w:pPr>
              <w:spacing w:after="0"/>
              <w:rPr>
                <w:sz w:val="17"/>
                <w:szCs w:val="17"/>
                <w:color w:val="auto"/>
              </w:rPr>
            </w:pPr>
          </w:p>
        </w:tc>
      </w:tr>
      <w:tr>
        <w:trPr>
          <w:trHeight w:val="203"/>
        </w:trPr>
        <w:tc>
          <w:tcPr>
            <w:tcW w:w="23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subsidiaries............................</w:t>
            </w:r>
          </w:p>
        </w:tc>
        <w:tc>
          <w:tcPr>
            <w:tcW w:w="106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6220" w:type="dxa"/>
            <w:vAlign w:val="bottom"/>
            <w:gridSpan w:val="4"/>
          </w:tcPr>
          <w:p>
            <w:pPr>
              <w:jc w:val="center"/>
              <w:ind w:right="1892"/>
              <w:spacing w:after="0" w:line="203" w:lineRule="exact"/>
              <w:rPr>
                <w:sz w:val="20"/>
                <w:szCs w:val="20"/>
                <w:color w:val="auto"/>
              </w:rPr>
            </w:pPr>
            <w:r>
              <w:rPr>
                <w:rFonts w:ascii="Courier New" w:cs="Courier New" w:eastAsia="Courier New" w:hAnsi="Courier New"/>
                <w:sz w:val="18"/>
                <w:szCs w:val="18"/>
                <w:color w:val="auto"/>
                <w:w w:val="97"/>
              </w:rPr>
              <w:t>9,216 5,764 (7,657) (7,323) -- Other</w:t>
            </w:r>
          </w:p>
        </w:tc>
      </w:tr>
      <w:tr>
        <w:trPr>
          <w:trHeight w:val="203"/>
        </w:trPr>
        <w:tc>
          <w:tcPr>
            <w:tcW w:w="23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assets..............................</w:t>
            </w:r>
          </w:p>
        </w:tc>
        <w:tc>
          <w:tcPr>
            <w:tcW w:w="106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2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135 203 6,033 -- 6,371</w:t>
            </w:r>
          </w:p>
        </w:tc>
        <w:tc>
          <w:tcPr>
            <w:tcW w:w="3840" w:type="dxa"/>
            <w:vAlign w:val="bottom"/>
            <w:gridSpan w:val="2"/>
          </w:tcPr>
          <w:p>
            <w:pPr>
              <w:jc w:val="right"/>
              <w:ind w:right="1972"/>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138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w:t>
            </w:r>
          </w:p>
        </w:tc>
        <w:tc>
          <w:tcPr>
            <w:tcW w:w="4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 Total</w:t>
            </w:r>
          </w:p>
        </w:tc>
      </w:tr>
      <w:tr>
        <w:trPr>
          <w:trHeight w:val="203"/>
        </w:trPr>
        <w:tc>
          <w:tcPr>
            <w:tcW w:w="23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6"/>
              </w:rPr>
              <w:t>assets..........................</w:t>
            </w:r>
          </w:p>
        </w:tc>
        <w:tc>
          <w:tcPr>
            <w:tcW w:w="106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2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$10,073 $5,972 $11,267</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$(7,323)</w:t>
            </w:r>
          </w:p>
        </w:tc>
        <w:tc>
          <w:tcPr>
            <w:tcW w:w="2780" w:type="dxa"/>
            <w:vAlign w:val="bottom"/>
          </w:tcPr>
          <w:p>
            <w:pPr>
              <w:jc w:val="right"/>
              <w:ind w:right="1972"/>
              <w:spacing w:after="0" w:line="203" w:lineRule="exact"/>
              <w:rPr>
                <w:sz w:val="20"/>
                <w:szCs w:val="20"/>
                <w:color w:val="auto"/>
              </w:rPr>
            </w:pPr>
            <w:r>
              <w:rPr>
                <w:rFonts w:ascii="Courier New" w:cs="Courier New" w:eastAsia="Courier New" w:hAnsi="Courier New"/>
                <w:sz w:val="18"/>
                <w:szCs w:val="18"/>
                <w:color w:val="auto"/>
                <w:w w:val="92"/>
              </w:rPr>
              <w:t>$19,989</w:t>
            </w:r>
          </w:p>
        </w:tc>
      </w:tr>
      <w:tr>
        <w:trPr>
          <w:trHeight w:val="203"/>
        </w:trPr>
        <w:tc>
          <w:tcPr>
            <w:tcW w:w="6220" w:type="dxa"/>
            <w:vAlign w:val="bottom"/>
            <w:gridSpan w:val="4"/>
          </w:tcPr>
          <w:p>
            <w:pPr>
              <w:jc w:val="right"/>
              <w:ind w:right="2012"/>
              <w:spacing w:after="0" w:line="203" w:lineRule="exact"/>
              <w:rPr>
                <w:sz w:val="20"/>
                <w:szCs w:val="20"/>
                <w:color w:val="auto"/>
              </w:rPr>
            </w:pPr>
            <w:r>
              <w:rPr>
                <w:rFonts w:ascii="Courier New" w:cs="Courier New" w:eastAsia="Courier New" w:hAnsi="Courier New"/>
                <w:sz w:val="18"/>
                <w:szCs w:val="18"/>
                <w:color w:val="auto"/>
                <w:w w:val="99"/>
              </w:rPr>
              <w:t>======= ====== ======= ======= =======</w:t>
            </w:r>
          </w:p>
        </w:tc>
      </w:tr>
      <w:tr>
        <w:trPr>
          <w:trHeight w:val="203"/>
        </w:trPr>
        <w:tc>
          <w:tcPr>
            <w:tcW w:w="6220" w:type="dxa"/>
            <w:vAlign w:val="bottom"/>
            <w:gridSpan w:val="4"/>
          </w:tcPr>
          <w:p>
            <w:pPr>
              <w:jc w:val="center"/>
              <w:ind w:right="1892"/>
              <w:spacing w:after="0" w:line="203" w:lineRule="exact"/>
              <w:rPr>
                <w:sz w:val="20"/>
                <w:szCs w:val="20"/>
                <w:color w:val="auto"/>
              </w:rPr>
            </w:pPr>
            <w:r>
              <w:rPr>
                <w:rFonts w:ascii="Courier New" w:cs="Courier New" w:eastAsia="Courier New" w:hAnsi="Courier New"/>
                <w:sz w:val="18"/>
                <w:szCs w:val="18"/>
                <w:color w:val="auto"/>
                <w:w w:val="97"/>
              </w:rPr>
              <w:t>LIABILITIES AND STOCKHOLDERS' EQUITY</w:t>
            </w:r>
          </w:p>
        </w:tc>
      </w:tr>
      <w:tr>
        <w:trPr>
          <w:trHeight w:val="203"/>
        </w:trPr>
        <w:tc>
          <w:tcPr>
            <w:tcW w:w="6220" w:type="dxa"/>
            <w:vAlign w:val="bottom"/>
            <w:gridSpan w:val="4"/>
          </w:tcPr>
          <w:p>
            <w:pPr>
              <w:jc w:val="center"/>
              <w:ind w:right="1912"/>
              <w:spacing w:after="0" w:line="203" w:lineRule="exact"/>
              <w:rPr>
                <w:sz w:val="20"/>
                <w:szCs w:val="20"/>
                <w:color w:val="auto"/>
              </w:rPr>
            </w:pPr>
            <w:r>
              <w:rPr>
                <w:rFonts w:ascii="Courier New" w:cs="Courier New" w:eastAsia="Courier New" w:hAnsi="Courier New"/>
                <w:sz w:val="18"/>
                <w:szCs w:val="18"/>
                <w:color w:val="auto"/>
                <w:w w:val="97"/>
              </w:rPr>
              <w:t>Current liabilities: Current portion of</w:t>
            </w:r>
          </w:p>
        </w:tc>
      </w:tr>
      <w:tr>
        <w:trPr>
          <w:trHeight w:val="203"/>
        </w:trPr>
        <w:tc>
          <w:tcPr>
            <w:tcW w:w="2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long-term debt.......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 $ 286</w:t>
            </w:r>
          </w:p>
        </w:tc>
        <w:tc>
          <w:tcPr>
            <w:tcW w:w="2780" w:type="dxa"/>
            <w:vAlign w:val="bottom"/>
          </w:tcPr>
          <w:p>
            <w:pPr>
              <w:jc w:val="right"/>
              <w:ind w:right="1972"/>
              <w:spacing w:after="0" w:line="203" w:lineRule="exact"/>
              <w:rPr>
                <w:sz w:val="20"/>
                <w:szCs w:val="20"/>
                <w:color w:val="auto"/>
              </w:rPr>
            </w:pPr>
            <w:r>
              <w:rPr>
                <w:rFonts w:ascii="Courier New" w:cs="Courier New" w:eastAsia="Courier New" w:hAnsi="Courier New"/>
                <w:sz w:val="18"/>
                <w:szCs w:val="18"/>
                <w:color w:val="auto"/>
              </w:rPr>
              <w:t>$ 89 $</w:t>
            </w:r>
          </w:p>
        </w:tc>
      </w:tr>
      <w:tr>
        <w:trPr>
          <w:trHeight w:val="203"/>
        </w:trPr>
        <w:tc>
          <w:tcPr>
            <w:tcW w:w="6220" w:type="dxa"/>
            <w:vAlign w:val="bottom"/>
            <w:gridSpan w:val="4"/>
          </w:tcPr>
          <w:p>
            <w:pPr>
              <w:jc w:val="center"/>
              <w:ind w:right="1892"/>
              <w:spacing w:after="0" w:line="203" w:lineRule="exact"/>
              <w:rPr>
                <w:sz w:val="20"/>
                <w:szCs w:val="20"/>
                <w:color w:val="auto"/>
              </w:rPr>
            </w:pPr>
            <w:r>
              <w:rPr>
                <w:rFonts w:ascii="Courier New" w:cs="Courier New" w:eastAsia="Courier New" w:hAnsi="Courier New"/>
                <w:sz w:val="18"/>
                <w:szCs w:val="18"/>
                <w:color w:val="auto"/>
                <w:w w:val="97"/>
              </w:rPr>
              <w:t>-- $ 375 Accounts payable and other</w:t>
            </w:r>
          </w:p>
        </w:tc>
      </w:tr>
      <w:tr>
        <w:trPr>
          <w:trHeight w:val="203"/>
        </w:trPr>
        <w:tc>
          <w:tcPr>
            <w:tcW w:w="1380" w:type="dxa"/>
            <w:vAlign w:val="bottom"/>
          </w:tcPr>
          <w:p>
            <w:pPr>
              <w:spacing w:after="0"/>
              <w:rPr>
                <w:sz w:val="17"/>
                <w:szCs w:val="17"/>
                <w:color w:val="auto"/>
              </w:rPr>
            </w:pPr>
          </w:p>
        </w:tc>
        <w:tc>
          <w:tcPr>
            <w:tcW w:w="2060" w:type="dxa"/>
            <w:vAlign w:val="bottom"/>
            <w:gridSpan w:val="2"/>
          </w:tcPr>
          <w:p>
            <w:pPr>
              <w:jc w:val="center"/>
              <w:ind w:right="512"/>
              <w:spacing w:after="0" w:line="203" w:lineRule="exact"/>
              <w:rPr>
                <w:sz w:val="20"/>
                <w:szCs w:val="20"/>
                <w:color w:val="auto"/>
              </w:rPr>
            </w:pPr>
            <w:r>
              <w:rPr>
                <w:rFonts w:ascii="Courier New" w:cs="Courier New" w:eastAsia="Courier New" w:hAnsi="Courier New"/>
                <w:sz w:val="18"/>
                <w:szCs w:val="18"/>
                <w:color w:val="auto"/>
                <w:w w:val="97"/>
              </w:rPr>
              <w:t>accrued</w:t>
            </w:r>
          </w:p>
        </w:tc>
        <w:tc>
          <w:tcPr>
            <w:tcW w:w="2780" w:type="dxa"/>
            <w:vAlign w:val="bottom"/>
          </w:tcPr>
          <w:p>
            <w:pPr>
              <w:spacing w:after="0"/>
              <w:rPr>
                <w:sz w:val="17"/>
                <w:szCs w:val="17"/>
                <w:color w:val="auto"/>
              </w:rPr>
            </w:pPr>
          </w:p>
        </w:tc>
      </w:tr>
      <w:tr>
        <w:trPr>
          <w:trHeight w:val="203"/>
        </w:trPr>
        <w:tc>
          <w:tcPr>
            <w:tcW w:w="23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liabilities...........................</w:t>
            </w:r>
          </w:p>
        </w:tc>
        <w:tc>
          <w:tcPr>
            <w:tcW w:w="106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2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73"/>
              </w:rPr>
              <w:t>162 49 3,049 -- 3,260 -------</w:t>
            </w:r>
          </w:p>
        </w:tc>
        <w:tc>
          <w:tcPr>
            <w:tcW w:w="3840" w:type="dxa"/>
            <w:vAlign w:val="bottom"/>
            <w:gridSpan w:val="2"/>
          </w:tcPr>
          <w:p>
            <w:pPr>
              <w:jc w:val="right"/>
              <w:ind w:right="1972"/>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4" w:lineRule="exact"/>
        <w:rPr>
          <w:sz w:val="20"/>
          <w:szCs w:val="20"/>
          <w:color w:val="auto"/>
        </w:rPr>
      </w:pPr>
    </w:p>
    <w:p>
      <w:pPr>
        <w:ind w:left="320" w:right="6099" w:hanging="207"/>
        <w:spacing w:after="0" w:line="268" w:lineRule="auto"/>
        <w:tabs>
          <w:tab w:leader="none" w:pos="742"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------- 162 335 3,138 -- 3,635 Long-term debt, less current</w:t>
      </w:r>
    </w:p>
    <w:tbl>
      <w:tblPr>
        <w:tblLayout w:type="fixed"/>
        <w:tblInd w:w="60" w:type="dxa"/>
        <w:tblCellMar>
          <w:top w:w="0" w:type="dxa"/>
          <w:left w:w="0" w:type="dxa"/>
          <w:bottom w:w="0" w:type="dxa"/>
          <w:right w:w="0" w:type="dxa"/>
        </w:tblCellMar>
      </w:tblPr>
      <w:tr>
        <w:trPr>
          <w:trHeight w:val="199"/>
        </w:trPr>
        <w:tc>
          <w:tcPr>
            <w:tcW w:w="1480" w:type="dxa"/>
            <w:vAlign w:val="bottom"/>
          </w:tcPr>
          <w:p>
            <w:pPr>
              <w:ind w:left="260"/>
              <w:spacing w:after="0" w:line="198" w:lineRule="exact"/>
              <w:rPr>
                <w:sz w:val="20"/>
                <w:szCs w:val="20"/>
                <w:color w:val="auto"/>
              </w:rPr>
            </w:pPr>
            <w:r>
              <w:rPr>
                <w:rFonts w:ascii="Courier New" w:cs="Courier New" w:eastAsia="Courier New" w:hAnsi="Courier New"/>
                <w:sz w:val="18"/>
                <w:szCs w:val="18"/>
                <w:color w:val="auto"/>
                <w:w w:val="85"/>
              </w:rPr>
              <w:t>portion......</w:t>
            </w:r>
          </w:p>
        </w:tc>
        <w:tc>
          <w:tcPr>
            <w:tcW w:w="2620" w:type="dxa"/>
            <w:vAlign w:val="bottom"/>
            <w:gridSpan w:val="2"/>
          </w:tcPr>
          <w:p>
            <w:pPr>
              <w:jc w:val="right"/>
              <w:ind w:right="172"/>
              <w:spacing w:after="0" w:line="198" w:lineRule="exact"/>
              <w:rPr>
                <w:sz w:val="20"/>
                <w:szCs w:val="20"/>
                <w:color w:val="auto"/>
              </w:rPr>
            </w:pPr>
            <w:r>
              <w:rPr>
                <w:rFonts w:ascii="Courier New" w:cs="Courier New" w:eastAsia="Courier New" w:hAnsi="Courier New"/>
                <w:sz w:val="18"/>
                <w:szCs w:val="18"/>
                <w:color w:val="auto"/>
              </w:rPr>
              <w:t>4,501 2,098 1,552 --</w:t>
            </w:r>
          </w:p>
        </w:tc>
      </w:tr>
      <w:tr>
        <w:trPr>
          <w:trHeight w:val="203"/>
        </w:trPr>
        <w:tc>
          <w:tcPr>
            <w:tcW w:w="14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8,151 Other</w:t>
            </w:r>
          </w:p>
        </w:tc>
        <w:tc>
          <w:tcPr>
            <w:tcW w:w="1420" w:type="dxa"/>
            <w:vAlign w:val="bottom"/>
          </w:tcPr>
          <w:p>
            <w:pPr>
              <w:spacing w:after="0"/>
              <w:rPr>
                <w:sz w:val="17"/>
                <w:szCs w:val="17"/>
                <w:color w:val="auto"/>
              </w:rPr>
            </w:pPr>
          </w:p>
        </w:tc>
      </w:tr>
      <w:tr>
        <w:trPr>
          <w:trHeight w:val="203"/>
        </w:trPr>
        <w:tc>
          <w:tcPr>
            <w:tcW w:w="26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6"/>
              </w:rPr>
              <w:t>liabilities.........................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-- 2,777 -- 2,777 -------</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bl>
    <w:p>
      <w:pPr>
        <w:spacing w:after="0" w:line="4" w:lineRule="exact"/>
        <w:rPr>
          <w:sz w:val="20"/>
          <w:szCs w:val="20"/>
          <w:color w:val="auto"/>
        </w:rPr>
      </w:pPr>
    </w:p>
    <w:p>
      <w:pPr>
        <w:ind w:left="320" w:right="6319" w:firstLine="583"/>
        <w:spacing w:after="0" w:line="290" w:lineRule="auto"/>
        <w:tabs>
          <w:tab w:leader="none" w:pos="111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Total liabilities.......................</w:t>
      </w:r>
    </w:p>
    <w:p>
      <w:pPr>
        <w:spacing w:after="0" w:line="164"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interest in subsidiaries......... -- --</w:t>
      </w:r>
    </w:p>
    <w:p>
      <w:pPr>
        <w:jc w:val="center"/>
        <w:ind w:right="5999"/>
        <w:spacing w:after="0" w:line="238" w:lineRule="auto"/>
        <w:rPr>
          <w:sz w:val="20"/>
          <w:szCs w:val="20"/>
          <w:color w:val="auto"/>
        </w:rPr>
      </w:pPr>
      <w:r>
        <w:rPr>
          <w:rFonts w:ascii="Courier New" w:cs="Courier New" w:eastAsia="Courier New" w:hAnsi="Courier New"/>
          <w:sz w:val="18"/>
          <w:szCs w:val="18"/>
          <w:color w:val="auto"/>
        </w:rPr>
        <w:t>16 -- 16 Stockholders'</w:t>
      </w:r>
    </w:p>
    <w:p>
      <w:pPr>
        <w:jc w:val="center"/>
        <w:ind w:right="5999"/>
        <w:spacing w:after="0"/>
        <w:rPr>
          <w:sz w:val="20"/>
          <w:szCs w:val="20"/>
          <w:color w:val="auto"/>
        </w:rPr>
      </w:pPr>
      <w:r>
        <w:rPr>
          <w:rFonts w:ascii="Courier New" w:cs="Courier New" w:eastAsia="Courier New" w:hAnsi="Courier New"/>
          <w:sz w:val="18"/>
          <w:szCs w:val="18"/>
          <w:color w:val="auto"/>
        </w:rPr>
        <w:t>equity...................... 5,410</w:t>
      </w:r>
    </w:p>
    <w:p>
      <w:pPr>
        <w:jc w:val="center"/>
        <w:ind w:right="5999"/>
        <w:spacing w:after="0" w:line="237" w:lineRule="auto"/>
        <w:rPr>
          <w:sz w:val="20"/>
          <w:szCs w:val="20"/>
          <w:color w:val="auto"/>
        </w:rPr>
      </w:pPr>
      <w:r>
        <w:rPr>
          <w:rFonts w:ascii="Courier New" w:cs="Courier New" w:eastAsia="Courier New" w:hAnsi="Courier New"/>
          <w:sz w:val="18"/>
          <w:szCs w:val="18"/>
          <w:color w:val="auto"/>
        </w:rPr>
        <w:t>3,539 3,784 (7,323) 5,410 ------- -----</w:t>
      </w:r>
    </w:p>
    <w:p>
      <w:pPr>
        <w:spacing w:after="0" w:line="5" w:lineRule="exact"/>
        <w:rPr>
          <w:sz w:val="20"/>
          <w:szCs w:val="20"/>
          <w:color w:val="auto"/>
        </w:rPr>
      </w:pPr>
    </w:p>
    <w:p>
      <w:pPr>
        <w:ind w:left="580" w:right="6479" w:hanging="98"/>
        <w:spacing w:after="0" w:line="268" w:lineRule="auto"/>
        <w:tabs>
          <w:tab w:leader="none" w:pos="686"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Total liabilities and stockholders'</w:t>
      </w:r>
    </w:p>
    <w:p>
      <w:pPr>
        <w:ind w:left="120"/>
        <w:spacing w:after="0" w:line="233" w:lineRule="auto"/>
        <w:rPr>
          <w:sz w:val="20"/>
          <w:szCs w:val="20"/>
          <w:color w:val="auto"/>
        </w:rPr>
      </w:pPr>
      <w:r>
        <w:rPr>
          <w:rFonts w:ascii="Courier New" w:cs="Courier New" w:eastAsia="Courier New" w:hAnsi="Courier New"/>
          <w:sz w:val="18"/>
          <w:szCs w:val="18"/>
          <w:color w:val="auto"/>
        </w:rPr>
        <w:t>equity................................</w:t>
      </w:r>
    </w:p>
    <w:p>
      <w:pPr>
        <w:ind w:left="60"/>
        <w:spacing w:after="0"/>
        <w:rPr>
          <w:sz w:val="20"/>
          <w:szCs w:val="20"/>
          <w:color w:val="auto"/>
        </w:rPr>
      </w:pPr>
      <w:r>
        <w:rPr>
          <w:rFonts w:ascii="Courier New" w:cs="Courier New" w:eastAsia="Courier New" w:hAnsi="Courier New"/>
          <w:sz w:val="18"/>
          <w:szCs w:val="18"/>
          <w:color w:val="auto"/>
        </w:rPr>
        <w:t>$10,073 $5,972 $11,267 $(7,323) $19,989</w:t>
      </w:r>
    </w:p>
    <w:p>
      <w:pPr>
        <w:ind w:left="120"/>
        <w:spacing w:after="0" w:line="237" w:lineRule="auto"/>
        <w:rPr>
          <w:sz w:val="20"/>
          <w:szCs w:val="20"/>
          <w:color w:val="auto"/>
        </w:rPr>
      </w:pPr>
      <w:r>
        <w:rPr>
          <w:rFonts w:ascii="Courier New" w:cs="Courier New" w:eastAsia="Courier New" w:hAnsi="Courier New"/>
          <w:sz w:val="18"/>
          <w:szCs w:val="18"/>
          <w:color w:val="auto"/>
        </w:rPr>
        <w:t>======= ====== ======= ======= =======</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2001</w:t>
      </w:r>
    </w:p>
    <w:p>
      <w:pPr>
        <w:spacing w:after="0" w:line="201"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PARENT GUARANTOR NON-GUARANTORS</w:t>
      </w:r>
    </w:p>
    <w:p>
      <w:pPr>
        <w:spacing w:after="0" w:line="4"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ELIMINATIONS CONSOLIDATED ------ -------</w:t>
      </w:r>
    </w:p>
    <w:p>
      <w:pPr>
        <w:spacing w:after="0" w:line="16" w:lineRule="exact"/>
        <w:rPr>
          <w:sz w:val="20"/>
          <w:szCs w:val="20"/>
          <w:color w:val="auto"/>
        </w:rPr>
      </w:pPr>
    </w:p>
    <w:p>
      <w:pPr>
        <w:ind w:left="380" w:hanging="325"/>
        <w:spacing w:after="0"/>
        <w:tabs>
          <w:tab w:leader="none" w:pos="3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ASSETS Current assets: Cash and cash</w:t>
      </w:r>
    </w:p>
    <w:tbl>
      <w:tblPr>
        <w:tblLayout w:type="fixed"/>
        <w:tblInd w:w="60" w:type="dxa"/>
        <w:tblCellMar>
          <w:top w:w="0" w:type="dxa"/>
          <w:left w:w="0" w:type="dxa"/>
          <w:bottom w:w="0" w:type="dxa"/>
          <w:right w:w="0" w:type="dxa"/>
        </w:tblCellMar>
      </w:tblPr>
      <w:tr>
        <w:trPr>
          <w:trHeight w:val="203"/>
        </w:trPr>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w w:val="98"/>
              </w:rPr>
              <w:t>equivalents................</w:t>
            </w: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w w:val="98"/>
              </w:rPr>
              <w:t>$ 757 $ -- $</w:t>
            </w:r>
          </w:p>
        </w:tc>
      </w:tr>
      <w:tr>
        <w:trPr>
          <w:trHeight w:val="203"/>
        </w:trPr>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w:t>
            </w:r>
          </w:p>
        </w:tc>
        <w:tc>
          <w:tcPr>
            <w:tcW w:w="31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 $ 730 Other current</w:t>
            </w:r>
          </w:p>
        </w:tc>
      </w:tr>
      <w:tr>
        <w:trPr>
          <w:trHeight w:val="203"/>
        </w:trPr>
        <w:tc>
          <w:tcPr>
            <w:tcW w:w="2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assets.....................</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-- 2,394</w:t>
            </w:r>
          </w:p>
        </w:tc>
      </w:tr>
    </w:tbl>
    <w:p>
      <w:pPr>
        <w:ind w:left="380" w:hanging="325"/>
        <w:spacing w:after="0" w:line="238" w:lineRule="auto"/>
        <w:tabs>
          <w:tab w:leader="none" w:pos="3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2,394 ------ ------ ------- -------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------ 757 -- 2,367 -- 3,124 Property</w:t>
      </w:r>
    </w:p>
    <w:p>
      <w:pPr>
        <w:ind w:left="60"/>
        <w:spacing w:after="0"/>
        <w:rPr>
          <w:sz w:val="20"/>
          <w:szCs w:val="20"/>
          <w:color w:val="auto"/>
        </w:rPr>
      </w:pPr>
      <w:r>
        <w:rPr>
          <w:rFonts w:ascii="Courier New" w:cs="Courier New" w:eastAsia="Courier New" w:hAnsi="Courier New"/>
          <w:sz w:val="18"/>
          <w:szCs w:val="18"/>
          <w:color w:val="auto"/>
        </w:rPr>
        <w:t>and equipment, net................ -- --</w:t>
      </w:r>
    </w:p>
    <w:p>
      <w:pPr>
        <w:jc w:val="center"/>
        <w:ind w:right="5899"/>
        <w:spacing w:after="0" w:line="237" w:lineRule="auto"/>
        <w:rPr>
          <w:sz w:val="20"/>
          <w:szCs w:val="20"/>
          <w:color w:val="auto"/>
        </w:rPr>
      </w:pPr>
      <w:r>
        <w:rPr>
          <w:rFonts w:ascii="Courier New" w:cs="Courier New" w:eastAsia="Courier New" w:hAnsi="Courier New"/>
          <w:sz w:val="18"/>
          <w:szCs w:val="18"/>
          <w:color w:val="auto"/>
        </w:rPr>
        <w:t>10,357 -- 10,357 Intercompany and</w:t>
      </w:r>
    </w:p>
    <w:p>
      <w:pPr>
        <w:jc w:val="center"/>
        <w:ind w:right="5899"/>
        <w:spacing w:after="0" w:line="238" w:lineRule="auto"/>
        <w:rPr>
          <w:sz w:val="20"/>
          <w:szCs w:val="20"/>
          <w:color w:val="auto"/>
        </w:rPr>
      </w:pPr>
      <w:r>
        <w:rPr>
          <w:rFonts w:ascii="Courier New" w:cs="Courier New" w:eastAsia="Courier New" w:hAnsi="Courier New"/>
          <w:sz w:val="18"/>
          <w:szCs w:val="18"/>
          <w:color w:val="auto"/>
        </w:rPr>
        <w:t>investment in</w:t>
      </w:r>
    </w:p>
    <w:p>
      <w:pPr>
        <w:spacing w:after="0"/>
        <w:rPr>
          <w:sz w:val="20"/>
          <w:szCs w:val="20"/>
          <w:color w:val="auto"/>
        </w:rPr>
      </w:pPr>
      <w:r>
        <w:rPr>
          <w:rFonts w:ascii="Courier New" w:cs="Courier New" w:eastAsia="Courier New" w:hAnsi="Courier New"/>
          <w:sz w:val="18"/>
          <w:szCs w:val="18"/>
          <w:color w:val="auto"/>
        </w:rPr>
        <w:t>subsidiaries.............................</w:t>
      </w:r>
    </w:p>
    <w:tbl>
      <w:tblPr>
        <w:tblLayout w:type="fixed"/>
        <w:tblInd w:w="60" w:type="dxa"/>
        <w:tblCellMar>
          <w:top w:w="0" w:type="dxa"/>
          <w:left w:w="0" w:type="dxa"/>
          <w:bottom w:w="0" w:type="dxa"/>
          <w:right w:w="0" w:type="dxa"/>
        </w:tblCellMar>
      </w:tblPr>
      <w:tr>
        <w:trPr>
          <w:trHeight w:val="202"/>
        </w:trPr>
        <w:tc>
          <w:tcPr>
            <w:tcW w:w="840" w:type="dxa"/>
            <w:vAlign w:val="bottom"/>
          </w:tcPr>
          <w:p>
            <w:pPr>
              <w:jc w:val="right"/>
              <w:ind w:right="13"/>
              <w:spacing w:after="0" w:line="202" w:lineRule="exact"/>
              <w:rPr>
                <w:sz w:val="20"/>
                <w:szCs w:val="20"/>
                <w:color w:val="auto"/>
              </w:rPr>
            </w:pPr>
            <w:r>
              <w:rPr>
                <w:rFonts w:ascii="Courier New" w:cs="Courier New" w:eastAsia="Courier New" w:hAnsi="Courier New"/>
                <w:sz w:val="18"/>
                <w:szCs w:val="18"/>
                <w:color w:val="auto"/>
              </w:rPr>
              <w:t>8,989</w:t>
            </w:r>
          </w:p>
        </w:tc>
        <w:tc>
          <w:tcPr>
            <w:tcW w:w="336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rPr>
              <w:t>5,517 (8,665) (5,841) -- Other</w:t>
            </w:r>
          </w:p>
        </w:tc>
      </w:tr>
      <w:tr>
        <w:trPr>
          <w:trHeight w:val="203"/>
        </w:trPr>
        <w:tc>
          <w:tcPr>
            <w:tcW w:w="26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73"/>
              </w:rPr>
              <w:t>assets...............................</w:t>
            </w:r>
          </w:p>
        </w:tc>
        <w:tc>
          <w:tcPr>
            <w:tcW w:w="1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26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21 5,958 -- 6,009 ------</w:t>
            </w:r>
          </w:p>
        </w:tc>
        <w:tc>
          <w:tcPr>
            <w:tcW w:w="1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840" w:type="dxa"/>
            <w:vAlign w:val="bottom"/>
          </w:tcPr>
          <w:p>
            <w:pPr>
              <w:spacing w:after="0"/>
              <w:rPr>
                <w:sz w:val="17"/>
                <w:szCs w:val="17"/>
                <w:color w:val="auto"/>
              </w:rPr>
            </w:pPr>
          </w:p>
        </w:tc>
        <w:tc>
          <w:tcPr>
            <w:tcW w:w="336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rPr>
              <w:t>------- ------- Total</w:t>
            </w:r>
          </w:p>
        </w:tc>
      </w:tr>
      <w:tr>
        <w:trPr>
          <w:trHeight w:val="203"/>
        </w:trPr>
        <w:tc>
          <w:tcPr>
            <w:tcW w:w="26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72"/>
              </w:rPr>
              <w:t>assets...........................</w:t>
            </w:r>
          </w:p>
        </w:tc>
        <w:tc>
          <w:tcPr>
            <w:tcW w:w="1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$9,776</w:t>
            </w:r>
          </w:p>
        </w:tc>
      </w:tr>
      <w:tr>
        <w:trPr>
          <w:trHeight w:val="203"/>
        </w:trPr>
        <w:tc>
          <w:tcPr>
            <w:tcW w:w="84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$5,538</w:t>
            </w:r>
          </w:p>
        </w:tc>
        <w:tc>
          <w:tcPr>
            <w:tcW w:w="1760" w:type="dxa"/>
            <w:vAlign w:val="bottom"/>
          </w:tcPr>
          <w:p>
            <w:pPr>
              <w:spacing w:after="0" w:line="203" w:lineRule="exact"/>
              <w:rPr>
                <w:sz w:val="20"/>
                <w:szCs w:val="20"/>
                <w:color w:val="auto"/>
              </w:rPr>
            </w:pPr>
            <w:r>
              <w:rPr>
                <w:rFonts w:ascii="Courier New" w:cs="Courier New" w:eastAsia="Courier New" w:hAnsi="Courier New"/>
                <w:sz w:val="18"/>
                <w:szCs w:val="18"/>
                <w:color w:val="auto"/>
              </w:rPr>
              <w:t>$10,017 $(5,841)</w:t>
            </w:r>
          </w:p>
        </w:tc>
        <w:tc>
          <w:tcPr>
            <w:tcW w:w="16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$19,490 ======</w:t>
            </w:r>
          </w:p>
        </w:tc>
      </w:tr>
    </w:tbl>
    <w:p>
      <w:pPr>
        <w:jc w:val="center"/>
        <w:ind w:right="5899"/>
        <w:spacing w:after="0" w:line="238" w:lineRule="auto"/>
        <w:rPr>
          <w:sz w:val="20"/>
          <w:szCs w:val="20"/>
          <w:color w:val="auto"/>
        </w:rPr>
      </w:pPr>
      <w:r>
        <w:rPr>
          <w:rFonts w:ascii="Courier New" w:cs="Courier New" w:eastAsia="Courier New" w:hAnsi="Courier New"/>
          <w:sz w:val="18"/>
          <w:szCs w:val="18"/>
          <w:color w:val="auto"/>
        </w:rPr>
        <w:t>====== ======= ======= =======</w:t>
      </w:r>
    </w:p>
    <w:p>
      <w:pPr>
        <w:jc w:val="center"/>
        <w:ind w:right="5899"/>
        <w:spacing w:after="0"/>
        <w:rPr>
          <w:sz w:val="20"/>
          <w:szCs w:val="20"/>
          <w:color w:val="auto"/>
        </w:rPr>
      </w:pPr>
      <w:r>
        <w:rPr>
          <w:rFonts w:ascii="Courier New" w:cs="Courier New" w:eastAsia="Courier New" w:hAnsi="Courier New"/>
          <w:sz w:val="18"/>
          <w:szCs w:val="18"/>
          <w:color w:val="auto"/>
        </w:rPr>
        <w:t>LIABILITIES AND STOCKHOLDERS' EQUITY</w:t>
      </w:r>
    </w:p>
    <w:p>
      <w:pPr>
        <w:jc w:val="center"/>
        <w:ind w:right="5899"/>
        <w:spacing w:after="0" w:line="237" w:lineRule="auto"/>
        <w:rPr>
          <w:sz w:val="20"/>
          <w:szCs w:val="20"/>
          <w:color w:val="auto"/>
        </w:rPr>
      </w:pPr>
      <w:r>
        <w:rPr>
          <w:rFonts w:ascii="Courier New" w:cs="Courier New" w:eastAsia="Courier New" w:hAnsi="Courier New"/>
          <w:sz w:val="18"/>
          <w:szCs w:val="18"/>
          <w:color w:val="auto"/>
        </w:rPr>
        <w:t>Current liabilities: Current portion of</w:t>
      </w:r>
    </w:p>
    <w:p>
      <w:pPr>
        <w:sectPr>
          <w:pgSz w:w="11900" w:h="16838" w:orient="portrait"/>
          <w:cols w:equalWidth="0" w:num="1">
            <w:col w:w="10219"/>
          </w:cols>
          <w:pgMar w:left="240" w:top="514" w:right="1440" w:bottom="0" w:gutter="0" w:footer="0" w:header="0"/>
        </w:sectPr>
      </w:pPr>
    </w:p>
    <w:bookmarkStart w:id="26" w:name="page27"/>
    <w:bookmarkEnd w:id="26"/>
    <w:p>
      <w:pPr>
        <w:ind w:left="5"/>
        <w:spacing w:after="0"/>
        <w:rPr>
          <w:sz w:val="20"/>
          <w:szCs w:val="20"/>
          <w:color w:val="auto"/>
        </w:rPr>
      </w:pPr>
      <w:r>
        <w:rPr>
          <w:rFonts w:ascii="Courier New" w:cs="Courier New" w:eastAsia="Courier New" w:hAnsi="Courier New"/>
          <w:sz w:val="18"/>
          <w:szCs w:val="18"/>
          <w:color w:val="auto"/>
        </w:rPr>
        <w:t>long-term debt........ $ 431 $ -- $ 84 $</w:t>
      </w:r>
    </w:p>
    <w:p>
      <w:pPr>
        <w:spacing w:after="0" w:line="4" w:lineRule="exact"/>
        <w:rPr>
          <w:sz w:val="20"/>
          <w:szCs w:val="20"/>
          <w:color w:val="auto"/>
        </w:rPr>
      </w:pPr>
    </w:p>
    <w:p>
      <w:pPr>
        <w:ind w:left="1745" w:right="6219" w:hanging="1482"/>
        <w:spacing w:after="0" w:line="235" w:lineRule="auto"/>
        <w:tabs>
          <w:tab w:leader="none" w:pos="586"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$ 515 Accounts payable and other accrued</w:t>
      </w:r>
    </w:p>
    <w:p>
      <w:pPr>
        <w:spacing w:after="0" w:line="6" w:lineRule="exact"/>
        <w:rPr>
          <w:sz w:val="20"/>
          <w:szCs w:val="20"/>
          <w:color w:val="auto"/>
        </w:rPr>
      </w:pPr>
    </w:p>
    <w:p>
      <w:pPr>
        <w:jc w:val="center"/>
        <w:ind w:right="5955"/>
        <w:spacing w:after="0"/>
        <w:rPr>
          <w:sz w:val="20"/>
          <w:szCs w:val="20"/>
          <w:color w:val="auto"/>
        </w:rPr>
      </w:pPr>
      <w:r>
        <w:rPr>
          <w:rFonts w:ascii="Courier New" w:cs="Courier New" w:eastAsia="Courier New" w:hAnsi="Courier New"/>
          <w:sz w:val="16"/>
          <w:szCs w:val="16"/>
          <w:color w:val="auto"/>
        </w:rPr>
        <w:t>liabilities............................</w:t>
      </w:r>
    </w:p>
    <w:p>
      <w:pPr>
        <w:spacing w:after="0" w:line="21" w:lineRule="exact"/>
        <w:rPr>
          <w:sz w:val="20"/>
          <w:szCs w:val="20"/>
          <w:color w:val="auto"/>
        </w:rPr>
      </w:pPr>
    </w:p>
    <w:p>
      <w:pPr>
        <w:jc w:val="center"/>
        <w:ind w:right="5955"/>
        <w:spacing w:after="0"/>
        <w:rPr>
          <w:sz w:val="20"/>
          <w:szCs w:val="20"/>
          <w:color w:val="auto"/>
        </w:rPr>
      </w:pPr>
      <w:r>
        <w:rPr>
          <w:rFonts w:ascii="Courier New" w:cs="Courier New" w:eastAsia="Courier New" w:hAnsi="Courier New"/>
          <w:sz w:val="16"/>
          <w:szCs w:val="16"/>
          <w:color w:val="auto"/>
        </w:rPr>
        <w:t>73 51 3,082 -- 3,206 ------ ------ -----</w:t>
      </w:r>
    </w:p>
    <w:p>
      <w:pPr>
        <w:spacing w:after="0" w:line="21" w:lineRule="exact"/>
        <w:rPr>
          <w:sz w:val="20"/>
          <w:szCs w:val="20"/>
          <w:color w:val="auto"/>
        </w:rPr>
      </w:pPr>
    </w:p>
    <w:p>
      <w:pPr>
        <w:ind w:left="625" w:right="5959" w:hanging="625"/>
        <w:spacing w:after="0" w:line="268" w:lineRule="auto"/>
        <w:tabs>
          <w:tab w:leader="none" w:pos="309"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------- 504 51 3,166 -- 3,721 Long-term debt, less current</w:t>
      </w:r>
    </w:p>
    <w:p>
      <w:pPr>
        <w:jc w:val="center"/>
        <w:ind w:right="5955"/>
        <w:spacing w:after="0" w:line="233" w:lineRule="auto"/>
        <w:rPr>
          <w:sz w:val="20"/>
          <w:szCs w:val="20"/>
          <w:color w:val="auto"/>
        </w:rPr>
      </w:pPr>
      <w:r>
        <w:rPr>
          <w:rFonts w:ascii="Courier New" w:cs="Courier New" w:eastAsia="Courier New" w:hAnsi="Courier New"/>
          <w:sz w:val="18"/>
          <w:szCs w:val="18"/>
          <w:color w:val="auto"/>
        </w:rPr>
        <w:t>portion....... 3,860 2,645 1,204 --</w:t>
      </w:r>
    </w:p>
    <w:p>
      <w:pPr>
        <w:jc w:val="center"/>
        <w:ind w:right="5955"/>
        <w:spacing w:after="0"/>
        <w:rPr>
          <w:sz w:val="20"/>
          <w:szCs w:val="20"/>
          <w:color w:val="auto"/>
        </w:rPr>
      </w:pPr>
      <w:r>
        <w:rPr>
          <w:rFonts w:ascii="Courier New" w:cs="Courier New" w:eastAsia="Courier New" w:hAnsi="Courier New"/>
          <w:sz w:val="18"/>
          <w:szCs w:val="18"/>
          <w:color w:val="auto"/>
        </w:rPr>
        <w:t>7,709 Other</w:t>
      </w:r>
    </w:p>
    <w:p>
      <w:pPr>
        <w:spacing w:after="0" w:line="4" w:lineRule="exact"/>
        <w:rPr>
          <w:sz w:val="20"/>
          <w:szCs w:val="20"/>
          <w:color w:val="auto"/>
        </w:rPr>
      </w:pPr>
    </w:p>
    <w:p>
      <w:pPr>
        <w:jc w:val="center"/>
        <w:ind w:right="5955"/>
        <w:spacing w:after="0"/>
        <w:rPr>
          <w:sz w:val="20"/>
          <w:szCs w:val="20"/>
          <w:color w:val="auto"/>
        </w:rPr>
      </w:pPr>
      <w:r>
        <w:rPr>
          <w:rFonts w:ascii="Courier New" w:cs="Courier New" w:eastAsia="Courier New" w:hAnsi="Courier New"/>
          <w:sz w:val="16"/>
          <w:szCs w:val="16"/>
          <w:color w:val="auto"/>
        </w:rPr>
        <w:t>liabilities.......................... 20</w:t>
      </w:r>
    </w:p>
    <w:p>
      <w:pPr>
        <w:spacing w:after="0" w:line="21" w:lineRule="exact"/>
        <w:rPr>
          <w:sz w:val="20"/>
          <w:szCs w:val="20"/>
          <w:color w:val="auto"/>
        </w:rPr>
      </w:pPr>
    </w:p>
    <w:p>
      <w:pPr>
        <w:jc w:val="center"/>
        <w:ind w:right="5955"/>
        <w:spacing w:after="0"/>
        <w:rPr>
          <w:sz w:val="20"/>
          <w:szCs w:val="20"/>
          <w:color w:val="auto"/>
        </w:rPr>
      </w:pPr>
      <w:r>
        <w:rPr>
          <w:rFonts w:ascii="Courier New" w:cs="Courier New" w:eastAsia="Courier New" w:hAnsi="Courier New"/>
          <w:sz w:val="16"/>
          <w:szCs w:val="16"/>
          <w:color w:val="auto"/>
        </w:rPr>
        <w:t>2 2,633 -- 2,655 ------ ------ ------- -</w:t>
      </w:r>
    </w:p>
    <w:p>
      <w:pPr>
        <w:spacing w:after="0" w:line="16" w:lineRule="exact"/>
        <w:rPr>
          <w:sz w:val="20"/>
          <w:szCs w:val="20"/>
          <w:color w:val="auto"/>
        </w:rPr>
      </w:pPr>
    </w:p>
    <w:p>
      <w:pPr>
        <w:jc w:val="center"/>
        <w:ind w:right="5955"/>
        <w:spacing w:after="0"/>
        <w:rPr>
          <w:sz w:val="20"/>
          <w:szCs w:val="20"/>
          <w:color w:val="auto"/>
        </w:rPr>
      </w:pPr>
      <w:r>
        <w:rPr>
          <w:rFonts w:ascii="Courier New" w:cs="Courier New" w:eastAsia="Courier New" w:hAnsi="Courier New"/>
          <w:sz w:val="18"/>
          <w:szCs w:val="18"/>
          <w:color w:val="auto"/>
        </w:rPr>
        <w:t>------ ------- Total</w:t>
      </w:r>
    </w:p>
    <w:p>
      <w:pPr>
        <w:jc w:val="center"/>
        <w:ind w:right="5955"/>
        <w:spacing w:after="0" w:line="238" w:lineRule="auto"/>
        <w:rPr>
          <w:sz w:val="20"/>
          <w:szCs w:val="20"/>
          <w:color w:val="auto"/>
        </w:rPr>
      </w:pPr>
      <w:r>
        <w:rPr>
          <w:rFonts w:ascii="Courier New" w:cs="Courier New" w:eastAsia="Courier New" w:hAnsi="Courier New"/>
          <w:sz w:val="18"/>
          <w:szCs w:val="18"/>
          <w:color w:val="auto"/>
        </w:rPr>
        <w:t>liabilities........................</w:t>
      </w:r>
    </w:p>
    <w:p>
      <w:pPr>
        <w:jc w:val="center"/>
        <w:ind w:right="5955"/>
        <w:spacing w:after="0"/>
        <w:rPr>
          <w:sz w:val="20"/>
          <w:szCs w:val="20"/>
          <w:color w:val="auto"/>
        </w:rPr>
      </w:pPr>
      <w:r>
        <w:rPr>
          <w:rFonts w:ascii="Courier New" w:cs="Courier New" w:eastAsia="Courier New" w:hAnsi="Courier New"/>
          <w:sz w:val="18"/>
          <w:szCs w:val="18"/>
          <w:color w:val="auto"/>
        </w:rPr>
        <w:t>4,384 2,698 7,003 -- 14,085 Minority</w:t>
      </w:r>
    </w:p>
    <w:p>
      <w:pPr>
        <w:spacing w:after="0" w:line="3" w:lineRule="exact"/>
        <w:rPr>
          <w:sz w:val="20"/>
          <w:szCs w:val="20"/>
          <w:color w:val="auto"/>
        </w:rPr>
      </w:pPr>
    </w:p>
    <w:p>
      <w:pPr>
        <w:jc w:val="center"/>
        <w:ind w:right="5955"/>
        <w:spacing w:after="0"/>
        <w:rPr>
          <w:sz w:val="20"/>
          <w:szCs w:val="20"/>
          <w:color w:val="auto"/>
        </w:rPr>
      </w:pPr>
      <w:r>
        <w:rPr>
          <w:rFonts w:ascii="Courier New" w:cs="Courier New" w:eastAsia="Courier New" w:hAnsi="Courier New"/>
          <w:sz w:val="16"/>
          <w:szCs w:val="16"/>
          <w:color w:val="auto"/>
        </w:rPr>
        <w:t>interest in subsidiaries.......... -- --</w:t>
      </w:r>
    </w:p>
    <w:p>
      <w:pPr>
        <w:spacing w:after="0" w:line="16" w:lineRule="exact"/>
        <w:rPr>
          <w:sz w:val="20"/>
          <w:szCs w:val="20"/>
          <w:color w:val="auto"/>
        </w:rPr>
      </w:pPr>
    </w:p>
    <w:p>
      <w:pPr>
        <w:jc w:val="center"/>
        <w:ind w:right="5955"/>
        <w:spacing w:after="0"/>
        <w:rPr>
          <w:sz w:val="20"/>
          <w:szCs w:val="20"/>
          <w:color w:val="auto"/>
        </w:rPr>
      </w:pPr>
      <w:r>
        <w:rPr>
          <w:rFonts w:ascii="Courier New" w:cs="Courier New" w:eastAsia="Courier New" w:hAnsi="Courier New"/>
          <w:sz w:val="18"/>
          <w:szCs w:val="18"/>
          <w:color w:val="auto"/>
        </w:rPr>
        <w:t>13 -- 13 Stockholders'</w:t>
      </w:r>
    </w:p>
    <w:p>
      <w:pPr>
        <w:jc w:val="center"/>
        <w:ind w:right="5955"/>
        <w:spacing w:after="0" w:line="238" w:lineRule="auto"/>
        <w:rPr>
          <w:sz w:val="20"/>
          <w:szCs w:val="20"/>
          <w:color w:val="auto"/>
        </w:rPr>
      </w:pPr>
      <w:r>
        <w:rPr>
          <w:rFonts w:ascii="Courier New" w:cs="Courier New" w:eastAsia="Courier New" w:hAnsi="Courier New"/>
          <w:sz w:val="18"/>
          <w:szCs w:val="18"/>
          <w:color w:val="auto"/>
        </w:rPr>
        <w:t>equity....................... 5,392</w:t>
      </w:r>
    </w:p>
    <w:p>
      <w:pPr>
        <w:spacing w:after="0" w:line="5" w:lineRule="exact"/>
        <w:rPr>
          <w:sz w:val="20"/>
          <w:szCs w:val="20"/>
          <w:color w:val="auto"/>
        </w:rPr>
      </w:pPr>
    </w:p>
    <w:p>
      <w:pPr>
        <w:jc w:val="center"/>
        <w:ind w:right="5955"/>
        <w:spacing w:after="0"/>
        <w:rPr>
          <w:sz w:val="20"/>
          <w:szCs w:val="20"/>
          <w:color w:val="auto"/>
        </w:rPr>
      </w:pPr>
      <w:r>
        <w:rPr>
          <w:rFonts w:ascii="Courier New" w:cs="Courier New" w:eastAsia="Courier New" w:hAnsi="Courier New"/>
          <w:sz w:val="16"/>
          <w:szCs w:val="16"/>
          <w:color w:val="auto"/>
        </w:rPr>
        <w:t>2,840 3,001 (5,841) 5,392 ------ ------</w:t>
      </w:r>
    </w:p>
    <w:p>
      <w:pPr>
        <w:spacing w:after="0" w:line="16" w:lineRule="exact"/>
        <w:rPr>
          <w:sz w:val="20"/>
          <w:szCs w:val="20"/>
          <w:color w:val="auto"/>
        </w:rPr>
      </w:pPr>
    </w:p>
    <w:p>
      <w:pPr>
        <w:jc w:val="center"/>
        <w:ind w:right="5955"/>
        <w:spacing w:after="0"/>
        <w:rPr>
          <w:sz w:val="20"/>
          <w:szCs w:val="20"/>
          <w:color w:val="auto"/>
        </w:rPr>
      </w:pPr>
      <w:r>
        <w:rPr>
          <w:rFonts w:ascii="Courier New" w:cs="Courier New" w:eastAsia="Courier New" w:hAnsi="Courier New"/>
          <w:sz w:val="18"/>
          <w:szCs w:val="18"/>
          <w:color w:val="auto"/>
        </w:rPr>
        <w:t>------- ------- ------- Total</w:t>
      </w:r>
    </w:p>
    <w:p>
      <w:pPr>
        <w:jc w:val="center"/>
        <w:ind w:right="5955"/>
        <w:spacing w:after="0" w:line="238" w:lineRule="auto"/>
        <w:rPr>
          <w:sz w:val="20"/>
          <w:szCs w:val="20"/>
          <w:color w:val="auto"/>
        </w:rPr>
      </w:pPr>
      <w:r>
        <w:rPr>
          <w:rFonts w:ascii="Courier New" w:cs="Courier New" w:eastAsia="Courier New" w:hAnsi="Courier New"/>
          <w:sz w:val="18"/>
          <w:szCs w:val="18"/>
          <w:color w:val="auto"/>
        </w:rPr>
        <w:t>liabilities and stockholders'</w:t>
      </w:r>
    </w:p>
    <w:p>
      <w:pPr>
        <w:spacing w:after="0" w:line="5" w:lineRule="exact"/>
        <w:rPr>
          <w:sz w:val="20"/>
          <w:szCs w:val="20"/>
          <w:color w:val="auto"/>
        </w:rPr>
      </w:pPr>
    </w:p>
    <w:p>
      <w:pPr>
        <w:jc w:val="center"/>
        <w:ind w:right="5955"/>
        <w:spacing w:after="0"/>
        <w:rPr>
          <w:sz w:val="20"/>
          <w:szCs w:val="20"/>
          <w:color w:val="auto"/>
        </w:rPr>
      </w:pPr>
      <w:r>
        <w:rPr>
          <w:rFonts w:ascii="Courier New" w:cs="Courier New" w:eastAsia="Courier New" w:hAnsi="Courier New"/>
          <w:sz w:val="16"/>
          <w:szCs w:val="16"/>
          <w:color w:val="auto"/>
        </w:rPr>
        <w:t>equity.................................</w:t>
      </w:r>
    </w:p>
    <w:p>
      <w:pPr>
        <w:spacing w:after="0" w:line="16" w:lineRule="exact"/>
        <w:rPr>
          <w:sz w:val="20"/>
          <w:szCs w:val="20"/>
          <w:color w:val="auto"/>
        </w:rPr>
      </w:pPr>
    </w:p>
    <w:p>
      <w:pPr>
        <w:jc w:val="center"/>
        <w:ind w:right="5955"/>
        <w:spacing w:after="0"/>
        <w:rPr>
          <w:sz w:val="20"/>
          <w:szCs w:val="20"/>
          <w:color w:val="auto"/>
        </w:rPr>
      </w:pPr>
      <w:r>
        <w:rPr>
          <w:rFonts w:ascii="Courier New" w:cs="Courier New" w:eastAsia="Courier New" w:hAnsi="Courier New"/>
          <w:sz w:val="18"/>
          <w:szCs w:val="18"/>
          <w:color w:val="auto"/>
        </w:rPr>
        <w:t>$9,776 $5,538 $10,017 $(5,841) $19,490</w:t>
      </w:r>
    </w:p>
    <w:p>
      <w:pPr>
        <w:ind w:left="165"/>
        <w:spacing w:after="0" w:line="238" w:lineRule="auto"/>
        <w:rPr>
          <w:sz w:val="20"/>
          <w:szCs w:val="20"/>
          <w:color w:val="auto"/>
        </w:rPr>
      </w:pPr>
      <w:r>
        <w:rPr>
          <w:rFonts w:ascii="Courier New" w:cs="Courier New" w:eastAsia="Courier New" w:hAnsi="Courier New"/>
          <w:sz w:val="18"/>
          <w:szCs w:val="18"/>
          <w:color w:val="auto"/>
        </w:rPr>
        <w:t>====== ====== ======= ======= =======</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164"/>
          </w:cols>
          <w:pgMar w:left="295" w:top="136" w:right="1440" w:bottom="1440" w:gutter="0" w:footer="0" w:header="0"/>
        </w:sectPr>
      </w:pPr>
    </w:p>
    <w:bookmarkStart w:id="27" w:name="page28"/>
    <w:bookmarkEnd w:id="27"/>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CONDENSED CONSOLIDATING STATEMENTS OF OPERATIONS</w:t>
      </w:r>
    </w:p>
    <w:p>
      <w:pPr>
        <w:jc w:val="center"/>
        <w:ind w:right="1879"/>
        <w:spacing w:after="0" w:line="238" w:lineRule="auto"/>
        <w:rPr>
          <w:sz w:val="20"/>
          <w:szCs w:val="20"/>
          <w:color w:val="auto"/>
        </w:rPr>
      </w:pPr>
      <w:r>
        <w:rPr>
          <w:rFonts w:ascii="Courier New" w:cs="Courier New" w:eastAsia="Courier New" w:hAnsi="Courier New"/>
          <w:sz w:val="18"/>
          <w:szCs w:val="18"/>
          <w:color w:val="auto"/>
        </w:rPr>
        <w:t>THREE MONTHS ENDED SEPTEMBER 30, 2002</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8"/>
          <w:szCs w:val="18"/>
          <w:color w:val="auto"/>
        </w:rPr>
        <w:t>PARENT GUARANTOR NON-GUARANTORS</w:t>
      </w:r>
    </w:p>
    <w:p>
      <w:pPr>
        <w:jc w:val="center"/>
        <w:ind w:right="6519"/>
        <w:spacing w:after="0" w:line="238" w:lineRule="auto"/>
        <w:rPr>
          <w:sz w:val="20"/>
          <w:szCs w:val="20"/>
          <w:color w:val="auto"/>
        </w:rPr>
      </w:pPr>
      <w:r>
        <w:rPr>
          <w:rFonts w:ascii="Courier New" w:cs="Courier New" w:eastAsia="Courier New" w:hAnsi="Courier New"/>
          <w:sz w:val="18"/>
          <w:szCs w:val="18"/>
          <w:color w:val="auto"/>
        </w:rPr>
        <w:t>ELIMINATIONS CONSOLIDATED ------ -</w:t>
      </w:r>
    </w:p>
    <w:p>
      <w:pPr>
        <w:jc w:val="center"/>
        <w:ind w:right="6519"/>
        <w:spacing w:after="0"/>
        <w:rPr>
          <w:sz w:val="20"/>
          <w:szCs w:val="20"/>
          <w:color w:val="auto"/>
        </w:rPr>
      </w:pPr>
      <w:r>
        <w:rPr>
          <w:rFonts w:ascii="Courier New" w:cs="Courier New" w:eastAsia="Courier New" w:hAnsi="Courier New"/>
          <w:sz w:val="18"/>
          <w:szCs w:val="18"/>
          <w:color w:val="auto"/>
        </w:rPr>
        <w:t>-------- -------------- ----------</w:t>
      </w:r>
    </w:p>
    <w:p>
      <w:pPr>
        <w:jc w:val="center"/>
        <w:ind w:right="6519"/>
        <w:spacing w:after="0" w:line="237" w:lineRule="auto"/>
        <w:rPr>
          <w:sz w:val="20"/>
          <w:szCs w:val="20"/>
          <w:color w:val="auto"/>
        </w:rPr>
      </w:pPr>
      <w:r>
        <w:rPr>
          <w:rFonts w:ascii="Courier New" w:cs="Courier New" w:eastAsia="Courier New" w:hAnsi="Courier New"/>
          <w:sz w:val="18"/>
          <w:szCs w:val="18"/>
          <w:color w:val="auto"/>
        </w:rPr>
        <w:t>-- ------------ Operating</w:t>
      </w:r>
    </w:p>
    <w:p>
      <w:pPr>
        <w:jc w:val="center"/>
        <w:ind w:right="6519"/>
        <w:spacing w:after="0" w:line="238" w:lineRule="auto"/>
        <w:rPr>
          <w:sz w:val="20"/>
          <w:szCs w:val="20"/>
          <w:color w:val="auto"/>
        </w:rPr>
      </w:pPr>
      <w:r>
        <w:rPr>
          <w:rFonts w:ascii="Courier New" w:cs="Courier New" w:eastAsia="Courier New" w:hAnsi="Courier New"/>
          <w:sz w:val="18"/>
          <w:szCs w:val="18"/>
          <w:color w:val="auto"/>
        </w:rPr>
        <w:t>revenues................... $ -- $</w:t>
      </w:r>
    </w:p>
    <w:p>
      <w:pPr>
        <w:jc w:val="center"/>
        <w:ind w:right="6519"/>
        <w:spacing w:after="0"/>
        <w:rPr>
          <w:sz w:val="20"/>
          <w:szCs w:val="20"/>
          <w:color w:val="auto"/>
        </w:rPr>
      </w:pPr>
      <w:r>
        <w:rPr>
          <w:rFonts w:ascii="Courier New" w:cs="Courier New" w:eastAsia="Courier New" w:hAnsi="Courier New"/>
          <w:sz w:val="18"/>
          <w:szCs w:val="18"/>
          <w:color w:val="auto"/>
        </w:rPr>
        <w:t>-- $2,896 $ -- $2,896 Costs and</w:t>
      </w:r>
    </w:p>
    <w:p>
      <w:pPr>
        <w:jc w:val="center"/>
        <w:ind w:right="6519"/>
        <w:spacing w:after="0" w:line="237" w:lineRule="auto"/>
        <w:rPr>
          <w:sz w:val="20"/>
          <w:szCs w:val="20"/>
          <w:color w:val="auto"/>
        </w:rPr>
      </w:pPr>
      <w:r>
        <w:rPr>
          <w:rFonts w:ascii="Courier New" w:cs="Courier New" w:eastAsia="Courier New" w:hAnsi="Courier New"/>
          <w:sz w:val="18"/>
          <w:szCs w:val="18"/>
          <w:color w:val="auto"/>
        </w:rPr>
        <w:t>expenses................... -- --</w:t>
      </w:r>
    </w:p>
    <w:p>
      <w:pPr>
        <w:jc w:val="center"/>
        <w:ind w:right="6519"/>
        <w:spacing w:after="0"/>
        <w:rPr>
          <w:sz w:val="20"/>
          <w:szCs w:val="20"/>
          <w:color w:val="auto"/>
        </w:rPr>
      </w:pPr>
      <w:r>
        <w:rPr>
          <w:rFonts w:ascii="Courier New" w:cs="Courier New" w:eastAsia="Courier New" w:hAnsi="Courier New"/>
          <w:sz w:val="18"/>
          <w:szCs w:val="18"/>
          <w:color w:val="auto"/>
        </w:rPr>
        <w:t>2,431 -- 2,431 ---- ---- ------ --</w:t>
      </w:r>
    </w:p>
    <w:p>
      <w:pPr>
        <w:jc w:val="center"/>
        <w:ind w:right="6519"/>
        <w:spacing w:after="0" w:line="237" w:lineRule="auto"/>
        <w:rPr>
          <w:sz w:val="20"/>
          <w:szCs w:val="20"/>
          <w:color w:val="auto"/>
        </w:rPr>
      </w:pPr>
      <w:r>
        <w:rPr>
          <w:rFonts w:ascii="Courier New" w:cs="Courier New" w:eastAsia="Courier New" w:hAnsi="Courier New"/>
          <w:sz w:val="18"/>
          <w:szCs w:val="18"/>
          <w:color w:val="auto"/>
        </w:rPr>
        <w:t>--- ------ Income from</w:t>
      </w:r>
    </w:p>
    <w:p>
      <w:pPr>
        <w:jc w:val="center"/>
        <w:ind w:right="6519"/>
        <w:spacing w:after="0"/>
        <w:rPr>
          <w:sz w:val="20"/>
          <w:szCs w:val="20"/>
          <w:color w:val="auto"/>
        </w:rPr>
      </w:pPr>
      <w:r>
        <w:rPr>
          <w:rFonts w:ascii="Courier New" w:cs="Courier New" w:eastAsia="Courier New" w:hAnsi="Courier New"/>
          <w:sz w:val="18"/>
          <w:szCs w:val="18"/>
          <w:color w:val="auto"/>
        </w:rPr>
        <w:t>operations............... -- --</w:t>
      </w:r>
    </w:p>
    <w:p>
      <w:pPr>
        <w:jc w:val="center"/>
        <w:ind w:right="6519"/>
        <w:spacing w:after="0" w:line="237" w:lineRule="auto"/>
        <w:rPr>
          <w:sz w:val="20"/>
          <w:szCs w:val="20"/>
          <w:color w:val="auto"/>
        </w:rPr>
      </w:pPr>
      <w:r>
        <w:rPr>
          <w:rFonts w:ascii="Courier New" w:cs="Courier New" w:eastAsia="Courier New" w:hAnsi="Courier New"/>
          <w:sz w:val="18"/>
          <w:szCs w:val="18"/>
          <w:color w:val="auto"/>
        </w:rPr>
        <w:t>465 -- 465 ---- ---- ------ -----</w:t>
      </w:r>
    </w:p>
    <w:p>
      <w:pPr>
        <w:jc w:val="center"/>
        <w:ind w:right="6519"/>
        <w:spacing w:after="0" w:line="238" w:lineRule="auto"/>
        <w:rPr>
          <w:sz w:val="20"/>
          <w:szCs w:val="20"/>
          <w:color w:val="auto"/>
        </w:rPr>
      </w:pPr>
      <w:r>
        <w:rPr>
          <w:rFonts w:ascii="Courier New" w:cs="Courier New" w:eastAsia="Courier New" w:hAnsi="Courier New"/>
          <w:sz w:val="18"/>
          <w:szCs w:val="18"/>
          <w:color w:val="auto"/>
        </w:rPr>
        <w:t>------ Other income (expense):</w:t>
      </w:r>
    </w:p>
    <w:p>
      <w:pPr>
        <w:jc w:val="center"/>
        <w:ind w:right="6519"/>
        <w:spacing w:after="0"/>
        <w:rPr>
          <w:sz w:val="20"/>
          <w:szCs w:val="20"/>
          <w:color w:val="auto"/>
        </w:rPr>
      </w:pPr>
      <w:r>
        <w:rPr>
          <w:rFonts w:ascii="Courier New" w:cs="Courier New" w:eastAsia="Courier New" w:hAnsi="Courier New"/>
          <w:sz w:val="18"/>
          <w:szCs w:val="18"/>
          <w:color w:val="auto"/>
        </w:rPr>
        <w:t>Interest income (expense),</w:t>
      </w:r>
    </w:p>
    <w:p>
      <w:pPr>
        <w:jc w:val="center"/>
        <w:ind w:right="6519"/>
        <w:spacing w:after="0" w:line="237" w:lineRule="auto"/>
        <w:rPr>
          <w:sz w:val="20"/>
          <w:szCs w:val="20"/>
          <w:color w:val="auto"/>
        </w:rPr>
      </w:pPr>
      <w:r>
        <w:rPr>
          <w:rFonts w:ascii="Courier New" w:cs="Courier New" w:eastAsia="Courier New" w:hAnsi="Courier New"/>
          <w:sz w:val="18"/>
          <w:szCs w:val="18"/>
          <w:color w:val="auto"/>
        </w:rPr>
        <w:t>net..... (65) (36) (12) -- (113)</w:t>
      </w:r>
    </w:p>
    <w:p>
      <w:pPr>
        <w:jc w:val="center"/>
        <w:ind w:right="6519"/>
        <w:spacing w:after="0"/>
        <w:rPr>
          <w:sz w:val="20"/>
          <w:szCs w:val="20"/>
          <w:color w:val="auto"/>
        </w:rPr>
      </w:pPr>
      <w:r>
        <w:rPr>
          <w:rFonts w:ascii="Courier New" w:cs="Courier New" w:eastAsia="Courier New" w:hAnsi="Courier New"/>
          <w:sz w:val="18"/>
          <w:szCs w:val="18"/>
          <w:color w:val="auto"/>
        </w:rPr>
        <w:t>Equity in subsidiaries, net of</w:t>
      </w:r>
    </w:p>
    <w:p>
      <w:pPr>
        <w:jc w:val="center"/>
        <w:ind w:right="6519"/>
        <w:spacing w:after="0" w:line="237" w:lineRule="auto"/>
        <w:rPr>
          <w:sz w:val="20"/>
          <w:szCs w:val="20"/>
          <w:color w:val="auto"/>
        </w:rPr>
      </w:pPr>
      <w:r>
        <w:rPr>
          <w:rFonts w:ascii="Courier New" w:cs="Courier New" w:eastAsia="Courier New" w:hAnsi="Courier New"/>
          <w:sz w:val="18"/>
          <w:szCs w:val="18"/>
          <w:color w:val="auto"/>
        </w:rPr>
        <w:t>taxes...........................</w:t>
      </w:r>
    </w:p>
    <w:p>
      <w:pPr>
        <w:jc w:val="center"/>
        <w:ind w:right="6519"/>
        <w:spacing w:after="0"/>
        <w:rPr>
          <w:sz w:val="20"/>
          <w:szCs w:val="20"/>
          <w:color w:val="auto"/>
        </w:rPr>
      </w:pPr>
      <w:r>
        <w:rPr>
          <w:rFonts w:ascii="Courier New" w:cs="Courier New" w:eastAsia="Courier New" w:hAnsi="Courier New"/>
          <w:sz w:val="18"/>
          <w:szCs w:val="18"/>
          <w:color w:val="auto"/>
        </w:rPr>
        <w:t>272 295 -- (567) -- Minority</w:t>
      </w:r>
    </w:p>
    <w:p>
      <w:pPr>
        <w:jc w:val="center"/>
        <w:ind w:right="6519"/>
        <w:spacing w:after="0" w:line="237" w:lineRule="auto"/>
        <w:rPr>
          <w:sz w:val="20"/>
          <w:szCs w:val="20"/>
          <w:color w:val="auto"/>
        </w:rPr>
      </w:pPr>
      <w:r>
        <w:rPr>
          <w:rFonts w:ascii="Courier New" w:cs="Courier New" w:eastAsia="Courier New" w:hAnsi="Courier New"/>
          <w:sz w:val="18"/>
          <w:szCs w:val="18"/>
          <w:color w:val="auto"/>
        </w:rPr>
        <w:t>interest.................. -- --</w:t>
      </w:r>
    </w:p>
    <w:p>
      <w:pPr>
        <w:jc w:val="center"/>
        <w:ind w:right="6519"/>
        <w:spacing w:after="0" w:line="238" w:lineRule="auto"/>
        <w:rPr>
          <w:sz w:val="20"/>
          <w:szCs w:val="20"/>
          <w:color w:val="auto"/>
        </w:rPr>
      </w:pPr>
      <w:r>
        <w:rPr>
          <w:rFonts w:ascii="Courier New" w:cs="Courier New" w:eastAsia="Courier New" w:hAnsi="Courier New"/>
          <w:sz w:val="18"/>
          <w:szCs w:val="18"/>
          <w:color w:val="auto"/>
        </w:rPr>
        <w:t>(1) -- (1) Other,</w:t>
      </w:r>
    </w:p>
    <w:p>
      <w:pPr>
        <w:jc w:val="center"/>
        <w:ind w:right="6519"/>
        <w:spacing w:after="0"/>
        <w:rPr>
          <w:sz w:val="20"/>
          <w:szCs w:val="20"/>
          <w:color w:val="auto"/>
        </w:rPr>
      </w:pPr>
      <w:r>
        <w:rPr>
          <w:rFonts w:ascii="Courier New" w:cs="Courier New" w:eastAsia="Courier New" w:hAnsi="Courier New"/>
          <w:sz w:val="18"/>
          <w:szCs w:val="18"/>
          <w:color w:val="auto"/>
        </w:rPr>
        <w:t>net......................... --</w:t>
      </w:r>
    </w:p>
    <w:p>
      <w:pPr>
        <w:ind w:left="540" w:hanging="426"/>
        <w:spacing w:after="0" w:line="237" w:lineRule="auto"/>
        <w:tabs>
          <w:tab w:leader="none" w:pos="54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2 -- 1 ---- ----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------ 207 258 (11) (567) (113) --</w:t>
      </w:r>
    </w:p>
    <w:p>
      <w:pPr>
        <w:ind w:left="380" w:hanging="319"/>
        <w:spacing w:after="0" w:line="238" w:lineRule="auto"/>
        <w:tabs>
          <w:tab w:leader="none" w:pos="3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Income</w:t>
      </w:r>
    </w:p>
    <w:p>
      <w:pPr>
        <w:jc w:val="center"/>
        <w:ind w:right="6519"/>
        <w:spacing w:after="0"/>
        <w:rPr>
          <w:sz w:val="20"/>
          <w:szCs w:val="20"/>
          <w:color w:val="auto"/>
        </w:rPr>
      </w:pPr>
      <w:r>
        <w:rPr>
          <w:rFonts w:ascii="Courier New" w:cs="Courier New" w:eastAsia="Courier New" w:hAnsi="Courier New"/>
          <w:sz w:val="18"/>
          <w:szCs w:val="18"/>
          <w:color w:val="auto"/>
        </w:rPr>
        <w:t>before income taxes........... 207</w:t>
      </w:r>
    </w:p>
    <w:p>
      <w:pPr>
        <w:jc w:val="center"/>
        <w:ind w:right="6519"/>
        <w:spacing w:after="0" w:line="237" w:lineRule="auto"/>
        <w:rPr>
          <w:sz w:val="20"/>
          <w:szCs w:val="20"/>
          <w:color w:val="auto"/>
        </w:rPr>
      </w:pPr>
      <w:r>
        <w:rPr>
          <w:rFonts w:ascii="Courier New" w:cs="Courier New" w:eastAsia="Courier New" w:hAnsi="Courier New"/>
          <w:sz w:val="18"/>
          <w:szCs w:val="18"/>
          <w:color w:val="auto"/>
        </w:rPr>
        <w:t>258 454 (567) 352 Provision for</w:t>
      </w:r>
    </w:p>
    <w:p>
      <w:pPr>
        <w:jc w:val="center"/>
        <w:ind w:right="6519"/>
        <w:spacing w:after="0" w:line="238" w:lineRule="auto"/>
        <w:rPr>
          <w:sz w:val="20"/>
          <w:szCs w:val="20"/>
          <w:color w:val="auto"/>
        </w:rPr>
      </w:pPr>
      <w:r>
        <w:rPr>
          <w:rFonts w:ascii="Courier New" w:cs="Courier New" w:eastAsia="Courier New" w:hAnsi="Courier New"/>
          <w:sz w:val="18"/>
          <w:szCs w:val="18"/>
          <w:color w:val="auto"/>
        </w:rPr>
        <w:t>(benefit from) income</w:t>
      </w:r>
    </w:p>
    <w:tbl>
      <w:tblPr>
        <w:tblLayout w:type="fixed"/>
        <w:tblInd w:w="0" w:type="dxa"/>
        <w:tblCellMar>
          <w:top w:w="0" w:type="dxa"/>
          <w:left w:w="0" w:type="dxa"/>
          <w:bottom w:w="0" w:type="dxa"/>
          <w:right w:w="0" w:type="dxa"/>
        </w:tblCellMar>
      </w:tblPr>
      <w:tr>
        <w:trPr>
          <w:trHeight w:val="203"/>
        </w:trPr>
        <w:tc>
          <w:tcPr>
            <w:tcW w:w="540" w:type="dxa"/>
            <w:vAlign w:val="bottom"/>
          </w:tcPr>
          <w:p>
            <w:pPr>
              <w:jc w:val="right"/>
              <w:spacing w:after="0"/>
              <w:rPr>
                <w:sz w:val="20"/>
                <w:szCs w:val="20"/>
                <w:color w:val="auto"/>
              </w:rPr>
            </w:pPr>
            <w:r>
              <w:rPr>
                <w:rFonts w:ascii="Courier New" w:cs="Courier New" w:eastAsia="Courier New" w:hAnsi="Courier New"/>
                <w:sz w:val="18"/>
                <w:szCs w:val="18"/>
                <w:color w:val="auto"/>
                <w:w w:val="96"/>
              </w:rPr>
              <w:t>taxes</w:t>
            </w:r>
          </w:p>
        </w:tc>
        <w:tc>
          <w:tcPr>
            <w:tcW w:w="31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w:t>
            </w:r>
          </w:p>
        </w:tc>
      </w:tr>
      <w:tr>
        <w:trPr>
          <w:trHeight w:val="203"/>
        </w:trPr>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(24) (14) 159 --</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121 ---- ---- ---</w:t>
            </w:r>
          </w:p>
        </w:tc>
      </w:tr>
      <w:tr>
        <w:trPr>
          <w:trHeight w:val="203"/>
        </w:trPr>
        <w:tc>
          <w:tcPr>
            <w:tcW w:w="5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Net</w:t>
            </w:r>
          </w:p>
        </w:tc>
      </w:tr>
      <w:tr>
        <w:trPr>
          <w:trHeight w:val="203"/>
        </w:trPr>
        <w:tc>
          <w:tcPr>
            <w:tcW w:w="3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income...........................</w:t>
            </w:r>
          </w:p>
        </w:tc>
      </w:tr>
      <w:tr>
        <w:trPr>
          <w:trHeight w:val="203"/>
        </w:trPr>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$272 $ 295</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$(567) $ 231 ====</w:t>
            </w:r>
          </w:p>
        </w:tc>
      </w:tr>
      <w:tr>
        <w:trPr>
          <w:trHeight w:val="203"/>
        </w:trPr>
        <w:tc>
          <w:tcPr>
            <w:tcW w:w="5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THREE MONTHS ENDED SEPTEMBER 30, 2001</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8"/>
          <w:szCs w:val="18"/>
          <w:color w:val="auto"/>
        </w:rPr>
        <w:t>PARENT GUARANTOR NON-GUARANTORS</w:t>
      </w:r>
    </w:p>
    <w:p>
      <w:pPr>
        <w:jc w:val="center"/>
        <w:ind w:right="6519"/>
        <w:spacing w:after="0" w:line="238" w:lineRule="auto"/>
        <w:rPr>
          <w:sz w:val="20"/>
          <w:szCs w:val="20"/>
          <w:color w:val="auto"/>
        </w:rPr>
      </w:pPr>
      <w:r>
        <w:rPr>
          <w:rFonts w:ascii="Courier New" w:cs="Courier New" w:eastAsia="Courier New" w:hAnsi="Courier New"/>
          <w:sz w:val="18"/>
          <w:szCs w:val="18"/>
          <w:color w:val="auto"/>
        </w:rPr>
        <w:t>ELIMINATIONS CONSOLIDATED ------ -</w:t>
      </w:r>
    </w:p>
    <w:p>
      <w:pPr>
        <w:jc w:val="center"/>
        <w:ind w:right="6519"/>
        <w:spacing w:after="0"/>
        <w:rPr>
          <w:sz w:val="20"/>
          <w:szCs w:val="20"/>
          <w:color w:val="auto"/>
        </w:rPr>
      </w:pPr>
      <w:r>
        <w:rPr>
          <w:rFonts w:ascii="Courier New" w:cs="Courier New" w:eastAsia="Courier New" w:hAnsi="Courier New"/>
          <w:sz w:val="18"/>
          <w:szCs w:val="18"/>
          <w:color w:val="auto"/>
        </w:rPr>
        <w:t>-------- -------------- ----------</w:t>
      </w:r>
    </w:p>
    <w:p>
      <w:pPr>
        <w:jc w:val="center"/>
        <w:ind w:right="6519"/>
        <w:spacing w:after="0" w:line="237" w:lineRule="auto"/>
        <w:rPr>
          <w:sz w:val="20"/>
          <w:szCs w:val="20"/>
          <w:color w:val="auto"/>
        </w:rPr>
      </w:pPr>
      <w:r>
        <w:rPr>
          <w:rFonts w:ascii="Courier New" w:cs="Courier New" w:eastAsia="Courier New" w:hAnsi="Courier New"/>
          <w:sz w:val="18"/>
          <w:szCs w:val="18"/>
          <w:color w:val="auto"/>
        </w:rPr>
        <w:t>-- ------------ Operating</w:t>
      </w:r>
    </w:p>
    <w:p>
      <w:pPr>
        <w:jc w:val="center"/>
        <w:ind w:right="6519"/>
        <w:spacing w:after="0" w:line="238" w:lineRule="auto"/>
        <w:rPr>
          <w:sz w:val="20"/>
          <w:szCs w:val="20"/>
          <w:color w:val="auto"/>
        </w:rPr>
      </w:pPr>
      <w:r>
        <w:rPr>
          <w:rFonts w:ascii="Courier New" w:cs="Courier New" w:eastAsia="Courier New" w:hAnsi="Courier New"/>
          <w:sz w:val="18"/>
          <w:szCs w:val="18"/>
          <w:color w:val="auto"/>
        </w:rPr>
        <w:t>revenues................... $ -- $</w:t>
      </w:r>
    </w:p>
    <w:p>
      <w:pPr>
        <w:jc w:val="center"/>
        <w:ind w:right="6519"/>
        <w:spacing w:after="0"/>
        <w:rPr>
          <w:sz w:val="20"/>
          <w:szCs w:val="20"/>
          <w:color w:val="auto"/>
        </w:rPr>
      </w:pPr>
      <w:r>
        <w:rPr>
          <w:rFonts w:ascii="Courier New" w:cs="Courier New" w:eastAsia="Courier New" w:hAnsi="Courier New"/>
          <w:sz w:val="18"/>
          <w:szCs w:val="18"/>
          <w:color w:val="auto"/>
        </w:rPr>
        <w:t>-- $2,897 $ -- $2,897 Costs and</w:t>
      </w:r>
    </w:p>
    <w:p>
      <w:pPr>
        <w:jc w:val="center"/>
        <w:ind w:right="6519"/>
        <w:spacing w:after="0" w:line="237" w:lineRule="auto"/>
        <w:rPr>
          <w:sz w:val="20"/>
          <w:szCs w:val="20"/>
          <w:color w:val="auto"/>
        </w:rPr>
      </w:pPr>
      <w:r>
        <w:rPr>
          <w:rFonts w:ascii="Courier New" w:cs="Courier New" w:eastAsia="Courier New" w:hAnsi="Courier New"/>
          <w:sz w:val="18"/>
          <w:szCs w:val="18"/>
          <w:color w:val="auto"/>
        </w:rPr>
        <w:t>expenses................... -- --</w:t>
      </w:r>
    </w:p>
    <w:p>
      <w:pPr>
        <w:jc w:val="center"/>
        <w:ind w:right="6519"/>
        <w:spacing w:after="0"/>
        <w:rPr>
          <w:sz w:val="20"/>
          <w:szCs w:val="20"/>
          <w:color w:val="auto"/>
        </w:rPr>
      </w:pPr>
      <w:r>
        <w:rPr>
          <w:rFonts w:ascii="Courier New" w:cs="Courier New" w:eastAsia="Courier New" w:hAnsi="Courier New"/>
          <w:sz w:val="18"/>
          <w:szCs w:val="18"/>
          <w:color w:val="auto"/>
        </w:rPr>
        <w:t>2,782 -- 2,782 ---- ---- ------ --</w:t>
      </w:r>
    </w:p>
    <w:p>
      <w:pPr>
        <w:jc w:val="center"/>
        <w:ind w:right="6519"/>
        <w:spacing w:after="0" w:line="237" w:lineRule="auto"/>
        <w:rPr>
          <w:sz w:val="20"/>
          <w:szCs w:val="20"/>
          <w:color w:val="auto"/>
        </w:rPr>
      </w:pPr>
      <w:r>
        <w:rPr>
          <w:rFonts w:ascii="Courier New" w:cs="Courier New" w:eastAsia="Courier New" w:hAnsi="Courier New"/>
          <w:sz w:val="18"/>
          <w:szCs w:val="18"/>
          <w:color w:val="auto"/>
        </w:rPr>
        <w:t>--- ------ Income from</w:t>
      </w:r>
    </w:p>
    <w:p>
      <w:pPr>
        <w:jc w:val="center"/>
        <w:ind w:right="6519"/>
        <w:spacing w:after="0"/>
        <w:rPr>
          <w:sz w:val="20"/>
          <w:szCs w:val="20"/>
          <w:color w:val="auto"/>
        </w:rPr>
      </w:pPr>
      <w:r>
        <w:rPr>
          <w:rFonts w:ascii="Courier New" w:cs="Courier New" w:eastAsia="Courier New" w:hAnsi="Courier New"/>
          <w:sz w:val="18"/>
          <w:szCs w:val="18"/>
          <w:color w:val="auto"/>
        </w:rPr>
        <w:t>operations............... -- --</w:t>
      </w:r>
    </w:p>
    <w:p>
      <w:pPr>
        <w:ind w:left="120"/>
        <w:spacing w:after="0" w:line="237" w:lineRule="auto"/>
        <w:rPr>
          <w:sz w:val="20"/>
          <w:szCs w:val="20"/>
          <w:color w:val="auto"/>
        </w:rPr>
      </w:pPr>
      <w:r>
        <w:rPr>
          <w:rFonts w:ascii="Courier New" w:cs="Courier New" w:eastAsia="Courier New" w:hAnsi="Courier New"/>
          <w:sz w:val="18"/>
          <w:szCs w:val="18"/>
          <w:color w:val="auto"/>
        </w:rPr>
        <w:t>115 -- 115 ---- ---- ------ -----</w:t>
      </w:r>
    </w:p>
    <w:p>
      <w:pPr>
        <w:jc w:val="center"/>
        <w:ind w:right="6519"/>
        <w:spacing w:after="0" w:line="238" w:lineRule="auto"/>
        <w:rPr>
          <w:sz w:val="20"/>
          <w:szCs w:val="20"/>
          <w:color w:val="auto"/>
        </w:rPr>
      </w:pPr>
      <w:r>
        <w:rPr>
          <w:rFonts w:ascii="Courier New" w:cs="Courier New" w:eastAsia="Courier New" w:hAnsi="Courier New"/>
          <w:sz w:val="18"/>
          <w:szCs w:val="18"/>
          <w:color w:val="auto"/>
        </w:rPr>
        <w:t>------ Other income (expense):</w:t>
      </w:r>
    </w:p>
    <w:p>
      <w:pPr>
        <w:jc w:val="center"/>
        <w:ind w:right="6519"/>
        <w:spacing w:after="0"/>
        <w:rPr>
          <w:sz w:val="20"/>
          <w:szCs w:val="20"/>
          <w:color w:val="auto"/>
        </w:rPr>
      </w:pPr>
      <w:r>
        <w:rPr>
          <w:rFonts w:ascii="Courier New" w:cs="Courier New" w:eastAsia="Courier New" w:hAnsi="Courier New"/>
          <w:sz w:val="18"/>
          <w:szCs w:val="18"/>
          <w:color w:val="auto"/>
        </w:rPr>
        <w:t>Interest income (expense),</w:t>
      </w:r>
    </w:p>
    <w:p>
      <w:pPr>
        <w:jc w:val="center"/>
        <w:ind w:right="6519"/>
        <w:spacing w:after="0" w:line="237" w:lineRule="auto"/>
        <w:rPr>
          <w:sz w:val="20"/>
          <w:szCs w:val="20"/>
          <w:color w:val="auto"/>
        </w:rPr>
      </w:pPr>
      <w:r>
        <w:rPr>
          <w:rFonts w:ascii="Courier New" w:cs="Courier New" w:eastAsia="Courier New" w:hAnsi="Courier New"/>
          <w:sz w:val="18"/>
          <w:szCs w:val="18"/>
          <w:color w:val="auto"/>
        </w:rPr>
        <w:t>net..... (67) (43) (7) -- (117)</w:t>
      </w:r>
    </w:p>
    <w:p>
      <w:pPr>
        <w:jc w:val="center"/>
        <w:ind w:right="6519"/>
        <w:spacing w:after="0"/>
        <w:rPr>
          <w:sz w:val="20"/>
          <w:szCs w:val="20"/>
          <w:color w:val="auto"/>
        </w:rPr>
      </w:pPr>
      <w:r>
        <w:rPr>
          <w:rFonts w:ascii="Courier New" w:cs="Courier New" w:eastAsia="Courier New" w:hAnsi="Courier New"/>
          <w:sz w:val="18"/>
          <w:szCs w:val="18"/>
          <w:color w:val="auto"/>
        </w:rPr>
        <w:t>Equity in subsidiaries, net of</w:t>
      </w:r>
    </w:p>
    <w:p>
      <w:pPr>
        <w:jc w:val="center"/>
        <w:ind w:right="6519"/>
        <w:spacing w:after="0" w:line="237" w:lineRule="auto"/>
        <w:rPr>
          <w:sz w:val="20"/>
          <w:szCs w:val="20"/>
          <w:color w:val="auto"/>
        </w:rPr>
      </w:pPr>
      <w:r>
        <w:rPr>
          <w:rFonts w:ascii="Courier New" w:cs="Courier New" w:eastAsia="Courier New" w:hAnsi="Courier New"/>
          <w:sz w:val="18"/>
          <w:szCs w:val="18"/>
          <w:color w:val="auto"/>
        </w:rPr>
        <w:t>taxes...........................</w:t>
      </w:r>
    </w:p>
    <w:p>
      <w:pPr>
        <w:jc w:val="center"/>
        <w:ind w:right="6519"/>
        <w:spacing w:after="0"/>
        <w:rPr>
          <w:sz w:val="20"/>
          <w:szCs w:val="20"/>
          <w:color w:val="auto"/>
        </w:rPr>
      </w:pPr>
      <w:r>
        <w:rPr>
          <w:rFonts w:ascii="Courier New" w:cs="Courier New" w:eastAsia="Courier New" w:hAnsi="Courier New"/>
          <w:sz w:val="18"/>
          <w:szCs w:val="18"/>
          <w:color w:val="auto"/>
        </w:rPr>
        <w:t>73 100 -- (173) -- Other,</w:t>
      </w:r>
    </w:p>
    <w:p>
      <w:pPr>
        <w:jc w:val="center"/>
        <w:ind w:right="6519"/>
        <w:spacing w:after="0" w:line="237" w:lineRule="auto"/>
        <w:rPr>
          <w:sz w:val="20"/>
          <w:szCs w:val="20"/>
          <w:color w:val="auto"/>
        </w:rPr>
      </w:pPr>
      <w:r>
        <w:rPr>
          <w:rFonts w:ascii="Courier New" w:cs="Courier New" w:eastAsia="Courier New" w:hAnsi="Courier New"/>
          <w:sz w:val="18"/>
          <w:szCs w:val="18"/>
          <w:color w:val="auto"/>
        </w:rPr>
        <w:t>net......................... -- --</w:t>
      </w:r>
    </w:p>
    <w:p>
      <w:pPr>
        <w:ind w:left="60"/>
        <w:spacing w:after="0" w:line="238" w:lineRule="auto"/>
        <w:rPr>
          <w:sz w:val="20"/>
          <w:szCs w:val="20"/>
          <w:color w:val="auto"/>
        </w:rPr>
      </w:pPr>
      <w:r>
        <w:rPr>
          <w:rFonts w:ascii="Courier New" w:cs="Courier New" w:eastAsia="Courier New" w:hAnsi="Courier New"/>
          <w:sz w:val="18"/>
          <w:szCs w:val="18"/>
          <w:color w:val="auto"/>
        </w:rPr>
        <w:t>1 -- 1 ---- ---- ------ ----- ----</w:t>
      </w:r>
    </w:p>
    <w:p>
      <w:pPr>
        <w:ind w:left="120"/>
        <w:spacing w:after="0"/>
        <w:rPr>
          <w:sz w:val="20"/>
          <w:szCs w:val="20"/>
          <w:color w:val="auto"/>
        </w:rPr>
      </w:pPr>
      <w:r>
        <w:rPr>
          <w:rFonts w:ascii="Courier New" w:cs="Courier New" w:eastAsia="Courier New" w:hAnsi="Courier New"/>
          <w:sz w:val="18"/>
          <w:szCs w:val="18"/>
          <w:color w:val="auto"/>
        </w:rPr>
        <w:t>-- 6 57 (6) (173) (116) ---- ----</w:t>
      </w:r>
    </w:p>
    <w:p>
      <w:pPr>
        <w:ind w:left="120"/>
        <w:spacing w:after="0" w:line="237" w:lineRule="auto"/>
        <w:rPr>
          <w:sz w:val="20"/>
          <w:szCs w:val="20"/>
          <w:color w:val="auto"/>
        </w:rPr>
      </w:pPr>
      <w:r>
        <w:rPr>
          <w:rFonts w:ascii="Courier New" w:cs="Courier New" w:eastAsia="Courier New" w:hAnsi="Courier New"/>
          <w:sz w:val="18"/>
          <w:szCs w:val="18"/>
          <w:color w:val="auto"/>
        </w:rPr>
        <w:t>------ ----- ------ Income (loss)</w:t>
      </w:r>
    </w:p>
    <w:tbl>
      <w:tblPr>
        <w:tblLayout w:type="fixed"/>
        <w:tblInd w:w="16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before income taxes....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6 57 109</w:t>
            </w:r>
          </w:p>
        </w:tc>
      </w:tr>
    </w:tbl>
    <w:p>
      <w:pPr>
        <w:spacing w:after="0" w:line="4" w:lineRule="exact"/>
        <w:rPr>
          <w:sz w:val="20"/>
          <w:szCs w:val="20"/>
          <w:color w:val="auto"/>
        </w:rPr>
      </w:pPr>
    </w:p>
    <w:p>
      <w:pPr>
        <w:ind w:left="1220" w:right="6679" w:hanging="1054"/>
        <w:spacing w:after="0" w:line="235" w:lineRule="auto"/>
        <w:tabs>
          <w:tab w:leader="none" w:pos="799"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Provision for (benefit from) income</w:t>
      </w:r>
    </w:p>
    <w:p>
      <w:pPr>
        <w:spacing w:after="0"/>
        <w:rPr>
          <w:sz w:val="20"/>
          <w:szCs w:val="20"/>
          <w:color w:val="auto"/>
        </w:rPr>
      </w:pPr>
      <w:r>
        <w:rPr>
          <w:rFonts w:ascii="Courier New" w:cs="Courier New" w:eastAsia="Courier New" w:hAnsi="Courier New"/>
          <w:sz w:val="18"/>
          <w:szCs w:val="18"/>
          <w:color w:val="auto"/>
        </w:rPr>
        <w:t>taxes..............................</w:t>
      </w:r>
    </w:p>
    <w:p>
      <w:pPr>
        <w:ind w:left="580" w:hanging="519"/>
        <w:spacing w:after="0" w:line="238" w:lineRule="auto"/>
        <w:tabs>
          <w:tab w:leader="none" w:pos="58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(16) 9 -- (32) ---- ---- ----</w:t>
      </w:r>
    </w:p>
    <w:p>
      <w:pPr>
        <w:ind w:left="640" w:hanging="316"/>
        <w:spacing w:after="0" w:line="238" w:lineRule="auto"/>
        <w:tabs>
          <w:tab w:leader="none" w:pos="64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Income before</w:t>
      </w:r>
    </w:p>
    <w:p>
      <w:pPr>
        <w:ind w:left="120"/>
        <w:spacing w:after="0"/>
        <w:tabs>
          <w:tab w:leader="dot" w:pos="2620" w:val="left"/>
        </w:tabs>
        <w:rPr>
          <w:sz w:val="20"/>
          <w:szCs w:val="20"/>
          <w:color w:val="auto"/>
        </w:rPr>
      </w:pPr>
      <w:r>
        <w:rPr>
          <w:rFonts w:ascii="Courier New" w:cs="Courier New" w:eastAsia="Courier New" w:hAnsi="Courier New"/>
          <w:sz w:val="18"/>
          <w:szCs w:val="18"/>
          <w:color w:val="auto"/>
        </w:rPr>
        <w:t>extraordinary item</w:t>
      </w:r>
      <w:r>
        <w:rPr>
          <w:sz w:val="20"/>
          <w:szCs w:val="20"/>
          <w:color w:val="auto"/>
        </w:rPr>
        <w:tab/>
      </w:r>
      <w:r>
        <w:rPr>
          <w:rFonts w:ascii="Courier New" w:cs="Courier New" w:eastAsia="Courier New" w:hAnsi="Courier New"/>
          <w:sz w:val="16"/>
          <w:szCs w:val="16"/>
          <w:color w:val="auto"/>
        </w:rPr>
        <w:t>31 73 100</w:t>
      </w:r>
    </w:p>
    <w:p>
      <w:pPr>
        <w:ind w:left="700"/>
        <w:spacing w:after="0" w:line="237" w:lineRule="auto"/>
        <w:rPr>
          <w:sz w:val="20"/>
          <w:szCs w:val="20"/>
          <w:color w:val="auto"/>
        </w:rPr>
      </w:pPr>
      <w:r>
        <w:rPr>
          <w:rFonts w:ascii="Courier New" w:cs="Courier New" w:eastAsia="Courier New" w:hAnsi="Courier New"/>
          <w:sz w:val="18"/>
          <w:szCs w:val="18"/>
          <w:color w:val="auto"/>
        </w:rPr>
        <w:t>(173) 31 Extraordinary</w:t>
      </w:r>
    </w:p>
    <w:p>
      <w:pPr>
        <w:ind w:left="120"/>
        <w:spacing w:after="0"/>
        <w:tabs>
          <w:tab w:leader="dot" w:pos="262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6"/>
          <w:szCs w:val="16"/>
          <w:color w:val="auto"/>
        </w:rPr>
        <w:t>(1) -- --</w:t>
      </w:r>
    </w:p>
    <w:p>
      <w:pPr>
        <w:ind w:left="380" w:hanging="319"/>
        <w:spacing w:after="0"/>
        <w:tabs>
          <w:tab w:leader="none" w:pos="3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 ---- ------ ----- ----</w:t>
      </w:r>
    </w:p>
    <w:p>
      <w:pPr>
        <w:ind w:left="1860" w:hanging="325"/>
        <w:spacing w:after="0" w:line="238" w:lineRule="auto"/>
        <w:tabs>
          <w:tab w:leader="none" w:pos="186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w:t>
      </w:r>
    </w:p>
    <w:p>
      <w:pPr>
        <w:ind w:left="120"/>
        <w:spacing w:after="0"/>
        <w:rPr>
          <w:sz w:val="20"/>
          <w:szCs w:val="20"/>
          <w:color w:val="auto"/>
        </w:rPr>
      </w:pPr>
      <w:r>
        <w:rPr>
          <w:rFonts w:ascii="Courier New" w:cs="Courier New" w:eastAsia="Courier New" w:hAnsi="Courier New"/>
          <w:sz w:val="18"/>
          <w:szCs w:val="18"/>
          <w:color w:val="auto"/>
        </w:rPr>
        <w:t>income...........................</w:t>
      </w:r>
    </w:p>
    <w:p>
      <w:pPr>
        <w:sectPr>
          <w:pgSz w:w="11900" w:h="16838" w:orient="portrait"/>
          <w:cols w:equalWidth="0" w:num="1">
            <w:col w:w="10219"/>
          </w:cols>
          <w:pgMar w:left="240" w:top="514" w:right="1440" w:bottom="0" w:gutter="0" w:footer="0" w:header="0"/>
        </w:sectPr>
      </w:pPr>
    </w:p>
    <w:bookmarkStart w:id="28" w:name="page29"/>
    <w:bookmarkEnd w:id="28"/>
    <w:p>
      <w:pPr>
        <w:ind w:left="220" w:hanging="214"/>
        <w:spacing w:after="0"/>
        <w:tabs>
          <w:tab w:leader="none" w:pos="22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30 $ 73 $ 100 $(173) $ 30 ====</w:t>
      </w:r>
    </w:p>
    <w:p>
      <w:pPr>
        <w:ind w:left="960" w:hanging="532"/>
        <w:spacing w:after="0" w:line="238" w:lineRule="auto"/>
        <w:tabs>
          <w:tab w:leader="none" w:pos="960"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059"/>
          </w:cols>
          <w:pgMar w:left="400" w:top="136" w:right="1440" w:bottom="1440" w:gutter="0" w:footer="0" w:header="0"/>
        </w:sectPr>
      </w:pPr>
    </w:p>
    <w:bookmarkStart w:id="29" w:name="page30"/>
    <w:bookmarkEnd w:id="29"/>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CONDENSED CONSOLIDATING STATEMENTS OF OPERATIONS</w:t>
      </w:r>
    </w:p>
    <w:p>
      <w:pPr>
        <w:jc w:val="center"/>
        <w:ind w:right="1779"/>
        <w:spacing w:after="0" w:line="238" w:lineRule="auto"/>
        <w:rPr>
          <w:sz w:val="20"/>
          <w:szCs w:val="20"/>
          <w:color w:val="auto"/>
        </w:rPr>
      </w:pPr>
      <w:r>
        <w:rPr>
          <w:rFonts w:ascii="Courier New" w:cs="Courier New" w:eastAsia="Courier New" w:hAnsi="Courier New"/>
          <w:sz w:val="18"/>
          <w:szCs w:val="18"/>
          <w:color w:val="auto"/>
        </w:rPr>
        <w:t>NINE MONTHS ENDED SEPTEMBER 30, 2002</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8"/>
          <w:szCs w:val="18"/>
          <w:color w:val="auto"/>
        </w:rPr>
        <w:t>PARENT GUARANTOR NON-GUARANTORS</w:t>
      </w:r>
    </w:p>
    <w:p>
      <w:pPr>
        <w:jc w:val="center"/>
        <w:ind w:right="6519"/>
        <w:spacing w:after="0" w:line="238" w:lineRule="auto"/>
        <w:rPr>
          <w:sz w:val="20"/>
          <w:szCs w:val="20"/>
          <w:color w:val="auto"/>
        </w:rPr>
      </w:pPr>
      <w:r>
        <w:rPr>
          <w:rFonts w:ascii="Courier New" w:cs="Courier New" w:eastAsia="Courier New" w:hAnsi="Courier New"/>
          <w:sz w:val="18"/>
          <w:szCs w:val="18"/>
          <w:color w:val="auto"/>
        </w:rPr>
        <w:t>ELIMINATIONS CONSOLIDATED ------ -</w:t>
      </w:r>
    </w:p>
    <w:p>
      <w:pPr>
        <w:jc w:val="center"/>
        <w:ind w:right="6519"/>
        <w:spacing w:after="0"/>
        <w:rPr>
          <w:sz w:val="20"/>
          <w:szCs w:val="20"/>
          <w:color w:val="auto"/>
        </w:rPr>
      </w:pPr>
      <w:r>
        <w:rPr>
          <w:rFonts w:ascii="Courier New" w:cs="Courier New" w:eastAsia="Courier New" w:hAnsi="Courier New"/>
          <w:sz w:val="18"/>
          <w:szCs w:val="18"/>
          <w:color w:val="auto"/>
        </w:rPr>
        <w:t>-------- -------------- ----------</w:t>
      </w:r>
    </w:p>
    <w:p>
      <w:pPr>
        <w:jc w:val="center"/>
        <w:ind w:right="6519"/>
        <w:spacing w:after="0" w:line="237" w:lineRule="auto"/>
        <w:rPr>
          <w:sz w:val="20"/>
          <w:szCs w:val="20"/>
          <w:color w:val="auto"/>
        </w:rPr>
      </w:pPr>
      <w:r>
        <w:rPr>
          <w:rFonts w:ascii="Courier New" w:cs="Courier New" w:eastAsia="Courier New" w:hAnsi="Courier New"/>
          <w:sz w:val="18"/>
          <w:szCs w:val="18"/>
          <w:color w:val="auto"/>
        </w:rPr>
        <w:t>-- ------------ Operating</w:t>
      </w:r>
    </w:p>
    <w:p>
      <w:pPr>
        <w:jc w:val="center"/>
        <w:ind w:right="6519"/>
        <w:spacing w:after="0" w:line="238" w:lineRule="auto"/>
        <w:rPr>
          <w:sz w:val="20"/>
          <w:szCs w:val="20"/>
          <w:color w:val="auto"/>
        </w:rPr>
      </w:pPr>
      <w:r>
        <w:rPr>
          <w:rFonts w:ascii="Courier New" w:cs="Courier New" w:eastAsia="Courier New" w:hAnsi="Courier New"/>
          <w:sz w:val="18"/>
          <w:szCs w:val="18"/>
          <w:color w:val="auto"/>
        </w:rPr>
        <w:t>revenues................... $ -- $</w:t>
      </w:r>
    </w:p>
    <w:p>
      <w:pPr>
        <w:jc w:val="center"/>
        <w:ind w:right="6519"/>
        <w:spacing w:after="0"/>
        <w:rPr>
          <w:sz w:val="20"/>
          <w:szCs w:val="20"/>
          <w:color w:val="auto"/>
        </w:rPr>
      </w:pPr>
      <w:r>
        <w:rPr>
          <w:rFonts w:ascii="Courier New" w:cs="Courier New" w:eastAsia="Courier New" w:hAnsi="Courier New"/>
          <w:sz w:val="18"/>
          <w:szCs w:val="18"/>
          <w:color w:val="auto"/>
        </w:rPr>
        <w:t>-- $8,330 $ -- $8,330 Costs and</w:t>
      </w:r>
    </w:p>
    <w:p>
      <w:pPr>
        <w:jc w:val="center"/>
        <w:ind w:right="6519"/>
        <w:spacing w:after="0" w:line="237" w:lineRule="auto"/>
        <w:rPr>
          <w:sz w:val="20"/>
          <w:szCs w:val="20"/>
          <w:color w:val="auto"/>
        </w:rPr>
      </w:pPr>
      <w:r>
        <w:rPr>
          <w:rFonts w:ascii="Courier New" w:cs="Courier New" w:eastAsia="Courier New" w:hAnsi="Courier New"/>
          <w:sz w:val="18"/>
          <w:szCs w:val="18"/>
          <w:color w:val="auto"/>
        </w:rPr>
        <w:t>expenses................... -- --</w:t>
      </w:r>
    </w:p>
    <w:p>
      <w:pPr>
        <w:jc w:val="center"/>
        <w:ind w:right="6519"/>
        <w:spacing w:after="0"/>
        <w:rPr>
          <w:sz w:val="20"/>
          <w:szCs w:val="20"/>
          <w:color w:val="auto"/>
        </w:rPr>
      </w:pPr>
      <w:r>
        <w:rPr>
          <w:rFonts w:ascii="Courier New" w:cs="Courier New" w:eastAsia="Courier New" w:hAnsi="Courier New"/>
          <w:sz w:val="18"/>
          <w:szCs w:val="18"/>
          <w:color w:val="auto"/>
        </w:rPr>
        <w:t>7,069 -- 7,069 ----- ----- ------</w:t>
      </w:r>
    </w:p>
    <w:p>
      <w:pPr>
        <w:jc w:val="center"/>
        <w:ind w:right="6519"/>
        <w:spacing w:after="0" w:line="237" w:lineRule="auto"/>
        <w:rPr>
          <w:sz w:val="20"/>
          <w:szCs w:val="20"/>
          <w:color w:val="auto"/>
        </w:rPr>
      </w:pPr>
      <w:r>
        <w:rPr>
          <w:rFonts w:ascii="Courier New" w:cs="Courier New" w:eastAsia="Courier New" w:hAnsi="Courier New"/>
          <w:sz w:val="18"/>
          <w:szCs w:val="18"/>
          <w:color w:val="auto"/>
        </w:rPr>
        <w:t>------- ------ Income from</w:t>
      </w:r>
    </w:p>
    <w:p>
      <w:pPr>
        <w:jc w:val="center"/>
        <w:ind w:right="6519"/>
        <w:spacing w:after="0"/>
        <w:rPr>
          <w:sz w:val="20"/>
          <w:szCs w:val="20"/>
          <w:color w:val="auto"/>
        </w:rPr>
      </w:pPr>
      <w:r>
        <w:rPr>
          <w:rFonts w:ascii="Courier New" w:cs="Courier New" w:eastAsia="Courier New" w:hAnsi="Courier New"/>
          <w:sz w:val="18"/>
          <w:szCs w:val="18"/>
          <w:color w:val="auto"/>
        </w:rPr>
        <w:t>operations............... -- --</w:t>
      </w:r>
    </w:p>
    <w:p>
      <w:pPr>
        <w:jc w:val="center"/>
        <w:ind w:right="6519"/>
        <w:spacing w:after="0" w:line="237" w:lineRule="auto"/>
        <w:rPr>
          <w:sz w:val="20"/>
          <w:szCs w:val="20"/>
          <w:color w:val="auto"/>
        </w:rPr>
      </w:pPr>
      <w:r>
        <w:rPr>
          <w:rFonts w:ascii="Courier New" w:cs="Courier New" w:eastAsia="Courier New" w:hAnsi="Courier New"/>
          <w:sz w:val="18"/>
          <w:szCs w:val="18"/>
          <w:color w:val="auto"/>
        </w:rPr>
        <w:t>1,261 -- 1,261 ----- ----- ------</w:t>
      </w:r>
    </w:p>
    <w:p>
      <w:pPr>
        <w:jc w:val="center"/>
        <w:ind w:right="6519"/>
        <w:spacing w:after="0" w:line="238" w:lineRule="auto"/>
        <w:rPr>
          <w:sz w:val="20"/>
          <w:szCs w:val="20"/>
          <w:color w:val="auto"/>
        </w:rPr>
      </w:pPr>
      <w:r>
        <w:rPr>
          <w:rFonts w:ascii="Courier New" w:cs="Courier New" w:eastAsia="Courier New" w:hAnsi="Courier New"/>
          <w:sz w:val="18"/>
          <w:szCs w:val="18"/>
          <w:color w:val="auto"/>
        </w:rPr>
        <w:t>------- ------ Other income</w:t>
      </w:r>
    </w:p>
    <w:p>
      <w:pPr>
        <w:jc w:val="center"/>
        <w:ind w:right="6519"/>
        <w:spacing w:after="0"/>
        <w:rPr>
          <w:sz w:val="20"/>
          <w:szCs w:val="20"/>
          <w:color w:val="auto"/>
        </w:rPr>
      </w:pPr>
      <w:r>
        <w:rPr>
          <w:rFonts w:ascii="Courier New" w:cs="Courier New" w:eastAsia="Courier New" w:hAnsi="Courier New"/>
          <w:sz w:val="18"/>
          <w:szCs w:val="18"/>
          <w:color w:val="auto"/>
        </w:rPr>
        <w:t>(expense): Interest income</w:t>
      </w:r>
    </w:p>
    <w:p>
      <w:pPr>
        <w:jc w:val="center"/>
        <w:ind w:right="6519"/>
        <w:spacing w:after="0" w:line="237" w:lineRule="auto"/>
        <w:rPr>
          <w:sz w:val="20"/>
          <w:szCs w:val="20"/>
          <w:color w:val="auto"/>
        </w:rPr>
      </w:pPr>
      <w:r>
        <w:rPr>
          <w:rFonts w:ascii="Courier New" w:cs="Courier New" w:eastAsia="Courier New" w:hAnsi="Courier New"/>
          <w:sz w:val="18"/>
          <w:szCs w:val="18"/>
          <w:color w:val="auto"/>
        </w:rPr>
        <w:t>(expense), net..... (179) (116)</w:t>
      </w:r>
    </w:p>
    <w:p>
      <w:pPr>
        <w:spacing w:after="0" w:line="5" w:lineRule="exact"/>
        <w:rPr>
          <w:sz w:val="20"/>
          <w:szCs w:val="20"/>
          <w:color w:val="auto"/>
        </w:rPr>
      </w:pPr>
    </w:p>
    <w:p>
      <w:pPr>
        <w:ind w:left="800" w:right="7159" w:hanging="160"/>
        <w:spacing w:after="0" w:line="268" w:lineRule="auto"/>
        <w:tabs>
          <w:tab w:leader="none" w:pos="1169"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(336) Equity in subsidiaries, net of</w:t>
      </w:r>
    </w:p>
    <w:p>
      <w:pPr>
        <w:jc w:val="center"/>
        <w:ind w:right="6519"/>
        <w:spacing w:after="0" w:line="233" w:lineRule="auto"/>
        <w:rPr>
          <w:sz w:val="20"/>
          <w:szCs w:val="20"/>
          <w:color w:val="auto"/>
        </w:rPr>
      </w:pPr>
      <w:r>
        <w:rPr>
          <w:rFonts w:ascii="Courier New" w:cs="Courier New" w:eastAsia="Courier New" w:hAnsi="Courier New"/>
          <w:sz w:val="18"/>
          <w:szCs w:val="18"/>
          <w:color w:val="auto"/>
        </w:rPr>
        <w:t>taxes...........................</w:t>
      </w:r>
    </w:p>
    <w:p>
      <w:pPr>
        <w:jc w:val="center"/>
        <w:ind w:right="6519"/>
        <w:spacing w:after="0"/>
        <w:rPr>
          <w:sz w:val="20"/>
          <w:szCs w:val="20"/>
          <w:color w:val="auto"/>
        </w:rPr>
      </w:pPr>
      <w:r>
        <w:rPr>
          <w:rFonts w:ascii="Courier New" w:cs="Courier New" w:eastAsia="Courier New" w:hAnsi="Courier New"/>
          <w:sz w:val="18"/>
          <w:szCs w:val="18"/>
          <w:color w:val="auto"/>
        </w:rPr>
        <w:t>699 773 -- (1,472) -- Minority</w:t>
      </w:r>
    </w:p>
    <w:p>
      <w:pPr>
        <w:jc w:val="center"/>
        <w:ind w:right="6519"/>
        <w:spacing w:after="0" w:line="237" w:lineRule="auto"/>
        <w:rPr>
          <w:sz w:val="20"/>
          <w:szCs w:val="20"/>
          <w:color w:val="auto"/>
        </w:rPr>
      </w:pPr>
      <w:r>
        <w:rPr>
          <w:rFonts w:ascii="Courier New" w:cs="Courier New" w:eastAsia="Courier New" w:hAnsi="Courier New"/>
          <w:sz w:val="18"/>
          <w:szCs w:val="18"/>
          <w:color w:val="auto"/>
        </w:rPr>
        <w:t>interest.................. -- --</w:t>
      </w:r>
    </w:p>
    <w:p>
      <w:pPr>
        <w:jc w:val="center"/>
        <w:ind w:right="6519"/>
        <w:spacing w:after="0"/>
        <w:rPr>
          <w:sz w:val="20"/>
          <w:szCs w:val="20"/>
          <w:color w:val="auto"/>
        </w:rPr>
      </w:pPr>
      <w:r>
        <w:rPr>
          <w:rFonts w:ascii="Courier New" w:cs="Courier New" w:eastAsia="Courier New" w:hAnsi="Courier New"/>
          <w:sz w:val="18"/>
          <w:szCs w:val="18"/>
          <w:color w:val="auto"/>
        </w:rPr>
        <w:t>(4) -- (4) Other,</w:t>
      </w:r>
    </w:p>
    <w:p>
      <w:pPr>
        <w:jc w:val="center"/>
        <w:ind w:right="6519"/>
        <w:spacing w:after="0" w:line="237" w:lineRule="auto"/>
        <w:rPr>
          <w:sz w:val="20"/>
          <w:szCs w:val="20"/>
          <w:color w:val="auto"/>
        </w:rPr>
      </w:pPr>
      <w:r>
        <w:rPr>
          <w:rFonts w:ascii="Courier New" w:cs="Courier New" w:eastAsia="Courier New" w:hAnsi="Courier New"/>
          <w:sz w:val="18"/>
          <w:szCs w:val="18"/>
          <w:color w:val="auto"/>
        </w:rPr>
        <w:t>net......................... -- 4</w:t>
      </w:r>
    </w:p>
    <w:p>
      <w:pPr>
        <w:ind w:left="60"/>
        <w:spacing w:after="0"/>
        <w:rPr>
          <w:sz w:val="20"/>
          <w:szCs w:val="20"/>
          <w:color w:val="auto"/>
        </w:rPr>
      </w:pPr>
      <w:r>
        <w:rPr>
          <w:rFonts w:ascii="Courier New" w:cs="Courier New" w:eastAsia="Courier New" w:hAnsi="Courier New"/>
          <w:sz w:val="18"/>
          <w:szCs w:val="18"/>
          <w:color w:val="auto"/>
        </w:rPr>
        <w:t>-- 4 ----- ----- ------ ------- --</w:t>
      </w:r>
    </w:p>
    <w:p>
      <w:pPr>
        <w:ind w:left="580" w:hanging="519"/>
        <w:spacing w:after="0" w:line="237" w:lineRule="auto"/>
        <w:tabs>
          <w:tab w:leader="none" w:pos="58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520 657 (41) (1,472) (336) --</w:t>
      </w:r>
    </w:p>
    <w:p>
      <w:pPr>
        <w:ind w:left="640" w:hanging="421"/>
        <w:spacing w:after="0" w:line="238" w:lineRule="auto"/>
        <w:tabs>
          <w:tab w:leader="none" w:pos="640"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jc w:val="center"/>
        <w:ind w:right="6519"/>
        <w:spacing w:after="0"/>
        <w:rPr>
          <w:sz w:val="20"/>
          <w:szCs w:val="20"/>
          <w:color w:val="auto"/>
        </w:rPr>
      </w:pPr>
      <w:r>
        <w:rPr>
          <w:rFonts w:ascii="Courier New" w:cs="Courier New" w:eastAsia="Courier New" w:hAnsi="Courier New"/>
          <w:sz w:val="18"/>
          <w:szCs w:val="18"/>
          <w:color w:val="auto"/>
        </w:rPr>
        <w:t>Income before income</w:t>
      </w:r>
    </w:p>
    <w:p>
      <w:pPr>
        <w:jc w:val="center"/>
        <w:ind w:right="6519"/>
        <w:spacing w:after="0" w:line="237" w:lineRule="auto"/>
        <w:rPr>
          <w:sz w:val="20"/>
          <w:szCs w:val="20"/>
          <w:color w:val="auto"/>
        </w:rPr>
      </w:pPr>
      <w:r>
        <w:rPr>
          <w:rFonts w:ascii="Courier New" w:cs="Courier New" w:eastAsia="Courier New" w:hAnsi="Courier New"/>
          <w:sz w:val="18"/>
          <w:szCs w:val="18"/>
          <w:color w:val="auto"/>
        </w:rPr>
        <w:t>taxes........... 520 657 1,220</w:t>
      </w:r>
    </w:p>
    <w:p>
      <w:pPr>
        <w:jc w:val="center"/>
        <w:ind w:right="6519"/>
        <w:spacing w:after="0" w:line="238" w:lineRule="auto"/>
        <w:rPr>
          <w:sz w:val="20"/>
          <w:szCs w:val="20"/>
          <w:color w:val="auto"/>
        </w:rPr>
      </w:pPr>
      <w:r>
        <w:rPr>
          <w:rFonts w:ascii="Courier New" w:cs="Courier New" w:eastAsia="Courier New" w:hAnsi="Courier New"/>
          <w:sz w:val="18"/>
          <w:szCs w:val="18"/>
          <w:color w:val="auto"/>
        </w:rPr>
        <w:t>(1,472) 925 Provision for (benefit</w:t>
      </w:r>
    </w:p>
    <w:p>
      <w:pPr>
        <w:jc w:val="center"/>
        <w:ind w:right="6519"/>
        <w:spacing w:after="0"/>
        <w:rPr>
          <w:sz w:val="20"/>
          <w:szCs w:val="20"/>
          <w:color w:val="auto"/>
        </w:rPr>
      </w:pPr>
      <w:r>
        <w:rPr>
          <w:rFonts w:ascii="Courier New" w:cs="Courier New" w:eastAsia="Courier New" w:hAnsi="Courier New"/>
          <w:sz w:val="18"/>
          <w:szCs w:val="18"/>
          <w:color w:val="auto"/>
        </w:rPr>
        <w:t>from) income</w:t>
      </w:r>
    </w:p>
    <w:p>
      <w:pPr>
        <w:spacing w:after="0" w:line="4"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taxes..............................</w:t>
      </w:r>
    </w:p>
    <w:p>
      <w:pPr>
        <w:spacing w:after="0" w:line="16" w:lineRule="exact"/>
        <w:rPr>
          <w:sz w:val="20"/>
          <w:szCs w:val="20"/>
          <w:color w:val="auto"/>
        </w:rPr>
      </w:pPr>
    </w:p>
    <w:p>
      <w:pPr>
        <w:ind w:left="580" w:hanging="519"/>
        <w:spacing w:after="0"/>
        <w:tabs>
          <w:tab w:leader="none" w:pos="58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(42) 448 -- 340 ----- ----- -</w:t>
      </w:r>
    </w:p>
    <w:p>
      <w:pPr>
        <w:spacing w:after="0" w:line="4" w:lineRule="exact"/>
        <w:rPr>
          <w:rFonts w:ascii="Courier New" w:cs="Courier New" w:eastAsia="Courier New" w:hAnsi="Courier New"/>
          <w:sz w:val="18"/>
          <w:szCs w:val="18"/>
          <w:color w:val="auto"/>
        </w:rPr>
      </w:pPr>
    </w:p>
    <w:p>
      <w:pPr>
        <w:jc w:val="center"/>
        <w:ind w:left="120" w:right="6579" w:hanging="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 ------ Income before extraordinary item and cumulative effect of change in accounting</w:t>
      </w:r>
    </w:p>
    <w:p>
      <w:pPr>
        <w:ind w:left="160"/>
        <w:spacing w:after="0"/>
        <w:tabs>
          <w:tab w:leader="dot" w:pos="2780" w:val="left"/>
        </w:tabs>
        <w:rPr>
          <w:sz w:val="20"/>
          <w:szCs w:val="20"/>
          <w:color w:val="auto"/>
        </w:rPr>
      </w:pPr>
      <w:r>
        <w:rPr>
          <w:rFonts w:ascii="Courier New" w:cs="Courier New" w:eastAsia="Courier New" w:hAnsi="Courier New"/>
          <w:sz w:val="18"/>
          <w:szCs w:val="18"/>
          <w:color w:val="auto"/>
        </w:rPr>
        <w:t>principle</w:t>
      </w:r>
      <w:r>
        <w:rPr>
          <w:sz w:val="20"/>
          <w:szCs w:val="20"/>
          <w:color w:val="auto"/>
        </w:rPr>
        <w:tab/>
      </w:r>
      <w:r>
        <w:rPr>
          <w:rFonts w:ascii="Courier New" w:cs="Courier New" w:eastAsia="Courier New" w:hAnsi="Courier New"/>
          <w:sz w:val="16"/>
          <w:szCs w:val="16"/>
          <w:color w:val="auto"/>
        </w:rPr>
        <w:t>586 699</w:t>
      </w:r>
    </w:p>
    <w:p>
      <w:pPr>
        <w:ind w:left="320"/>
        <w:spacing w:after="0"/>
        <w:rPr>
          <w:sz w:val="20"/>
          <w:szCs w:val="20"/>
          <w:color w:val="auto"/>
        </w:rPr>
      </w:pPr>
      <w:r>
        <w:rPr>
          <w:rFonts w:ascii="Courier New" w:cs="Courier New" w:eastAsia="Courier New" w:hAnsi="Courier New"/>
          <w:sz w:val="18"/>
          <w:szCs w:val="18"/>
          <w:color w:val="auto"/>
        </w:rPr>
        <w:t>772 (1,472) 585 Extraordinary</w:t>
      </w:r>
    </w:p>
    <w:p>
      <w:pPr>
        <w:ind w:left="120"/>
        <w:spacing w:after="0"/>
        <w:tabs>
          <w:tab w:leader="dot" w:pos="262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6"/>
          <w:szCs w:val="16"/>
          <w:color w:val="auto"/>
        </w:rPr>
        <w:t>-- -- (1)</w:t>
      </w:r>
    </w:p>
    <w:p>
      <w:pPr>
        <w:ind w:left="60"/>
        <w:spacing w:after="0"/>
        <w:rPr>
          <w:sz w:val="20"/>
          <w:szCs w:val="20"/>
          <w:color w:val="auto"/>
        </w:rPr>
      </w:pPr>
      <w:r>
        <w:rPr>
          <w:rFonts w:ascii="Courier New" w:cs="Courier New" w:eastAsia="Courier New" w:hAnsi="Courier New"/>
          <w:sz w:val="18"/>
          <w:szCs w:val="18"/>
          <w:color w:val="auto"/>
        </w:rPr>
        <w:t>-- (1) Cumulative effect of change</w:t>
      </w:r>
    </w:p>
    <w:p>
      <w:pPr>
        <w:ind w:left="1160"/>
        <w:spacing w:after="0" w:line="237" w:lineRule="auto"/>
        <w:rPr>
          <w:sz w:val="20"/>
          <w:szCs w:val="20"/>
          <w:color w:val="auto"/>
        </w:rPr>
      </w:pPr>
      <w:r>
        <w:rPr>
          <w:rFonts w:ascii="Courier New" w:cs="Courier New" w:eastAsia="Courier New" w:hAnsi="Courier New"/>
          <w:sz w:val="18"/>
          <w:szCs w:val="18"/>
          <w:color w:val="auto"/>
        </w:rPr>
        <w:t>in accounting</w:t>
      </w:r>
    </w:p>
    <w:p>
      <w:pPr>
        <w:ind w:left="60"/>
        <w:spacing w:after="0"/>
        <w:tabs>
          <w:tab w:leader="dot" w:pos="2680" w:val="left"/>
        </w:tabs>
        <w:rPr>
          <w:sz w:val="20"/>
          <w:szCs w:val="20"/>
          <w:color w:val="auto"/>
        </w:rPr>
      </w:pPr>
      <w:r>
        <w:rPr>
          <w:rFonts w:ascii="Courier New" w:cs="Courier New" w:eastAsia="Courier New" w:hAnsi="Courier New"/>
          <w:sz w:val="18"/>
          <w:szCs w:val="18"/>
          <w:color w:val="auto"/>
        </w:rPr>
        <w:t>principle</w:t>
      </w:r>
      <w:r>
        <w:rPr>
          <w:sz w:val="20"/>
          <w:szCs w:val="20"/>
          <w:color w:val="auto"/>
        </w:rPr>
        <w:tab/>
      </w:r>
      <w:r>
        <w:rPr>
          <w:rFonts w:ascii="Courier New" w:cs="Courier New" w:eastAsia="Courier New" w:hAnsi="Courier New"/>
          <w:sz w:val="16"/>
          <w:szCs w:val="16"/>
          <w:color w:val="auto"/>
        </w:rPr>
        <w:t>-- -- 2 -</w:t>
      </w:r>
    </w:p>
    <w:p>
      <w:pPr>
        <w:ind w:left="280" w:hanging="219"/>
        <w:spacing w:after="0" w:line="237" w:lineRule="auto"/>
        <w:tabs>
          <w:tab w:leader="none" w:pos="28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2 ----- ----- ------ ------- ---</w:t>
      </w:r>
    </w:p>
    <w:p>
      <w:pPr>
        <w:ind w:left="1900" w:hanging="417"/>
        <w:spacing w:after="0" w:line="238" w:lineRule="auto"/>
        <w:tabs>
          <w:tab w:leader="none" w:pos="1900"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w:t>
      </w:r>
    </w:p>
    <w:p>
      <w:pPr>
        <w:ind w:left="120"/>
        <w:spacing w:after="0"/>
        <w:rPr>
          <w:sz w:val="20"/>
          <w:szCs w:val="20"/>
          <w:color w:val="auto"/>
        </w:rPr>
      </w:pPr>
      <w:r>
        <w:rPr>
          <w:rFonts w:ascii="Courier New" w:cs="Courier New" w:eastAsia="Courier New" w:hAnsi="Courier New"/>
          <w:sz w:val="18"/>
          <w:szCs w:val="18"/>
          <w:color w:val="auto"/>
        </w:rPr>
        <w:t>income...........................</w:t>
      </w:r>
    </w:p>
    <w:p>
      <w:pPr>
        <w:ind w:left="380" w:hanging="214"/>
        <w:spacing w:after="0" w:line="237" w:lineRule="auto"/>
        <w:tabs>
          <w:tab w:leader="none" w:pos="38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586 $ 699 $ 773 $(1,472) $ 586</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NINE MONTHS ENDED SEPTEMBER 30, 2001</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PARENT GUARANTOR NON-GUARANTORS</w:t>
      </w:r>
    </w:p>
    <w:tbl>
      <w:tblPr>
        <w:tblLayout w:type="fixed"/>
        <w:tblInd w:w="60" w:type="dxa"/>
        <w:tblCellMar>
          <w:top w:w="0" w:type="dxa"/>
          <w:left w:w="0" w:type="dxa"/>
          <w:bottom w:w="0" w:type="dxa"/>
          <w:right w:w="0" w:type="dxa"/>
        </w:tblCellMar>
      </w:tblPr>
      <w:tr>
        <w:trPr>
          <w:trHeight w:val="203"/>
        </w:trPr>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ELIMINATIONS CONSOLIDATED</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 -</w:t>
            </w:r>
          </w:p>
        </w:tc>
      </w:tr>
      <w:tr>
        <w:trPr>
          <w:trHeight w:val="203"/>
        </w:trPr>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 ----------</w:t>
            </w:r>
          </w:p>
        </w:tc>
      </w:tr>
      <w:tr>
        <w:trPr>
          <w:trHeight w:val="203"/>
        </w:trPr>
        <w:tc>
          <w:tcPr>
            <w:tcW w:w="35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 ------------ Operating</w:t>
            </w:r>
          </w:p>
        </w:tc>
      </w:tr>
      <w:tr>
        <w:trPr>
          <w:trHeight w:val="203"/>
        </w:trPr>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revenues...................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3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$8,531 $ -- $8,531 Costs and</w:t>
            </w:r>
          </w:p>
        </w:tc>
      </w:tr>
      <w:tr>
        <w:trPr>
          <w:trHeight w:val="203"/>
        </w:trPr>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expenses...................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ind w:left="120"/>
        <w:spacing w:after="0" w:line="238" w:lineRule="auto"/>
        <w:rPr>
          <w:sz w:val="20"/>
          <w:szCs w:val="20"/>
          <w:color w:val="auto"/>
        </w:rPr>
      </w:pPr>
      <w:r>
        <w:rPr>
          <w:rFonts w:ascii="Courier New" w:cs="Courier New" w:eastAsia="Courier New" w:hAnsi="Courier New"/>
          <w:sz w:val="18"/>
          <w:szCs w:val="18"/>
          <w:color w:val="auto"/>
        </w:rPr>
        <w:t>7,631 -- 7,631 ----- ----- ------</w:t>
      </w:r>
    </w:p>
    <w:p>
      <w:pPr>
        <w:ind w:left="480"/>
        <w:spacing w:after="0"/>
        <w:rPr>
          <w:sz w:val="20"/>
          <w:szCs w:val="20"/>
          <w:color w:val="auto"/>
        </w:rPr>
      </w:pPr>
      <w:r>
        <w:rPr>
          <w:rFonts w:ascii="Courier New" w:cs="Courier New" w:eastAsia="Courier New" w:hAnsi="Courier New"/>
          <w:sz w:val="18"/>
          <w:szCs w:val="18"/>
          <w:color w:val="auto"/>
        </w:rPr>
        <w:t>------- ------ Income from</w:t>
      </w:r>
    </w:p>
    <w:p>
      <w:pPr>
        <w:ind w:left="220"/>
        <w:spacing w:after="0" w:line="237" w:lineRule="auto"/>
        <w:rPr>
          <w:sz w:val="20"/>
          <w:szCs w:val="20"/>
          <w:color w:val="auto"/>
        </w:rPr>
      </w:pPr>
      <w:r>
        <w:rPr>
          <w:rFonts w:ascii="Courier New" w:cs="Courier New" w:eastAsia="Courier New" w:hAnsi="Courier New"/>
          <w:sz w:val="18"/>
          <w:szCs w:val="18"/>
          <w:color w:val="auto"/>
        </w:rPr>
        <w:t>operations............... -- --</w:t>
      </w:r>
    </w:p>
    <w:p>
      <w:pPr>
        <w:ind w:left="60"/>
        <w:spacing w:after="0" w:line="238" w:lineRule="auto"/>
        <w:rPr>
          <w:sz w:val="20"/>
          <w:szCs w:val="20"/>
          <w:color w:val="auto"/>
        </w:rPr>
      </w:pPr>
      <w:r>
        <w:rPr>
          <w:rFonts w:ascii="Courier New" w:cs="Courier New" w:eastAsia="Courier New" w:hAnsi="Courier New"/>
          <w:sz w:val="18"/>
          <w:szCs w:val="18"/>
          <w:color w:val="auto"/>
        </w:rPr>
        <w:t>900 -- 900 ----- ----- ------ ----</w:t>
      </w:r>
    </w:p>
    <w:p>
      <w:pPr>
        <w:ind w:left="60"/>
        <w:spacing w:after="0"/>
        <w:rPr>
          <w:sz w:val="20"/>
          <w:szCs w:val="20"/>
          <w:color w:val="auto"/>
        </w:rPr>
      </w:pPr>
      <w:r>
        <w:rPr>
          <w:rFonts w:ascii="Courier New" w:cs="Courier New" w:eastAsia="Courier New" w:hAnsi="Courier New"/>
          <w:sz w:val="18"/>
          <w:szCs w:val="18"/>
          <w:color w:val="auto"/>
        </w:rPr>
        <w:t>--- ------ Other income (expense):</w:t>
      </w:r>
    </w:p>
    <w:p>
      <w:pPr>
        <w:ind w:left="480"/>
        <w:spacing w:after="0" w:line="237" w:lineRule="auto"/>
        <w:rPr>
          <w:sz w:val="20"/>
          <w:szCs w:val="20"/>
          <w:color w:val="auto"/>
        </w:rPr>
      </w:pPr>
      <w:r>
        <w:rPr>
          <w:rFonts w:ascii="Courier New" w:cs="Courier New" w:eastAsia="Courier New" w:hAnsi="Courier New"/>
          <w:sz w:val="18"/>
          <w:szCs w:val="18"/>
          <w:color w:val="auto"/>
        </w:rPr>
        <w:t>Interest income (expense),</w:t>
      </w:r>
    </w:p>
    <w:p>
      <w:pPr>
        <w:ind w:left="60"/>
        <w:spacing w:after="0"/>
        <w:rPr>
          <w:sz w:val="20"/>
          <w:szCs w:val="20"/>
          <w:color w:val="auto"/>
        </w:rPr>
      </w:pPr>
      <w:r>
        <w:rPr>
          <w:rFonts w:ascii="Courier New" w:cs="Courier New" w:eastAsia="Courier New" w:hAnsi="Courier New"/>
          <w:sz w:val="18"/>
          <w:szCs w:val="18"/>
          <w:color w:val="auto"/>
        </w:rPr>
        <w:t>net..... (215) (143) (33) -- (391)</w:t>
      </w:r>
    </w:p>
    <w:p>
      <w:pPr>
        <w:ind w:left="280"/>
        <w:spacing w:after="0" w:line="237" w:lineRule="auto"/>
        <w:rPr>
          <w:sz w:val="20"/>
          <w:szCs w:val="20"/>
          <w:color w:val="auto"/>
        </w:rPr>
      </w:pPr>
      <w:r>
        <w:rPr>
          <w:rFonts w:ascii="Courier New" w:cs="Courier New" w:eastAsia="Courier New" w:hAnsi="Courier New"/>
          <w:sz w:val="18"/>
          <w:szCs w:val="18"/>
          <w:color w:val="auto"/>
        </w:rPr>
        <w:t>Equity in subsidiaries, net of</w:t>
      </w:r>
    </w:p>
    <w:p>
      <w:pPr>
        <w:ind w:left="160"/>
        <w:spacing w:after="0"/>
        <w:rPr>
          <w:sz w:val="20"/>
          <w:szCs w:val="20"/>
          <w:color w:val="auto"/>
        </w:rPr>
      </w:pPr>
      <w:r>
        <w:rPr>
          <w:rFonts w:ascii="Courier New" w:cs="Courier New" w:eastAsia="Courier New" w:hAnsi="Courier New"/>
          <w:sz w:val="18"/>
          <w:szCs w:val="18"/>
          <w:color w:val="auto"/>
        </w:rPr>
        <w:t>taxes...........................</w:t>
      </w:r>
    </w:p>
    <w:p>
      <w:pPr>
        <w:ind w:left="280"/>
        <w:spacing w:after="0" w:line="237" w:lineRule="auto"/>
        <w:rPr>
          <w:sz w:val="20"/>
          <w:szCs w:val="20"/>
          <w:color w:val="auto"/>
        </w:rPr>
      </w:pPr>
      <w:r>
        <w:rPr>
          <w:rFonts w:ascii="Courier New" w:cs="Courier New" w:eastAsia="Courier New" w:hAnsi="Courier New"/>
          <w:sz w:val="18"/>
          <w:szCs w:val="18"/>
          <w:color w:val="auto"/>
        </w:rPr>
        <w:t>481 571 -- (1,052) -- Minority</w:t>
      </w:r>
    </w:p>
    <w:tbl>
      <w:tblPr>
        <w:tblLayout w:type="fixed"/>
        <w:tblInd w:w="60" w:type="dxa"/>
        <w:tblCellMar>
          <w:top w:w="0" w:type="dxa"/>
          <w:left w:w="0" w:type="dxa"/>
          <w:bottom w:w="0" w:type="dxa"/>
          <w:right w:w="0" w:type="dxa"/>
        </w:tblCellMar>
      </w:tblPr>
      <w:tr>
        <w:trPr>
          <w:trHeight w:val="203"/>
        </w:trPr>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interest..................</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203"/>
        </w:trPr>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 --</w:t>
            </w:r>
          </w:p>
        </w:tc>
        <w:tc>
          <w:tcPr>
            <w:tcW w:w="1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(3) Other,</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15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net.........................</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7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9 -- 9 ----- ----- ------</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20" w:type="dxa"/>
            <w:vAlign w:val="bottom"/>
          </w:tcPr>
          <w:p>
            <w:pPr>
              <w:jc w:val="right"/>
              <w:ind w:right="40"/>
              <w:spacing w:after="0" w:line="203" w:lineRule="exact"/>
              <w:rPr>
                <w:sz w:val="20"/>
                <w:szCs w:val="20"/>
                <w:color w:val="auto"/>
              </w:rPr>
            </w:pPr>
            <w:r>
              <w:rPr>
                <w:rFonts w:ascii="Courier New" w:cs="Courier New" w:eastAsia="Courier New" w:hAnsi="Courier New"/>
                <w:sz w:val="18"/>
                <w:szCs w:val="18"/>
                <w:color w:val="auto"/>
                <w:w w:val="99"/>
              </w:rPr>
              <w:t>------ 266</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428</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(27)</w:t>
            </w:r>
          </w:p>
        </w:tc>
        <w:tc>
          <w:tcPr>
            <w:tcW w:w="8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(1,052)</w:t>
            </w:r>
          </w:p>
        </w:tc>
        <w:tc>
          <w:tcPr>
            <w:tcW w:w="6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w:t>
            </w:r>
          </w:p>
        </w:tc>
      </w:tr>
    </w:tbl>
    <w:p>
      <w:pPr>
        <w:sectPr>
          <w:pgSz w:w="11900" w:h="16838" w:orient="portrait"/>
          <w:cols w:equalWidth="0" w:num="1">
            <w:col w:w="10219"/>
          </w:cols>
          <w:pgMar w:left="240" w:top="514" w:right="1440" w:bottom="0" w:gutter="0" w:footer="0" w:header="0"/>
        </w:sectPr>
      </w:pPr>
    </w:p>
    <w:bookmarkStart w:id="30" w:name="page31"/>
    <w:bookmarkEnd w:id="30"/>
    <w:p>
      <w:pPr>
        <w:ind w:left="740" w:hanging="627"/>
        <w:spacing w:after="0"/>
        <w:tabs>
          <w:tab w:leader="none" w:pos="7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Income before income</w:t>
      </w:r>
    </w:p>
    <w:tbl>
      <w:tblPr>
        <w:tblLayout w:type="fixed"/>
        <w:tblInd w:w="380" w:type="dxa"/>
        <w:tblCellMar>
          <w:top w:w="0" w:type="dxa"/>
          <w:left w:w="0" w:type="dxa"/>
          <w:bottom w:w="0" w:type="dxa"/>
          <w:right w:w="0" w:type="dxa"/>
        </w:tblCellMar>
      </w:tblPr>
      <w:tr>
        <w:trPr>
          <w:trHeight w:val="203"/>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taxes...........</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w w:val="99"/>
              </w:rPr>
              <w:t>266 428 873</w:t>
            </w:r>
          </w:p>
        </w:tc>
      </w:tr>
    </w:tbl>
    <w:p>
      <w:pPr>
        <w:jc w:val="center"/>
        <w:ind w:right="6519"/>
        <w:spacing w:after="0" w:line="238" w:lineRule="auto"/>
        <w:rPr>
          <w:sz w:val="20"/>
          <w:szCs w:val="20"/>
          <w:color w:val="auto"/>
        </w:rPr>
      </w:pPr>
      <w:r>
        <w:rPr>
          <w:rFonts w:ascii="Courier New" w:cs="Courier New" w:eastAsia="Courier New" w:hAnsi="Courier New"/>
          <w:sz w:val="18"/>
          <w:szCs w:val="18"/>
          <w:color w:val="auto"/>
        </w:rPr>
        <w:t>(1,052) 515 Provision for (benefit</w:t>
      </w:r>
    </w:p>
    <w:p>
      <w:pPr>
        <w:jc w:val="center"/>
        <w:ind w:right="6519"/>
        <w:spacing w:after="0"/>
        <w:rPr>
          <w:sz w:val="20"/>
          <w:szCs w:val="20"/>
          <w:color w:val="auto"/>
        </w:rPr>
      </w:pPr>
      <w:r>
        <w:rPr>
          <w:rFonts w:ascii="Courier New" w:cs="Courier New" w:eastAsia="Courier New" w:hAnsi="Courier New"/>
          <w:sz w:val="18"/>
          <w:szCs w:val="18"/>
          <w:color w:val="auto"/>
        </w:rPr>
        <w:t>from) income</w:t>
      </w:r>
    </w:p>
    <w:p>
      <w:pPr>
        <w:spacing w:after="0" w:line="237" w:lineRule="auto"/>
        <w:rPr>
          <w:sz w:val="20"/>
          <w:szCs w:val="20"/>
          <w:color w:val="auto"/>
        </w:rPr>
      </w:pPr>
      <w:r>
        <w:rPr>
          <w:rFonts w:ascii="Courier New" w:cs="Courier New" w:eastAsia="Courier New" w:hAnsi="Courier New"/>
          <w:sz w:val="18"/>
          <w:szCs w:val="18"/>
          <w:color w:val="auto"/>
        </w:rPr>
        <w:t>taxes..............................</w:t>
      </w:r>
    </w:p>
    <w:p>
      <w:pPr>
        <w:ind w:left="580" w:hanging="519"/>
        <w:spacing w:after="0" w:line="238" w:lineRule="auto"/>
        <w:tabs>
          <w:tab w:leader="none" w:pos="5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(53) 303 -- 170 ----- ----- -</w:t>
      </w:r>
    </w:p>
    <w:p>
      <w:pPr>
        <w:spacing w:after="0" w:line="4" w:lineRule="exact"/>
        <w:rPr>
          <w:rFonts w:ascii="Courier New" w:cs="Courier New" w:eastAsia="Courier New" w:hAnsi="Courier New"/>
          <w:sz w:val="18"/>
          <w:szCs w:val="18"/>
          <w:color w:val="auto"/>
        </w:rPr>
      </w:pPr>
    </w:p>
    <w:p>
      <w:pPr>
        <w:jc w:val="center"/>
        <w:ind w:left="120" w:right="6579" w:hanging="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 ------ Income before extraordinary item and cumulative effect of change in accounting</w:t>
      </w:r>
    </w:p>
    <w:p>
      <w:pPr>
        <w:ind w:left="160"/>
        <w:spacing w:after="0"/>
        <w:tabs>
          <w:tab w:leader="dot" w:pos="2780" w:val="left"/>
        </w:tabs>
        <w:rPr>
          <w:sz w:val="20"/>
          <w:szCs w:val="20"/>
          <w:color w:val="auto"/>
        </w:rPr>
      </w:pPr>
      <w:r>
        <w:rPr>
          <w:rFonts w:ascii="Courier New" w:cs="Courier New" w:eastAsia="Courier New" w:hAnsi="Courier New"/>
          <w:sz w:val="18"/>
          <w:szCs w:val="18"/>
          <w:color w:val="auto"/>
        </w:rPr>
        <w:t>principle</w:t>
      </w:r>
      <w:r>
        <w:rPr>
          <w:sz w:val="20"/>
          <w:szCs w:val="20"/>
          <w:color w:val="auto"/>
        </w:rPr>
        <w:tab/>
      </w:r>
      <w:r>
        <w:rPr>
          <w:rFonts w:ascii="Courier New" w:cs="Courier New" w:eastAsia="Courier New" w:hAnsi="Courier New"/>
          <w:sz w:val="16"/>
          <w:szCs w:val="16"/>
          <w:color w:val="auto"/>
        </w:rPr>
        <w:t>346 481</w:t>
      </w:r>
    </w:p>
    <w:p>
      <w:pPr>
        <w:ind w:left="320"/>
        <w:spacing w:after="0"/>
        <w:rPr>
          <w:sz w:val="20"/>
          <w:szCs w:val="20"/>
          <w:color w:val="auto"/>
        </w:rPr>
      </w:pPr>
      <w:r>
        <w:rPr>
          <w:rFonts w:ascii="Courier New" w:cs="Courier New" w:eastAsia="Courier New" w:hAnsi="Courier New"/>
          <w:sz w:val="18"/>
          <w:szCs w:val="18"/>
          <w:color w:val="auto"/>
        </w:rPr>
        <w:t>570 (1,052) 345 Extraordinary</w:t>
      </w:r>
    </w:p>
    <w:p>
      <w:pPr>
        <w:ind w:left="60"/>
        <w:spacing w:after="0"/>
        <w:tabs>
          <w:tab w:leader="dot" w:pos="256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6"/>
          <w:szCs w:val="16"/>
          <w:color w:val="auto"/>
        </w:rPr>
        <w:t>(1) -- (1)</w:t>
      </w:r>
    </w:p>
    <w:p>
      <w:pPr>
        <w:spacing w:after="0" w:line="5" w:lineRule="exact"/>
        <w:rPr>
          <w:sz w:val="20"/>
          <w:szCs w:val="20"/>
          <w:color w:val="auto"/>
        </w:rPr>
      </w:pPr>
    </w:p>
    <w:p>
      <w:pPr>
        <w:ind w:left="1160" w:right="6579" w:hanging="1099"/>
        <w:spacing w:after="0" w:line="235" w:lineRule="auto"/>
        <w:tabs>
          <w:tab w:leader="none" w:pos="37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(2) Cumulative effect of change in accounting</w:t>
      </w:r>
    </w:p>
    <w:p>
      <w:pPr>
        <w:jc w:val="center"/>
        <w:ind w:right="6519"/>
        <w:spacing w:after="0"/>
        <w:rPr>
          <w:sz w:val="20"/>
          <w:szCs w:val="20"/>
          <w:color w:val="auto"/>
        </w:rPr>
      </w:pPr>
      <w:r>
        <w:rPr>
          <w:rFonts w:ascii="Courier New" w:cs="Courier New" w:eastAsia="Courier New" w:hAnsi="Courier New"/>
          <w:sz w:val="18"/>
          <w:szCs w:val="18"/>
          <w:color w:val="auto"/>
        </w:rPr>
        <w:t>principle............... -- -- 2 -</w:t>
      </w:r>
    </w:p>
    <w:p>
      <w:pPr>
        <w:jc w:val="center"/>
        <w:ind w:right="6519"/>
        <w:spacing w:after="0" w:line="238" w:lineRule="auto"/>
        <w:rPr>
          <w:sz w:val="20"/>
          <w:szCs w:val="20"/>
          <w:color w:val="auto"/>
        </w:rPr>
      </w:pPr>
      <w:r>
        <w:rPr>
          <w:rFonts w:ascii="Courier New" w:cs="Courier New" w:eastAsia="Courier New" w:hAnsi="Courier New"/>
          <w:sz w:val="18"/>
          <w:szCs w:val="18"/>
          <w:color w:val="auto"/>
        </w:rPr>
        <w:t>- 2 ----- ----- ------ ------- ---</w:t>
      </w:r>
    </w:p>
    <w:p>
      <w:pPr>
        <w:jc w:val="center"/>
        <w:ind w:right="6519"/>
        <w:spacing w:after="0"/>
        <w:rPr>
          <w:sz w:val="20"/>
          <w:szCs w:val="20"/>
          <w:color w:val="auto"/>
        </w:rPr>
      </w:pPr>
      <w:r>
        <w:rPr>
          <w:rFonts w:ascii="Courier New" w:cs="Courier New" w:eastAsia="Courier New" w:hAnsi="Courier New"/>
          <w:sz w:val="18"/>
          <w:szCs w:val="18"/>
          <w:color w:val="auto"/>
        </w:rPr>
        <w:t>--- Net</w:t>
      </w:r>
    </w:p>
    <w:p>
      <w:pPr>
        <w:jc w:val="center"/>
        <w:ind w:right="6519"/>
        <w:spacing w:after="0" w:line="237" w:lineRule="auto"/>
        <w:rPr>
          <w:sz w:val="20"/>
          <w:szCs w:val="20"/>
          <w:color w:val="auto"/>
        </w:rPr>
      </w:pPr>
      <w:r>
        <w:rPr>
          <w:rFonts w:ascii="Courier New" w:cs="Courier New" w:eastAsia="Courier New" w:hAnsi="Courier New"/>
          <w:sz w:val="18"/>
          <w:szCs w:val="18"/>
          <w:color w:val="auto"/>
        </w:rPr>
        <w:t>income...........................</w:t>
      </w:r>
    </w:p>
    <w:p>
      <w:pPr>
        <w:ind w:left="380" w:hanging="214"/>
        <w:spacing w:after="0" w:line="238" w:lineRule="auto"/>
        <w:tabs>
          <w:tab w:leader="none" w:pos="38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345 $ 481 $ 571 $(1,052) $ 345</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136" w:right="1440" w:bottom="1440" w:gutter="0" w:footer="0" w:header="0"/>
        </w:sectPr>
      </w:pPr>
    </w:p>
    <w:bookmarkStart w:id="31" w:name="page32"/>
    <w:bookmarkEnd w:id="31"/>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CONDENSED CONSOLIDATING STATEMENTS OF CASH FLOWS</w:t>
      </w:r>
    </w:p>
    <w:p>
      <w:pPr>
        <w:jc w:val="center"/>
        <w:ind w:right="1779"/>
        <w:spacing w:after="0" w:line="238" w:lineRule="auto"/>
        <w:rPr>
          <w:sz w:val="20"/>
          <w:szCs w:val="20"/>
          <w:color w:val="auto"/>
        </w:rPr>
      </w:pPr>
      <w:r>
        <w:rPr>
          <w:rFonts w:ascii="Courier New" w:cs="Courier New" w:eastAsia="Courier New" w:hAnsi="Courier New"/>
          <w:sz w:val="18"/>
          <w:szCs w:val="18"/>
          <w:color w:val="auto"/>
        </w:rPr>
        <w:t>NINE MONTHS ENDED SEPTEMBER 30, 2002</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8"/>
          <w:szCs w:val="18"/>
          <w:color w:val="auto"/>
        </w:rPr>
        <w:t>PARENT GUARANTOR NON-GUARANTORS ELIMINATIONS</w:t>
      </w:r>
    </w:p>
    <w:p>
      <w:pPr>
        <w:ind w:left="60"/>
        <w:spacing w:after="0" w:line="238" w:lineRule="auto"/>
        <w:rPr>
          <w:sz w:val="20"/>
          <w:szCs w:val="20"/>
          <w:color w:val="auto"/>
        </w:rPr>
      </w:pPr>
      <w:r>
        <w:rPr>
          <w:rFonts w:ascii="Courier New" w:cs="Courier New" w:eastAsia="Courier New" w:hAnsi="Courier New"/>
          <w:sz w:val="18"/>
          <w:szCs w:val="18"/>
          <w:color w:val="auto"/>
        </w:rPr>
        <w:t>CONSOLIDATED ------ --------- -------------- -------</w:t>
      </w:r>
    </w:p>
    <w:p>
      <w:pPr>
        <w:spacing w:after="0" w:line="5" w:lineRule="exact"/>
        <w:rPr>
          <w:sz w:val="20"/>
          <w:szCs w:val="20"/>
          <w:color w:val="auto"/>
        </w:rPr>
      </w:pPr>
    </w:p>
    <w:p>
      <w:pPr>
        <w:ind w:left="2000" w:right="5099" w:hanging="1521"/>
        <w:spacing w:after="0" w:line="235" w:lineRule="auto"/>
        <w:tabs>
          <w:tab w:leader="none" w:pos="1104"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Cash flows from operating activities: Net</w:t>
      </w:r>
    </w:p>
    <w:p>
      <w:pPr>
        <w:ind w:left="220"/>
        <w:spacing w:after="0"/>
        <w:rPr>
          <w:sz w:val="20"/>
          <w:szCs w:val="20"/>
          <w:color w:val="auto"/>
        </w:rPr>
      </w:pPr>
      <w:r>
        <w:rPr>
          <w:rFonts w:ascii="Courier New" w:cs="Courier New" w:eastAsia="Courier New" w:hAnsi="Courier New"/>
          <w:sz w:val="18"/>
          <w:szCs w:val="18"/>
          <w:color w:val="auto"/>
        </w:rPr>
        <w:t>income...........................................</w:t>
      </w:r>
    </w:p>
    <w:p>
      <w:pPr>
        <w:ind w:left="60"/>
        <w:spacing w:after="0" w:line="238" w:lineRule="auto"/>
        <w:rPr>
          <w:sz w:val="20"/>
          <w:szCs w:val="20"/>
          <w:color w:val="auto"/>
        </w:rPr>
      </w:pPr>
      <w:r>
        <w:rPr>
          <w:rFonts w:ascii="Courier New" w:cs="Courier New" w:eastAsia="Courier New" w:hAnsi="Courier New"/>
          <w:sz w:val="18"/>
          <w:szCs w:val="18"/>
          <w:color w:val="auto"/>
        </w:rPr>
        <w:t>$586 $699 $ 773 $(1,472) $ 586 Equity in earnings of</w:t>
      </w:r>
    </w:p>
    <w:tbl>
      <w:tblPr>
        <w:tblLayout w:type="fixed"/>
        <w:tblInd w:w="60" w:type="dxa"/>
        <w:tblCellMar>
          <w:top w:w="0" w:type="dxa"/>
          <w:left w:w="0" w:type="dxa"/>
          <w:bottom w:w="0" w:type="dxa"/>
          <w:right w:w="0" w:type="dxa"/>
        </w:tblCellMar>
      </w:tblPr>
      <w:tr>
        <w:trPr>
          <w:trHeight w:val="203"/>
        </w:trPr>
        <w:tc>
          <w:tcPr>
            <w:tcW w:w="3320" w:type="dxa"/>
            <w:vAlign w:val="bottom"/>
          </w:tcPr>
          <w:p>
            <w:pPr>
              <w:spacing w:after="0"/>
              <w:rPr>
                <w:sz w:val="20"/>
                <w:szCs w:val="20"/>
                <w:color w:val="auto"/>
              </w:rPr>
            </w:pPr>
            <w:r>
              <w:rPr>
                <w:rFonts w:ascii="Courier New" w:cs="Courier New" w:eastAsia="Courier New" w:hAnsi="Courier New"/>
                <w:sz w:val="18"/>
                <w:szCs w:val="18"/>
                <w:color w:val="auto"/>
                <w:w w:val="98"/>
              </w:rPr>
              <w:t>subsidiaries, net of taxes.....</w:t>
            </w:r>
          </w:p>
        </w:tc>
        <w:tc>
          <w:tcPr>
            <w:tcW w:w="2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(699) (773) -- 1,472</w:t>
            </w:r>
          </w:p>
        </w:tc>
      </w:tr>
      <w:tr>
        <w:trPr>
          <w:trHeight w:val="203"/>
        </w:trPr>
        <w:tc>
          <w:tcPr>
            <w:tcW w:w="4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Other adjustments and</w:t>
            </w:r>
          </w:p>
        </w:tc>
        <w:tc>
          <w:tcPr>
            <w:tcW w:w="142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charges........................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 (5)</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897 -- 941 --</w:t>
            </w:r>
          </w:p>
        </w:tc>
      </w:tr>
    </w:tbl>
    <w:p>
      <w:pPr>
        <w:ind w:left="160"/>
        <w:spacing w:after="0" w:line="238" w:lineRule="auto"/>
        <w:rPr>
          <w:sz w:val="20"/>
          <w:szCs w:val="20"/>
          <w:color w:val="auto"/>
        </w:rPr>
      </w:pPr>
      <w:r>
        <w:rPr>
          <w:rFonts w:ascii="Courier New" w:cs="Courier New" w:eastAsia="Courier New" w:hAnsi="Courier New"/>
          <w:sz w:val="18"/>
          <w:szCs w:val="18"/>
          <w:color w:val="auto"/>
        </w:rPr>
        <w:t>-- ---- ------ ------- ------ Net cash provided by</w:t>
      </w:r>
    </w:p>
    <w:tbl>
      <w:tblPr>
        <w:tblLayout w:type="fixed"/>
        <w:tblInd w:w="60" w:type="dxa"/>
        <w:tblCellMar>
          <w:top w:w="0" w:type="dxa"/>
          <w:left w:w="0" w:type="dxa"/>
          <w:bottom w:w="0" w:type="dxa"/>
          <w:right w:w="0" w:type="dxa"/>
        </w:tblCellMar>
      </w:tblPr>
      <w:tr>
        <w:trPr>
          <w:trHeight w:val="203"/>
        </w:trPr>
        <w:tc>
          <w:tcPr>
            <w:tcW w:w="3640" w:type="dxa"/>
            <w:vAlign w:val="bottom"/>
          </w:tcPr>
          <w:p>
            <w:pPr>
              <w:spacing w:after="0"/>
              <w:rPr>
                <w:sz w:val="20"/>
                <w:szCs w:val="20"/>
                <w:color w:val="auto"/>
              </w:rPr>
            </w:pPr>
            <w:r>
              <w:rPr>
                <w:rFonts w:ascii="Courier New" w:cs="Courier New" w:eastAsia="Courier New" w:hAnsi="Courier New"/>
                <w:sz w:val="18"/>
                <w:szCs w:val="18"/>
                <w:color w:val="auto"/>
                <w:w w:val="98"/>
              </w:rPr>
              <w:t>(used in) operating activities....</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w w:val="99"/>
              </w:rPr>
              <w:t>(64) (79) 1,670 -</w:t>
            </w:r>
          </w:p>
        </w:tc>
      </w:tr>
    </w:tbl>
    <w:p>
      <w:pPr>
        <w:ind w:left="160"/>
        <w:spacing w:after="0" w:line="238" w:lineRule="auto"/>
        <w:rPr>
          <w:sz w:val="20"/>
          <w:szCs w:val="20"/>
          <w:color w:val="auto"/>
        </w:rPr>
      </w:pPr>
      <w:r>
        <w:rPr>
          <w:rFonts w:ascii="Courier New" w:cs="Courier New" w:eastAsia="Courier New" w:hAnsi="Courier New"/>
          <w:sz w:val="18"/>
          <w:szCs w:val="18"/>
          <w:color w:val="auto"/>
        </w:rPr>
        <w:t>- 1,527 ---- ---- ------ ------- ------ Cash flows</w:t>
      </w:r>
    </w:p>
    <w:p>
      <w:pPr>
        <w:ind w:left="580"/>
        <w:spacing w:after="0"/>
        <w:rPr>
          <w:sz w:val="20"/>
          <w:szCs w:val="20"/>
          <w:color w:val="auto"/>
        </w:rPr>
      </w:pPr>
      <w:r>
        <w:rPr>
          <w:rFonts w:ascii="Courier New" w:cs="Courier New" w:eastAsia="Courier New" w:hAnsi="Courier New"/>
          <w:sz w:val="18"/>
          <w:szCs w:val="18"/>
          <w:color w:val="auto"/>
        </w:rPr>
        <w:t>from investing activities: Acquisitions of</w:t>
      </w:r>
    </w:p>
    <w:p>
      <w:pPr>
        <w:ind w:left="60"/>
        <w:spacing w:after="0" w:line="237" w:lineRule="auto"/>
        <w:rPr>
          <w:sz w:val="20"/>
          <w:szCs w:val="20"/>
          <w:color w:val="auto"/>
        </w:rPr>
      </w:pPr>
      <w:r>
        <w:rPr>
          <w:rFonts w:ascii="Courier New" w:cs="Courier New" w:eastAsia="Courier New" w:hAnsi="Courier New"/>
          <w:sz w:val="18"/>
          <w:szCs w:val="18"/>
          <w:color w:val="auto"/>
        </w:rPr>
        <w:t>businesses, net of cash acquired..... -- -- (125) --</w:t>
      </w:r>
    </w:p>
    <w:p>
      <w:pPr>
        <w:ind w:left="2120"/>
        <w:spacing w:after="0" w:line="238" w:lineRule="auto"/>
        <w:rPr>
          <w:sz w:val="20"/>
          <w:szCs w:val="20"/>
          <w:color w:val="auto"/>
        </w:rPr>
      </w:pPr>
      <w:r>
        <w:rPr>
          <w:rFonts w:ascii="Courier New" w:cs="Courier New" w:eastAsia="Courier New" w:hAnsi="Courier New"/>
          <w:sz w:val="18"/>
          <w:szCs w:val="18"/>
          <w:color w:val="auto"/>
        </w:rPr>
        <w:t>(125) Capital</w:t>
      </w:r>
    </w:p>
    <w:p>
      <w:pPr>
        <w:ind w:left="120"/>
        <w:spacing w:after="0"/>
        <w:rPr>
          <w:sz w:val="20"/>
          <w:szCs w:val="20"/>
          <w:color w:val="auto"/>
        </w:rPr>
      </w:pPr>
      <w:r>
        <w:rPr>
          <w:rFonts w:ascii="Courier New" w:cs="Courier New" w:eastAsia="Courier New" w:hAnsi="Courier New"/>
          <w:sz w:val="18"/>
          <w:szCs w:val="18"/>
          <w:color w:val="auto"/>
        </w:rPr>
        <w:t>expenditures................................. -- --</w:t>
      </w:r>
    </w:p>
    <w:p>
      <w:pPr>
        <w:spacing w:after="0" w:line="4" w:lineRule="exact"/>
        <w:rPr>
          <w:sz w:val="20"/>
          <w:szCs w:val="20"/>
          <w:color w:val="auto"/>
        </w:rPr>
      </w:pPr>
    </w:p>
    <w:p>
      <w:pPr>
        <w:ind w:left="60" w:right="4679" w:firstLine="419"/>
        <w:spacing w:after="0" w:line="268" w:lineRule="auto"/>
        <w:tabs>
          <w:tab w:leader="none" w:pos="1114"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(914) Proceeds from divestitures of businesses, net of cash divested, and other sales of</w:t>
      </w:r>
    </w:p>
    <w:p>
      <w:pPr>
        <w:ind w:left="840"/>
        <w:spacing w:after="0" w:line="233" w:lineRule="auto"/>
        <w:rPr>
          <w:sz w:val="20"/>
          <w:szCs w:val="20"/>
          <w:color w:val="auto"/>
        </w:rPr>
      </w:pPr>
      <w:r>
        <w:rPr>
          <w:rFonts w:ascii="Courier New" w:cs="Courier New" w:eastAsia="Courier New" w:hAnsi="Courier New"/>
          <w:sz w:val="18"/>
          <w:szCs w:val="18"/>
          <w:color w:val="auto"/>
        </w:rPr>
        <w:t>assets................ -- -- 82 -- 82</w:t>
      </w:r>
    </w:p>
    <w:p>
      <w:pPr>
        <w:spacing w:after="0"/>
        <w:rPr>
          <w:sz w:val="20"/>
          <w:szCs w:val="20"/>
          <w:color w:val="auto"/>
        </w:rPr>
      </w:pPr>
      <w:r>
        <w:rPr>
          <w:rFonts w:ascii="Courier New" w:cs="Courier New" w:eastAsia="Courier New" w:hAnsi="Courier New"/>
          <w:sz w:val="18"/>
          <w:szCs w:val="18"/>
          <w:color w:val="auto"/>
        </w:rPr>
        <w:t>Other................................................</w:t>
      </w:r>
    </w:p>
    <w:p>
      <w:pPr>
        <w:spacing w:after="0" w:line="4" w:lineRule="exact"/>
        <w:rPr>
          <w:sz w:val="20"/>
          <w:szCs w:val="20"/>
          <w:color w:val="auto"/>
        </w:rPr>
      </w:pPr>
    </w:p>
    <w:p>
      <w:pPr>
        <w:jc w:val="both"/>
        <w:ind w:left="120" w:right="4679" w:hanging="62"/>
        <w:spacing w:after="0" w:line="268" w:lineRule="auto"/>
        <w:tabs>
          <w:tab w:leader="none" w:pos="384"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-- 174 -- 174 ---- ---- ------ ------- ------ Net cash used in investing activities..................</w:t>
      </w:r>
    </w:p>
    <w:p>
      <w:pPr>
        <w:ind w:left="380" w:hanging="322"/>
        <w:spacing w:after="0" w:line="238" w:lineRule="auto"/>
        <w:tabs>
          <w:tab w:leader="none" w:pos="38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(783) -- (783) ---- ---- ------ ------- ------</w:t>
      </w:r>
    </w:p>
    <w:p>
      <w:pPr>
        <w:jc w:val="center"/>
        <w:ind w:right="4639"/>
        <w:spacing w:after="0"/>
        <w:rPr>
          <w:sz w:val="20"/>
          <w:szCs w:val="20"/>
          <w:color w:val="auto"/>
        </w:rPr>
      </w:pPr>
      <w:r>
        <w:rPr>
          <w:rFonts w:ascii="Courier New" w:cs="Courier New" w:eastAsia="Courier New" w:hAnsi="Courier New"/>
          <w:sz w:val="18"/>
          <w:szCs w:val="18"/>
          <w:color w:val="auto"/>
        </w:rPr>
        <w:t>Cash flows from financing activities: New</w:t>
      </w:r>
    </w:p>
    <w:p>
      <w:pPr>
        <w:ind w:left="220"/>
        <w:spacing w:after="0" w:line="237" w:lineRule="auto"/>
        <w:rPr>
          <w:sz w:val="20"/>
          <w:szCs w:val="20"/>
          <w:color w:val="auto"/>
        </w:rPr>
      </w:pPr>
      <w:r>
        <w:rPr>
          <w:rFonts w:ascii="Courier New" w:cs="Courier New" w:eastAsia="Courier New" w:hAnsi="Courier New"/>
          <w:sz w:val="18"/>
          <w:szCs w:val="18"/>
          <w:color w:val="auto"/>
        </w:rPr>
        <w:t>borrowings.......................................</w:t>
      </w:r>
    </w:p>
    <w:p>
      <w:pPr>
        <w:jc w:val="center"/>
        <w:ind w:right="4639"/>
        <w:spacing w:after="0" w:line="238" w:lineRule="auto"/>
        <w:rPr>
          <w:sz w:val="20"/>
          <w:szCs w:val="20"/>
          <w:color w:val="auto"/>
        </w:rPr>
      </w:pPr>
      <w:r>
        <w:rPr>
          <w:rFonts w:ascii="Courier New" w:cs="Courier New" w:eastAsia="Courier New" w:hAnsi="Courier New"/>
          <w:sz w:val="18"/>
          <w:szCs w:val="18"/>
          <w:color w:val="auto"/>
        </w:rPr>
        <w:t>498 -- -- -- 498 Debt</w:t>
      </w:r>
    </w:p>
    <w:p>
      <w:pPr>
        <w:ind w:left="260"/>
        <w:spacing w:after="0"/>
        <w:rPr>
          <w:sz w:val="20"/>
          <w:szCs w:val="20"/>
          <w:color w:val="auto"/>
        </w:rPr>
      </w:pPr>
      <w:r>
        <w:rPr>
          <w:rFonts w:ascii="Courier New" w:cs="Courier New" w:eastAsia="Courier New" w:hAnsi="Courier New"/>
          <w:sz w:val="18"/>
          <w:szCs w:val="18"/>
          <w:color w:val="auto"/>
        </w:rPr>
        <w:t>repayments......................................</w:t>
      </w:r>
    </w:p>
    <w:p>
      <w:pPr>
        <w:jc w:val="center"/>
        <w:ind w:right="4639"/>
        <w:spacing w:after="0" w:line="237" w:lineRule="auto"/>
        <w:rPr>
          <w:sz w:val="20"/>
          <w:szCs w:val="20"/>
          <w:color w:val="auto"/>
        </w:rPr>
      </w:pPr>
      <w:r>
        <w:rPr>
          <w:rFonts w:ascii="Courier New" w:cs="Courier New" w:eastAsia="Courier New" w:hAnsi="Courier New"/>
          <w:sz w:val="18"/>
          <w:szCs w:val="18"/>
          <w:color w:val="auto"/>
        </w:rPr>
        <w:t>(427) (300) (54) (781) Common stock</w:t>
      </w:r>
    </w:p>
    <w:p>
      <w:pPr>
        <w:ind w:left="60"/>
        <w:spacing w:after="0"/>
        <w:rPr>
          <w:sz w:val="20"/>
          <w:szCs w:val="20"/>
          <w:color w:val="auto"/>
        </w:rPr>
      </w:pPr>
      <w:r>
        <w:rPr>
          <w:rFonts w:ascii="Courier New" w:cs="Courier New" w:eastAsia="Courier New" w:hAnsi="Courier New"/>
          <w:sz w:val="18"/>
          <w:szCs w:val="18"/>
          <w:color w:val="auto"/>
        </w:rPr>
        <w:t>repurchases............................. (561) -- --</w:t>
      </w:r>
    </w:p>
    <w:p>
      <w:pPr>
        <w:ind w:left="420"/>
        <w:spacing w:after="0" w:line="237" w:lineRule="auto"/>
        <w:rPr>
          <w:sz w:val="20"/>
          <w:szCs w:val="20"/>
          <w:color w:val="auto"/>
        </w:rPr>
      </w:pPr>
      <w:r>
        <w:rPr>
          <w:rFonts w:ascii="Courier New" w:cs="Courier New" w:eastAsia="Courier New" w:hAnsi="Courier New"/>
          <w:sz w:val="18"/>
          <w:szCs w:val="18"/>
          <w:color w:val="auto"/>
        </w:rPr>
        <w:t>-- (561) Exercise of common stock options and</w:t>
      </w:r>
    </w:p>
    <w:p>
      <w:pPr>
        <w:ind w:left="120"/>
        <w:spacing w:after="0"/>
        <w:rPr>
          <w:sz w:val="20"/>
          <w:szCs w:val="20"/>
          <w:color w:val="auto"/>
        </w:rPr>
      </w:pPr>
      <w:r>
        <w:rPr>
          <w:rFonts w:ascii="Courier New" w:cs="Courier New" w:eastAsia="Courier New" w:hAnsi="Courier New"/>
          <w:sz w:val="18"/>
          <w:szCs w:val="18"/>
          <w:color w:val="auto"/>
        </w:rPr>
        <w:t>warrants........ 25 -- -- -- 25 (Increase) decrease</w:t>
      </w:r>
    </w:p>
    <w:p>
      <w:pPr>
        <w:ind w:left="1120"/>
        <w:spacing w:after="0" w:line="237" w:lineRule="auto"/>
        <w:rPr>
          <w:sz w:val="20"/>
          <w:szCs w:val="20"/>
          <w:color w:val="auto"/>
        </w:rPr>
      </w:pPr>
      <w:r>
        <w:rPr>
          <w:rFonts w:ascii="Courier New" w:cs="Courier New" w:eastAsia="Courier New" w:hAnsi="Courier New"/>
          <w:sz w:val="18"/>
          <w:szCs w:val="18"/>
          <w:color w:val="auto"/>
        </w:rPr>
        <w:t>in intercompany and investments,</w:t>
      </w:r>
    </w:p>
    <w:p>
      <w:pPr>
        <w:ind w:left="120"/>
        <w:spacing w:after="0" w:line="238" w:lineRule="auto"/>
        <w:rPr>
          <w:sz w:val="20"/>
          <w:szCs w:val="20"/>
          <w:color w:val="auto"/>
        </w:rPr>
      </w:pPr>
      <w:r>
        <w:rPr>
          <w:rFonts w:ascii="Courier New" w:cs="Courier New" w:eastAsia="Courier New" w:hAnsi="Courier New"/>
          <w:sz w:val="18"/>
          <w:szCs w:val="18"/>
          <w:color w:val="auto"/>
        </w:rPr>
        <w:t>net................................................</w:t>
      </w:r>
    </w:p>
    <w:p>
      <w:pPr>
        <w:ind w:left="120"/>
        <w:spacing w:after="0"/>
        <w:rPr>
          <w:sz w:val="20"/>
          <w:szCs w:val="20"/>
          <w:color w:val="auto"/>
        </w:rPr>
      </w:pPr>
      <w:r>
        <w:rPr>
          <w:rFonts w:ascii="Courier New" w:cs="Courier New" w:eastAsia="Courier New" w:hAnsi="Courier New"/>
          <w:sz w:val="18"/>
          <w:szCs w:val="18"/>
          <w:color w:val="auto"/>
        </w:rPr>
        <w:t>494 379 (873) -- -- ---- ---- ------ ------- ------</w:t>
      </w:r>
    </w:p>
    <w:p>
      <w:pPr>
        <w:ind w:left="680"/>
        <w:spacing w:after="0" w:line="237" w:lineRule="auto"/>
        <w:rPr>
          <w:sz w:val="20"/>
          <w:szCs w:val="20"/>
          <w:color w:val="auto"/>
        </w:rPr>
      </w:pPr>
      <w:r>
        <w:rPr>
          <w:rFonts w:ascii="Courier New" w:cs="Courier New" w:eastAsia="Courier New" w:hAnsi="Courier New"/>
          <w:sz w:val="18"/>
          <w:szCs w:val="18"/>
          <w:color w:val="auto"/>
        </w:rPr>
        <w:t>Net cash provided by (used in) financing</w:t>
      </w:r>
    </w:p>
    <w:tbl>
      <w:tblPr>
        <w:tblLayout w:type="fixed"/>
        <w:tblInd w:w="60" w:type="dxa"/>
        <w:tblCellMar>
          <w:top w:w="0" w:type="dxa"/>
          <w:left w:w="0" w:type="dxa"/>
          <w:bottom w:w="0" w:type="dxa"/>
          <w:right w:w="0" w:type="dxa"/>
        </w:tblCellMar>
      </w:tblPr>
      <w:tr>
        <w:trPr>
          <w:trHeight w:val="203"/>
        </w:trPr>
        <w:tc>
          <w:tcPr>
            <w:tcW w:w="1520" w:type="dxa"/>
            <w:vAlign w:val="bottom"/>
          </w:tcPr>
          <w:p>
            <w:pPr>
              <w:spacing w:after="0"/>
              <w:rPr>
                <w:sz w:val="20"/>
                <w:szCs w:val="20"/>
                <w:color w:val="auto"/>
              </w:rPr>
            </w:pPr>
            <w:r>
              <w:rPr>
                <w:rFonts w:ascii="Courier New" w:cs="Courier New" w:eastAsia="Courier New" w:hAnsi="Courier New"/>
                <w:sz w:val="18"/>
                <w:szCs w:val="18"/>
                <w:color w:val="auto"/>
                <w:w w:val="99"/>
              </w:rPr>
              <w:t>activities....</w:t>
            </w:r>
          </w:p>
        </w:tc>
        <w:tc>
          <w:tcPr>
            <w:tcW w:w="3960" w:type="dxa"/>
            <w:vAlign w:val="bottom"/>
          </w:tcPr>
          <w:p>
            <w:pPr>
              <w:jc w:val="right"/>
              <w:spacing w:after="0"/>
              <w:rPr>
                <w:sz w:val="20"/>
                <w:szCs w:val="20"/>
                <w:color w:val="auto"/>
              </w:rPr>
            </w:pPr>
            <w:r>
              <w:rPr>
                <w:rFonts w:ascii="Courier New" w:cs="Courier New" w:eastAsia="Courier New" w:hAnsi="Courier New"/>
                <w:sz w:val="18"/>
                <w:szCs w:val="18"/>
                <w:color w:val="auto"/>
                <w:w w:val="98"/>
              </w:rPr>
              <w:t>29 79 (927) -- (819) ---- ---- ------</w:t>
            </w:r>
          </w:p>
        </w:tc>
      </w:tr>
    </w:tbl>
    <w:p>
      <w:pPr>
        <w:ind w:left="220"/>
        <w:spacing w:after="0" w:line="238" w:lineRule="auto"/>
        <w:rPr>
          <w:sz w:val="20"/>
          <w:szCs w:val="20"/>
          <w:color w:val="auto"/>
        </w:rPr>
      </w:pPr>
      <w:r>
        <w:rPr>
          <w:rFonts w:ascii="Courier New" w:cs="Courier New" w:eastAsia="Courier New" w:hAnsi="Courier New"/>
          <w:sz w:val="18"/>
          <w:szCs w:val="18"/>
          <w:color w:val="auto"/>
        </w:rPr>
        <w:t>------- ------ Effect of exchange rate changes on</w:t>
      </w:r>
    </w:p>
    <w:p>
      <w:pPr>
        <w:jc w:val="center"/>
        <w:ind w:right="4639"/>
        <w:spacing w:after="0"/>
        <w:rPr>
          <w:sz w:val="20"/>
          <w:szCs w:val="20"/>
          <w:color w:val="auto"/>
        </w:rPr>
      </w:pPr>
      <w:r>
        <w:rPr>
          <w:rFonts w:ascii="Courier New" w:cs="Courier New" w:eastAsia="Courier New" w:hAnsi="Courier New"/>
          <w:sz w:val="18"/>
          <w:szCs w:val="18"/>
          <w:color w:val="auto"/>
        </w:rPr>
        <w:t>cash and cash</w:t>
      </w:r>
    </w:p>
    <w:p>
      <w:pPr>
        <w:spacing w:after="0" w:line="237" w:lineRule="auto"/>
        <w:rPr>
          <w:sz w:val="20"/>
          <w:szCs w:val="20"/>
          <w:color w:val="auto"/>
        </w:rPr>
      </w:pPr>
      <w:r>
        <w:rPr>
          <w:rFonts w:ascii="Courier New" w:cs="Courier New" w:eastAsia="Courier New" w:hAnsi="Courier New"/>
          <w:sz w:val="18"/>
          <w:szCs w:val="18"/>
          <w:color w:val="auto"/>
        </w:rPr>
        <w:t>equivalents..........................................</w:t>
      </w:r>
    </w:p>
    <w:p>
      <w:pPr>
        <w:ind w:left="800" w:hanging="320"/>
        <w:spacing w:after="0" w:line="238" w:lineRule="auto"/>
        <w:tabs>
          <w:tab w:leader="none" w:pos="80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-- 1 -- 1 ---- ---- ------ ------- ------</w:t>
      </w:r>
    </w:p>
    <w:p>
      <w:pPr>
        <w:spacing w:after="0" w:line="4"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Decrease in cash and cash</w:t>
      </w:r>
    </w:p>
    <w:p>
      <w:pPr>
        <w:spacing w:after="0" w:line="208" w:lineRule="exact"/>
        <w:rPr>
          <w:sz w:val="20"/>
          <w:szCs w:val="20"/>
          <w:color w:val="auto"/>
        </w:rPr>
      </w:pPr>
    </w:p>
    <w:p>
      <w:pPr>
        <w:ind w:left="60" w:right="4679" w:firstLine="105"/>
        <w:spacing w:after="0" w:line="237" w:lineRule="auto"/>
        <w:rPr>
          <w:sz w:val="20"/>
          <w:szCs w:val="20"/>
          <w:color w:val="auto"/>
        </w:rPr>
      </w:pPr>
      <w:r>
        <w:rPr>
          <w:rFonts w:ascii="Courier New" w:cs="Courier New" w:eastAsia="Courier New" w:hAnsi="Courier New"/>
          <w:sz w:val="18"/>
          <w:szCs w:val="18"/>
          <w:color w:val="auto"/>
        </w:rPr>
        <w:t>equivalents.................. (35) -- (39) -- (74) Cash and cash equivalents at beginning of period....... 757 -- (27) -- 730 ---- ---- ------ -- ----- ------ Cash and cash equivalents at end of period............. $722 $ -- $ (66) $ -- $ 656 ==== ==== ====== ======= ======</w:t>
      </w:r>
    </w:p>
    <w:p>
      <w:pPr>
        <w:spacing w:after="0" w:line="200" w:lineRule="exact"/>
        <w:rPr>
          <w:sz w:val="20"/>
          <w:szCs w:val="20"/>
          <w:color w:val="auto"/>
        </w:rPr>
      </w:pP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CONDENSED CONSOLIDATING STATEMENT OF CASH FLOWS</w:t>
      </w:r>
    </w:p>
    <w:p>
      <w:pPr>
        <w:jc w:val="center"/>
        <w:ind w:right="1779"/>
        <w:spacing w:after="0" w:line="238" w:lineRule="auto"/>
        <w:rPr>
          <w:sz w:val="20"/>
          <w:szCs w:val="20"/>
          <w:color w:val="auto"/>
        </w:rPr>
      </w:pPr>
      <w:r>
        <w:rPr>
          <w:rFonts w:ascii="Courier New" w:cs="Courier New" w:eastAsia="Courier New" w:hAnsi="Courier New"/>
          <w:sz w:val="18"/>
          <w:szCs w:val="18"/>
          <w:color w:val="auto"/>
        </w:rPr>
        <w:t>NINE MONTHS ENDED SEPTEMBER 30, 2001</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PARENT GUARANTOR NON-GUARANTORS ELIMINATIONS</w:t>
      </w:r>
    </w:p>
    <w:tbl>
      <w:tblPr>
        <w:tblLayout w:type="fixed"/>
        <w:tblInd w:w="60" w:type="dxa"/>
        <w:tblCellMar>
          <w:top w:w="0" w:type="dxa"/>
          <w:left w:w="0" w:type="dxa"/>
          <w:bottom w:w="0" w:type="dxa"/>
          <w:right w:w="0" w:type="dxa"/>
        </w:tblCellMar>
      </w:tblPr>
      <w:tr>
        <w:trPr>
          <w:trHeight w:val="203"/>
        </w:trPr>
        <w:tc>
          <w:tcPr>
            <w:tcW w:w="1520" w:type="dxa"/>
            <w:vAlign w:val="bottom"/>
          </w:tcPr>
          <w:p>
            <w:pPr>
              <w:spacing w:after="0"/>
              <w:rPr>
                <w:sz w:val="20"/>
                <w:szCs w:val="20"/>
                <w:color w:val="auto"/>
              </w:rPr>
            </w:pPr>
            <w:r>
              <w:rPr>
                <w:rFonts w:ascii="Courier New" w:cs="Courier New" w:eastAsia="Courier New" w:hAnsi="Courier New"/>
                <w:sz w:val="16"/>
                <w:szCs w:val="16"/>
                <w:color w:val="auto"/>
                <w:w w:val="78"/>
              </w:rPr>
              <w:t>CONSOLIDATED -------</w:t>
            </w:r>
          </w:p>
        </w:tc>
        <w:tc>
          <w:tcPr>
            <w:tcW w:w="3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536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 ------------ Cash flows from operating</w:t>
            </w:r>
          </w:p>
        </w:tc>
      </w:tr>
      <w:tr>
        <w:trPr>
          <w:trHeight w:val="203"/>
        </w:trPr>
        <w:tc>
          <w:tcPr>
            <w:tcW w:w="1520" w:type="dxa"/>
            <w:vAlign w:val="bottom"/>
          </w:tcPr>
          <w:p>
            <w:pPr>
              <w:spacing w:after="0"/>
              <w:rPr>
                <w:sz w:val="17"/>
                <w:szCs w:val="17"/>
                <w:color w:val="auto"/>
              </w:rPr>
            </w:pPr>
          </w:p>
        </w:tc>
        <w:tc>
          <w:tcPr>
            <w:tcW w:w="3260" w:type="dxa"/>
            <w:vAlign w:val="bottom"/>
            <w:gridSpan w:val="2"/>
          </w:tcPr>
          <w:p>
            <w:pPr>
              <w:jc w:val="center"/>
              <w:ind w:right="832"/>
              <w:spacing w:after="0" w:line="203" w:lineRule="exact"/>
              <w:rPr>
                <w:sz w:val="20"/>
                <w:szCs w:val="20"/>
                <w:color w:val="auto"/>
              </w:rPr>
            </w:pPr>
            <w:r>
              <w:rPr>
                <w:rFonts w:ascii="Courier New" w:cs="Courier New" w:eastAsia="Courier New" w:hAnsi="Courier New"/>
                <w:sz w:val="18"/>
                <w:szCs w:val="18"/>
                <w:color w:val="auto"/>
                <w:w w:val="97"/>
              </w:rPr>
              <w:t>activities: Net</w:t>
            </w:r>
          </w:p>
        </w:tc>
        <w:tc>
          <w:tcPr>
            <w:tcW w:w="580" w:type="dxa"/>
            <w:vAlign w:val="bottom"/>
          </w:tcPr>
          <w:p>
            <w:pPr>
              <w:spacing w:after="0"/>
              <w:rPr>
                <w:sz w:val="17"/>
                <w:szCs w:val="17"/>
                <w:color w:val="auto"/>
              </w:rPr>
            </w:pPr>
          </w:p>
        </w:tc>
      </w:tr>
      <w:tr>
        <w:trPr>
          <w:trHeight w:val="203"/>
        </w:trPr>
        <w:tc>
          <w:tcPr>
            <w:tcW w:w="2740" w:type="dxa"/>
            <w:vAlign w:val="bottom"/>
            <w:gridSpan w:val="2"/>
          </w:tcPr>
          <w:p>
            <w:pPr>
              <w:ind w:left="40"/>
              <w:spacing w:after="0"/>
              <w:rPr>
                <w:sz w:val="20"/>
                <w:szCs w:val="20"/>
                <w:color w:val="auto"/>
              </w:rPr>
            </w:pPr>
            <w:r>
              <w:rPr>
                <w:rFonts w:ascii="Courier New" w:cs="Courier New" w:eastAsia="Courier New" w:hAnsi="Courier New"/>
                <w:sz w:val="13"/>
                <w:szCs w:val="13"/>
                <w:color w:val="auto"/>
                <w:w w:val="71"/>
              </w:rPr>
              <w:t>income..........................................</w:t>
            </w:r>
          </w:p>
        </w:tc>
        <w:tc>
          <w:tcPr>
            <w:tcW w:w="20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345 $481 $ 571</w:t>
            </w:r>
          </w:p>
        </w:tc>
        <w:tc>
          <w:tcPr>
            <w:tcW w:w="3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$(1,052) $ 345 Equity in earnings of</w:t>
            </w: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subsidiaries, net of taxes</w:t>
            </w:r>
          </w:p>
        </w:tc>
        <w:tc>
          <w:tcPr>
            <w:tcW w:w="2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(481) (571) -- 1,052</w:t>
            </w:r>
          </w:p>
        </w:tc>
      </w:tr>
      <w:tr>
        <w:trPr>
          <w:trHeight w:val="203"/>
        </w:trPr>
        <w:tc>
          <w:tcPr>
            <w:tcW w:w="4780" w:type="dxa"/>
            <w:vAlign w:val="bottom"/>
            <w:gridSpan w:val="3"/>
          </w:tcPr>
          <w:p>
            <w:pPr>
              <w:jc w:val="center"/>
              <w:ind w:left="495"/>
              <w:spacing w:after="0" w:line="203" w:lineRule="exact"/>
              <w:rPr>
                <w:sz w:val="20"/>
                <w:szCs w:val="20"/>
                <w:color w:val="auto"/>
              </w:rPr>
            </w:pPr>
            <w:r>
              <w:rPr>
                <w:rFonts w:ascii="Courier New" w:cs="Courier New" w:eastAsia="Courier New" w:hAnsi="Courier New"/>
                <w:sz w:val="18"/>
                <w:szCs w:val="18"/>
                <w:color w:val="auto"/>
                <w:w w:val="97"/>
              </w:rPr>
              <w:t>-- Other adjustments and</w:t>
            </w:r>
          </w:p>
        </w:tc>
        <w:tc>
          <w:tcPr>
            <w:tcW w:w="580" w:type="dxa"/>
            <w:vAlign w:val="bottom"/>
          </w:tcPr>
          <w:p>
            <w:pPr>
              <w:spacing w:after="0"/>
              <w:rPr>
                <w:sz w:val="17"/>
                <w:szCs w:val="17"/>
                <w:color w:val="auto"/>
              </w:rPr>
            </w:pPr>
          </w:p>
        </w:tc>
      </w:tr>
      <w:tr>
        <w:trPr>
          <w:trHeight w:val="203"/>
        </w:trPr>
        <w:tc>
          <w:tcPr>
            <w:tcW w:w="27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78"/>
              </w:rPr>
              <w:t>charges.......................</w:t>
            </w:r>
          </w:p>
        </w:tc>
        <w:tc>
          <w:tcPr>
            <w:tcW w:w="26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(8) (11) 1,182 --</w:t>
            </w:r>
          </w:p>
        </w:tc>
      </w:tr>
      <w:tr>
        <w:trPr>
          <w:trHeight w:val="203"/>
        </w:trPr>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1,163 -------</w:t>
            </w:r>
          </w:p>
        </w:tc>
        <w:tc>
          <w:tcPr>
            <w:tcW w:w="3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 ------ ------- ------- Net cash</w:t>
            </w:r>
          </w:p>
        </w:tc>
      </w:tr>
      <w:tr>
        <w:trPr>
          <w:trHeight w:val="203"/>
        </w:trPr>
        <w:tc>
          <w:tcPr>
            <w:tcW w:w="47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provided by (used in) operating activities...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w:t>
            </w: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9"/>
              </w:rPr>
              <w:t>(101) 1,753 -- 1,508 -------</w:t>
            </w:r>
          </w:p>
        </w:tc>
        <w:tc>
          <w:tcPr>
            <w:tcW w:w="2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 --</w:t>
            </w:r>
          </w:p>
        </w:tc>
      </w:tr>
    </w:tbl>
    <w:p>
      <w:pPr>
        <w:spacing w:after="0" w:line="4" w:lineRule="exact"/>
        <w:rPr>
          <w:sz w:val="20"/>
          <w:szCs w:val="20"/>
          <w:color w:val="auto"/>
        </w:rPr>
      </w:pPr>
    </w:p>
    <w:p>
      <w:pPr>
        <w:ind w:left="680" w:right="5219" w:hanging="202"/>
        <w:spacing w:after="0" w:line="268" w:lineRule="auto"/>
        <w:tabs>
          <w:tab w:leader="none" w:pos="1101"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flows from investing activities: Acquisitions of businesses, net of cash</w:t>
      </w:r>
    </w:p>
    <w:p>
      <w:pPr>
        <w:jc w:val="center"/>
        <w:ind w:right="4739"/>
        <w:spacing w:after="0" w:line="233" w:lineRule="auto"/>
        <w:rPr>
          <w:sz w:val="20"/>
          <w:szCs w:val="20"/>
          <w:color w:val="auto"/>
        </w:rPr>
      </w:pPr>
      <w:r>
        <w:rPr>
          <w:rFonts w:ascii="Courier New" w:cs="Courier New" w:eastAsia="Courier New" w:hAnsi="Courier New"/>
          <w:sz w:val="18"/>
          <w:szCs w:val="18"/>
          <w:color w:val="auto"/>
        </w:rPr>
        <w:t>acquired.... -- -- (95) -- (95) Capital</w:t>
      </w:r>
    </w:p>
    <w:p>
      <w:pPr>
        <w:jc w:val="center"/>
        <w:ind w:right="4739"/>
        <w:spacing w:after="0"/>
        <w:rPr>
          <w:sz w:val="20"/>
          <w:szCs w:val="20"/>
          <w:color w:val="auto"/>
        </w:rPr>
      </w:pPr>
      <w:r>
        <w:rPr>
          <w:rFonts w:ascii="Courier New" w:cs="Courier New" w:eastAsia="Courier New" w:hAnsi="Courier New"/>
          <w:sz w:val="18"/>
          <w:szCs w:val="18"/>
          <w:color w:val="auto"/>
        </w:rPr>
        <w:t>expenditures................................ -- --</w:t>
      </w:r>
    </w:p>
    <w:p>
      <w:pPr>
        <w:spacing w:after="0" w:line="4" w:lineRule="exact"/>
        <w:rPr>
          <w:sz w:val="20"/>
          <w:szCs w:val="20"/>
          <w:color w:val="auto"/>
        </w:rPr>
      </w:pPr>
    </w:p>
    <w:p>
      <w:pPr>
        <w:ind w:left="160" w:right="4899" w:firstLine="265"/>
        <w:spacing w:after="0" w:line="290" w:lineRule="auto"/>
        <w:tabs>
          <w:tab w:leader="none" w:pos="1056"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(843) Proceeds from divestitures of businesses, net of cash divested, and other sales</w:t>
      </w:r>
    </w:p>
    <w:p>
      <w:pPr>
        <w:sectPr>
          <w:pgSz w:w="11900" w:h="16838" w:orient="portrait"/>
          <w:cols w:equalWidth="0" w:num="1">
            <w:col w:w="10219"/>
          </w:cols>
          <w:pgMar w:left="240" w:top="514" w:right="1440" w:bottom="0" w:gutter="0" w:footer="0" w:header="0"/>
        </w:sectPr>
      </w:pPr>
    </w:p>
    <w:bookmarkStart w:id="32" w:name="page33"/>
    <w:bookmarkEnd w:id="32"/>
    <w:p>
      <w:pPr>
        <w:ind w:left="960"/>
        <w:spacing w:after="0"/>
        <w:rPr>
          <w:sz w:val="20"/>
          <w:szCs w:val="20"/>
          <w:color w:val="auto"/>
        </w:rPr>
      </w:pPr>
      <w:r>
        <w:rPr>
          <w:rFonts w:ascii="Courier New" w:cs="Courier New" w:eastAsia="Courier New" w:hAnsi="Courier New"/>
          <w:sz w:val="18"/>
          <w:szCs w:val="18"/>
          <w:color w:val="auto"/>
        </w:rPr>
        <w:t>of assets.......... -- -- 42 -- 42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-- 109 -- 109 ------- ---- ------ ------- ------</w:t>
      </w:r>
    </w:p>
    <w:p>
      <w:pPr>
        <w:spacing w:after="0" w:line="16"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 Net cash used in investing</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activities................. -- -- (787) -- (787) --</w:t>
      </w:r>
    </w:p>
    <w:p>
      <w:pPr>
        <w:spacing w:after="0" w:line="21" w:lineRule="exact"/>
        <w:rPr>
          <w:sz w:val="20"/>
          <w:szCs w:val="20"/>
          <w:color w:val="auto"/>
        </w:rPr>
      </w:pPr>
    </w:p>
    <w:p>
      <w:pPr>
        <w:ind w:left="1420" w:right="4899" w:hanging="1258"/>
        <w:spacing w:after="0" w:line="235" w:lineRule="auto"/>
        <w:tabs>
          <w:tab w:leader="none" w:pos="788"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Cash flows from financing activities: New</w:t>
      </w:r>
    </w:p>
    <w:p>
      <w:pPr>
        <w:ind w:left="220"/>
        <w:spacing w:after="0"/>
        <w:rPr>
          <w:sz w:val="20"/>
          <w:szCs w:val="20"/>
          <w:color w:val="auto"/>
        </w:rPr>
      </w:pPr>
      <w:r>
        <w:rPr>
          <w:rFonts w:ascii="Courier New" w:cs="Courier New" w:eastAsia="Courier New" w:hAnsi="Courier New"/>
          <w:sz w:val="18"/>
          <w:szCs w:val="18"/>
          <w:color w:val="auto"/>
        </w:rPr>
        <w:t>borrowings......................................</w:t>
      </w:r>
    </w:p>
    <w:p>
      <w:pPr>
        <w:jc w:val="center"/>
        <w:ind w:right="4739"/>
        <w:spacing w:after="0" w:line="238" w:lineRule="auto"/>
        <w:rPr>
          <w:sz w:val="20"/>
          <w:szCs w:val="20"/>
          <w:color w:val="auto"/>
        </w:rPr>
      </w:pPr>
      <w:r>
        <w:rPr>
          <w:rFonts w:ascii="Courier New" w:cs="Courier New" w:eastAsia="Courier New" w:hAnsi="Courier New"/>
          <w:sz w:val="18"/>
          <w:szCs w:val="18"/>
          <w:color w:val="auto"/>
        </w:rPr>
        <w:t>869 -- 361 -- 1,230 Debt</w:t>
      </w:r>
    </w:p>
    <w:p>
      <w:pPr>
        <w:ind w:left="260"/>
        <w:spacing w:after="0"/>
        <w:rPr>
          <w:sz w:val="20"/>
          <w:szCs w:val="20"/>
          <w:color w:val="auto"/>
        </w:rPr>
      </w:pPr>
      <w:r>
        <w:rPr>
          <w:rFonts w:ascii="Courier New" w:cs="Courier New" w:eastAsia="Courier New" w:hAnsi="Courier New"/>
          <w:sz w:val="18"/>
          <w:szCs w:val="18"/>
          <w:color w:val="auto"/>
        </w:rPr>
        <w:t>repayments.....................................</w:t>
      </w:r>
    </w:p>
    <w:p>
      <w:pPr>
        <w:ind w:left="160"/>
        <w:spacing w:after="0" w:line="237" w:lineRule="auto"/>
        <w:rPr>
          <w:sz w:val="20"/>
          <w:szCs w:val="20"/>
          <w:color w:val="auto"/>
        </w:rPr>
      </w:pPr>
      <w:r>
        <w:rPr>
          <w:rFonts w:ascii="Courier New" w:cs="Courier New" w:eastAsia="Courier New" w:hAnsi="Courier New"/>
          <w:sz w:val="18"/>
          <w:szCs w:val="18"/>
          <w:color w:val="auto"/>
        </w:rPr>
        <w:t>(1,195) (400) (400) -- (1,995) Exercise of common</w:t>
      </w:r>
    </w:p>
    <w:tbl>
      <w:tblPr>
        <w:tblLayout w:type="fixed"/>
        <w:tblInd w:w="220" w:type="dxa"/>
        <w:tblCellMar>
          <w:top w:w="0" w:type="dxa"/>
          <w:left w:w="0" w:type="dxa"/>
          <w:bottom w:w="0" w:type="dxa"/>
          <w:right w:w="0" w:type="dxa"/>
        </w:tblCellMar>
      </w:tblP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stock options and warrants.......</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46 -- -- -- 46</w:t>
            </w:r>
          </w:p>
        </w:tc>
      </w:tr>
    </w:tbl>
    <w:p>
      <w:pPr>
        <w:spacing w:after="0" w:line="201" w:lineRule="exact"/>
        <w:rPr>
          <w:sz w:val="20"/>
          <w:szCs w:val="20"/>
          <w:color w:val="auto"/>
        </w:rPr>
      </w:pPr>
    </w:p>
    <w:p>
      <w:pPr>
        <w:ind w:left="900" w:hanging="317"/>
        <w:spacing w:after="0"/>
        <w:tabs>
          <w:tab w:leader="none" w:pos="90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(19) -- (19) (Increase) decrease in</w:t>
      </w:r>
    </w:p>
    <w:p>
      <w:pPr>
        <w:spacing w:after="0" w:line="4" w:lineRule="exact"/>
        <w:rPr>
          <w:rFonts w:ascii="Courier New" w:cs="Courier New" w:eastAsia="Courier New" w:hAnsi="Courier New"/>
          <w:sz w:val="18"/>
          <w:szCs w:val="18"/>
          <w:color w:val="auto"/>
        </w:rPr>
      </w:pPr>
    </w:p>
    <w:p>
      <w:pPr>
        <w:ind w:left="1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intercompany and investments,</w:t>
      </w:r>
    </w:p>
    <w:p>
      <w:pPr>
        <w:spacing w:after="0" w:line="207" w:lineRule="exact"/>
        <w:rPr>
          <w:sz w:val="20"/>
          <w:szCs w:val="20"/>
          <w:color w:val="auto"/>
        </w:rPr>
      </w:pPr>
    </w:p>
    <w:p>
      <w:pPr>
        <w:ind w:left="60" w:right="4799" w:firstLine="52"/>
        <w:spacing w:after="0" w:line="268" w:lineRule="auto"/>
        <w:rPr>
          <w:sz w:val="20"/>
          <w:szCs w:val="20"/>
          <w:color w:val="auto"/>
        </w:rPr>
      </w:pPr>
      <w:r>
        <w:rPr>
          <w:rFonts w:ascii="Courier New" w:cs="Courier New" w:eastAsia="Courier New" w:hAnsi="Courier New"/>
          <w:sz w:val="16"/>
          <w:szCs w:val="16"/>
          <w:color w:val="auto"/>
        </w:rPr>
        <w:t>net............................................... 406 487 (893) -- -- ------- ---- ------ ------- --- ---- Net cash provided by (used in) financing activities... 126 87 (951) -- (738) ------- ---- --</w:t>
      </w:r>
    </w:p>
    <w:p>
      <w:pPr>
        <w:ind w:left="800" w:hanging="533"/>
        <w:spacing w:after="0" w:line="234" w:lineRule="auto"/>
        <w:tabs>
          <w:tab w:leader="none" w:pos="80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Effect of exchange rate on</w:t>
      </w:r>
    </w:p>
    <w:p>
      <w:pPr>
        <w:spacing w:after="0" w:line="4" w:lineRule="exact"/>
        <w:rPr>
          <w:rFonts w:ascii="Courier New" w:cs="Courier New" w:eastAsia="Courier New" w:hAnsi="Courier New"/>
          <w:sz w:val="18"/>
          <w:szCs w:val="18"/>
          <w:color w:val="auto"/>
        </w:rPr>
      </w:pPr>
    </w:p>
    <w:p>
      <w:pPr>
        <w:ind w:left="2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cash and cash</w:t>
      </w:r>
    </w:p>
    <w:p>
      <w:pPr>
        <w:spacing w:after="0" w:line="207" w:lineRule="exact"/>
        <w:rPr>
          <w:sz w:val="20"/>
          <w:szCs w:val="20"/>
          <w:color w:val="auto"/>
        </w:rPr>
      </w:pPr>
    </w:p>
    <w:p>
      <w:pPr>
        <w:ind w:left="60" w:right="4739" w:hanging="48"/>
        <w:spacing w:after="0" w:line="271" w:lineRule="auto"/>
        <w:rPr>
          <w:sz w:val="20"/>
          <w:szCs w:val="20"/>
          <w:color w:val="auto"/>
        </w:rPr>
      </w:pPr>
      <w:r>
        <w:rPr>
          <w:rFonts w:ascii="Courier New" w:cs="Courier New" w:eastAsia="Courier New" w:hAnsi="Courier New"/>
          <w:sz w:val="16"/>
          <w:szCs w:val="16"/>
          <w:color w:val="auto"/>
        </w:rPr>
        <w:t>equivalents......................................... -- -- (2) -- (2) ------- ---- ------ ------- ------ - Increase (decrease) in cash and cash equivalents...... (18) (14) 13 -- (19) Cash and cash equivalents at beginning of period...... 174 14 (94) -- 94 ------- ---- ------ ------- ------- Cash and cash equivalents at end of period............ $ 156 $ -- $ (81) $ -- $ 75 ======= ==== ====== ======= =======</w:t>
      </w:r>
    </w:p>
    <w:p>
      <w:pPr>
        <w:spacing w:after="0" w:line="200" w:lineRule="exact"/>
        <w:rPr>
          <w:sz w:val="20"/>
          <w:szCs w:val="20"/>
          <w:color w:val="auto"/>
        </w:rPr>
      </w:pPr>
    </w:p>
    <w:p>
      <w:pPr>
        <w:spacing w:after="0" w:line="38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136" w:right="1440" w:bottom="1440" w:gutter="0" w:footer="0" w:header="0"/>
        </w:sectPr>
      </w:pPr>
    </w:p>
    <w:bookmarkStart w:id="33" w:name="page34"/>
    <w:bookmarkEnd w:id="33"/>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left="220" w:right="6639" w:hanging="212"/>
        <w:spacing w:after="0" w:line="536" w:lineRule="auto"/>
        <w:tabs>
          <w:tab w:leader="none" w:pos="536"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ACCOUNTING PRONOUNCEMENTS SFAS NO. 141 AND SFAS NO. 142</w:t>
      </w:r>
    </w:p>
    <w:p>
      <w:pPr>
        <w:spacing w:after="0" w:line="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June 2001, the Financial Accounting Standards Board issued Statement of Financial Accounting Standards No. 141, Accounting for Business Combinations ("SFAS No. 141"), and Statement of Financial Accounting Standards No. 142, Accounting for Goodwill and Other Intangible Assets ("SFAS No. 142"). SFAS No. 141 requires that all business combinations be accounted for using the purchase method of accounting and prohibits the pooling-of-interests method for business combinations initiated after June 30, 2001. According to SFAS No. 142, goodwill that arose from business combinations after June 30, 2001 cannot be amortized. In addition, SFAS No. 142 required the continuation of the amortization of goodwill and all intangible assets through December 31, 2001. The amortization of existing goodwill ceased on January 1, 2002. SFAS No. 142 requires a two-step impairment approach for goodwill. Companies must first determine whether goodwill is impaired and if so, they must value that impairment based on the amount by which the book value exceeds the estimated fair value. Companies have six months from the date they initially apply SFAS No. 142 to test goodwill for impairment and any impairment charge resulting from the initial application of the new accounting pronouncement must be classified as the cumulative effect of a change in accounting principle. Thereafter, goodwill must be tested for impairment annually and impairment losses must be presented in the operating section of the income statement unless they are associated with a discontinued operation. In those cases, any impairment losses will be included, net of tax, within the results of discontinued operations.</w:t>
      </w:r>
    </w:p>
    <w:p>
      <w:pPr>
        <w:spacing w:after="0" w:line="200" w:lineRule="exact"/>
        <w:rPr>
          <w:sz w:val="20"/>
          <w:szCs w:val="20"/>
          <w:color w:val="auto"/>
        </w:rPr>
      </w:pPr>
    </w:p>
    <w:p>
      <w:pPr>
        <w:spacing w:after="0" w:line="39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accordance with the Company's adoption of SFAS No. 141, the Company utilizes the purchase method of accounting for its business combinations. In accordance with the Company's adoption of SFAS No. 142, the Company has not amortized goodwill from any acquisitions that occurred after June 30, 2001. The Company has no intangible assets, other than goodwill, that have ceased being amortized upon adoption of SFAS No. 142.</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Adopting SFAS No. 141 required the Company to write-off net negative goodwill of approximately $2 million, which was recorded as a credit to cumulative effect of change in accounting principle in the first quarter of 2002. In accordance with SFAS No. 142, goodwill is required to be tested for impairment at the reporting unit, which is generally defined as an operating segment or a component of an operating segment in certain circumstances. For the purposes of applying SFAS No. 142, the Company has identified seven reporting units, which are the six components in NASW (excluding WTI) and WTI, as described in Note 9, Segment and Related Information. The Company incurred no impairment of goodwill upon its initial adoption of SFAS No. 142. However, there can be no assurance that goodwill will not be impaired at any time in the future.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514" w:right="1440" w:bottom="1440" w:gutter="0" w:footer="0" w:header="0"/>
        </w:sectPr>
      </w:pPr>
    </w:p>
    <w:bookmarkStart w:id="34" w:name="page35"/>
    <w:bookmarkEnd w:id="34"/>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The following schedule reflects the three and nine months ended September 30, 2001 adjusted net income (excluding goodwill and negative goodwill amortization) as compared to the results of operations for the three and nine months ended September 30, 2002 (in millions, except per share amounts).</w:t>
      </w:r>
    </w:p>
    <w:p>
      <w:pPr>
        <w:spacing w:after="0" w:line="177"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THREE MONTHS NINE MONTHS ENDED ENDED</w:t>
      </w:r>
    </w:p>
    <w:p>
      <w:pPr>
        <w:ind w:left="60"/>
        <w:spacing w:after="0" w:line="238" w:lineRule="auto"/>
        <w:rPr>
          <w:sz w:val="20"/>
          <w:szCs w:val="20"/>
          <w:color w:val="auto"/>
        </w:rPr>
      </w:pPr>
      <w:r>
        <w:rPr>
          <w:rFonts w:ascii="Courier New" w:cs="Courier New" w:eastAsia="Courier New" w:hAnsi="Courier New"/>
          <w:sz w:val="18"/>
          <w:szCs w:val="18"/>
          <w:color w:val="auto"/>
        </w:rPr>
        <w:t>SEPTEMBER 30, SEPTEMBER 30, -------------</w:t>
      </w:r>
    </w:p>
    <w:p>
      <w:pPr>
        <w:spacing w:after="0" w:line="5"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------------- 2002 2001 2002 2001 ----- -</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 ----- ----- Reported net</w:t>
      </w:r>
    </w:p>
    <w:p>
      <w:pPr>
        <w:spacing w:after="0" w:line="4"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6"/>
          <w:szCs w:val="16"/>
          <w:color w:val="auto"/>
        </w:rPr>
        <w:t>income....................................</w:t>
      </w:r>
    </w:p>
    <w:p>
      <w:pPr>
        <w:spacing w:after="0" w:line="21"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$ 231 $ 30 $ 586 $ 345 Add back: goodwill</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amortization, net of taxes.......... --</w:t>
      </w:r>
    </w:p>
    <w:p>
      <w:pPr>
        <w:ind w:left="60"/>
        <w:spacing w:after="0" w:line="238" w:lineRule="auto"/>
        <w:rPr>
          <w:sz w:val="20"/>
          <w:szCs w:val="20"/>
          <w:color w:val="auto"/>
        </w:rPr>
      </w:pPr>
      <w:r>
        <w:rPr>
          <w:rFonts w:ascii="Courier New" w:cs="Courier New" w:eastAsia="Courier New" w:hAnsi="Courier New"/>
          <w:sz w:val="18"/>
          <w:szCs w:val="18"/>
          <w:color w:val="auto"/>
        </w:rPr>
        <w:t>31 -- 93 ----- ----- ----- ----- Adjusted</w:t>
      </w:r>
    </w:p>
    <w:p>
      <w:pPr>
        <w:jc w:val="center"/>
        <w:ind w:right="5799"/>
        <w:spacing w:after="0"/>
        <w:rPr>
          <w:sz w:val="20"/>
          <w:szCs w:val="20"/>
          <w:color w:val="auto"/>
        </w:rPr>
      </w:pPr>
      <w:r>
        <w:rPr>
          <w:rFonts w:ascii="Courier New" w:cs="Courier New" w:eastAsia="Courier New" w:hAnsi="Courier New"/>
          <w:sz w:val="18"/>
          <w:szCs w:val="18"/>
          <w:color w:val="auto"/>
        </w:rPr>
        <w:t>net</w:t>
      </w:r>
    </w:p>
    <w:p>
      <w:pPr>
        <w:spacing w:after="0" w:line="237" w:lineRule="auto"/>
        <w:rPr>
          <w:sz w:val="20"/>
          <w:szCs w:val="20"/>
          <w:color w:val="auto"/>
        </w:rPr>
      </w:pPr>
      <w:r>
        <w:rPr>
          <w:rFonts w:ascii="Courier New" w:cs="Courier New" w:eastAsia="Courier New" w:hAnsi="Courier New"/>
          <w:sz w:val="18"/>
          <w:szCs w:val="18"/>
          <w:color w:val="auto"/>
        </w:rPr>
        <w:t>income....................................</w:t>
      </w:r>
    </w:p>
    <w:p>
      <w:pPr>
        <w:ind w:left="320" w:hanging="210"/>
        <w:spacing w:after="0" w:line="238" w:lineRule="auto"/>
        <w:tabs>
          <w:tab w:leader="none" w:pos="3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231 $ 61 $ 586 $ 438 ===== ===== =====</w:t>
      </w:r>
    </w:p>
    <w:p>
      <w:pPr>
        <w:spacing w:after="0" w:line="4" w:lineRule="exact"/>
        <w:rPr>
          <w:rFonts w:ascii="Courier New" w:cs="Courier New" w:eastAsia="Courier New" w:hAnsi="Courier New"/>
          <w:sz w:val="18"/>
          <w:szCs w:val="18"/>
          <w:color w:val="auto"/>
        </w:rPr>
      </w:pPr>
    </w:p>
    <w:p>
      <w:pPr>
        <w:ind w:left="1580" w:right="5999" w:hanging="1366"/>
        <w:spacing w:after="0" w:line="235" w:lineRule="auto"/>
        <w:tabs>
          <w:tab w:leader="none" w:pos="842"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BASIC EARNINGS PER COMMON SHARE: Reported net</w:t>
      </w:r>
    </w:p>
    <w:p>
      <w:pPr>
        <w:spacing w:after="0" w:line="6"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6"/>
          <w:szCs w:val="16"/>
          <w:color w:val="auto"/>
        </w:rPr>
        <w:t>income....................................</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$0.38 $0.05 $0.95 $0.55 Goodwill</w:t>
      </w:r>
    </w:p>
    <w:p>
      <w:pPr>
        <w:jc w:val="center"/>
        <w:ind w:right="5799"/>
        <w:spacing w:after="0" w:line="238" w:lineRule="auto"/>
        <w:rPr>
          <w:sz w:val="20"/>
          <w:szCs w:val="20"/>
          <w:color w:val="auto"/>
        </w:rPr>
      </w:pPr>
      <w:r>
        <w:rPr>
          <w:rFonts w:ascii="Courier New" w:cs="Courier New" w:eastAsia="Courier New" w:hAnsi="Courier New"/>
          <w:sz w:val="18"/>
          <w:szCs w:val="18"/>
          <w:color w:val="auto"/>
        </w:rPr>
        <w:t>amortization, net of</w:t>
      </w:r>
    </w:p>
    <w:p>
      <w:pPr>
        <w:spacing w:after="0" w:line="5"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taxes.................... -- 0.05 -- 0.15</w:t>
      </w:r>
    </w:p>
    <w:p>
      <w:pPr>
        <w:spacing w:after="0" w:line="21" w:lineRule="exact"/>
        <w:rPr>
          <w:sz w:val="20"/>
          <w:szCs w:val="20"/>
          <w:color w:val="auto"/>
        </w:rPr>
      </w:pPr>
    </w:p>
    <w:p>
      <w:pPr>
        <w:ind w:right="5779" w:firstLine="320"/>
        <w:spacing w:after="0" w:line="268" w:lineRule="auto"/>
        <w:tabs>
          <w:tab w:leader="none" w:pos="944"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Adjusted net income....................................</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$0.38 $0.10 $0.95 $0.70 ===== ===== =====</w:t>
      </w:r>
    </w:p>
    <w:p>
      <w:pPr>
        <w:spacing w:after="0" w:line="4" w:lineRule="exact"/>
        <w:rPr>
          <w:rFonts w:ascii="Courier New" w:cs="Courier New" w:eastAsia="Courier New" w:hAnsi="Courier New"/>
          <w:sz w:val="16"/>
          <w:szCs w:val="16"/>
          <w:color w:val="auto"/>
        </w:rPr>
      </w:pPr>
    </w:p>
    <w:p>
      <w:pPr>
        <w:ind w:left="1580" w:right="5899" w:hanging="1471"/>
        <w:spacing w:after="0" w:line="235" w:lineRule="auto"/>
        <w:tabs>
          <w:tab w:leader="none" w:pos="737"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DILUTED EARNINGS PER COMMON SHARE: Reported net</w:t>
      </w:r>
    </w:p>
    <w:p>
      <w:pPr>
        <w:spacing w:after="0" w:line="6"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6"/>
          <w:szCs w:val="16"/>
          <w:color w:val="auto"/>
        </w:rPr>
        <w:t>income....................................</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$0.38 $0.05 $0.94 $0.55 Goodwill</w:t>
      </w:r>
    </w:p>
    <w:p>
      <w:pPr>
        <w:jc w:val="center"/>
        <w:ind w:right="5799"/>
        <w:spacing w:after="0" w:line="238" w:lineRule="auto"/>
        <w:rPr>
          <w:sz w:val="20"/>
          <w:szCs w:val="20"/>
          <w:color w:val="auto"/>
        </w:rPr>
      </w:pPr>
      <w:r>
        <w:rPr>
          <w:rFonts w:ascii="Courier New" w:cs="Courier New" w:eastAsia="Courier New" w:hAnsi="Courier New"/>
          <w:sz w:val="18"/>
          <w:szCs w:val="18"/>
          <w:color w:val="auto"/>
        </w:rPr>
        <w:t>amortization, net of</w:t>
      </w:r>
    </w:p>
    <w:p>
      <w:pPr>
        <w:spacing w:after="0" w:line="5"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taxes.................... -- 0.05 -- 0.15</w:t>
      </w:r>
    </w:p>
    <w:p>
      <w:pPr>
        <w:spacing w:after="0" w:line="21" w:lineRule="exact"/>
        <w:rPr>
          <w:sz w:val="20"/>
          <w:szCs w:val="20"/>
          <w:color w:val="auto"/>
        </w:rPr>
      </w:pPr>
    </w:p>
    <w:p>
      <w:pPr>
        <w:ind w:right="5779" w:firstLine="320"/>
        <w:spacing w:after="0" w:line="268" w:lineRule="auto"/>
        <w:tabs>
          <w:tab w:leader="none" w:pos="944"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Adjusted net income....................................</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$0.38 $0.10 $0.94 $0.70 ===== ===== =====</w:t>
      </w:r>
    </w:p>
    <w:p>
      <w:pPr>
        <w:ind w:left="1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Company's intangible assets as of September 30, 2002 were comprised of the following (in millions):</w:t>
      </w:r>
    </w:p>
    <w:p>
      <w:pPr>
        <w:spacing w:after="0" w:line="203"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LICENSES, COVENANTS PERMITS NOT-</w:t>
      </w:r>
    </w:p>
    <w:p>
      <w:pPr>
        <w:jc w:val="center"/>
        <w:ind w:right="6739"/>
        <w:spacing w:after="0" w:line="238" w:lineRule="auto"/>
        <w:rPr>
          <w:sz w:val="20"/>
          <w:szCs w:val="20"/>
          <w:color w:val="auto"/>
        </w:rPr>
      </w:pPr>
      <w:r>
        <w:rPr>
          <w:rFonts w:ascii="Courier New" w:cs="Courier New" w:eastAsia="Courier New" w:hAnsi="Courier New"/>
          <w:sz w:val="18"/>
          <w:szCs w:val="18"/>
          <w:color w:val="auto"/>
        </w:rPr>
        <w:t>TO- AND CUSTOMER LISTS COMPETE</w:t>
      </w:r>
    </w:p>
    <w:p>
      <w:pPr>
        <w:ind w:left="60"/>
        <w:spacing w:after="0"/>
        <w:rPr>
          <w:sz w:val="20"/>
          <w:szCs w:val="20"/>
          <w:color w:val="auto"/>
        </w:rPr>
      </w:pPr>
      <w:r>
        <w:rPr>
          <w:rFonts w:ascii="Courier New" w:cs="Courier New" w:eastAsia="Courier New" w:hAnsi="Courier New"/>
          <w:sz w:val="18"/>
          <w:szCs w:val="18"/>
          <w:color w:val="auto"/>
        </w:rPr>
        <w:t>OTHER TOTAL -------------- -----</w:t>
      </w:r>
    </w:p>
    <w:p>
      <w:pPr>
        <w:spacing w:after="0" w:line="3" w:lineRule="exact"/>
        <w:rPr>
          <w:sz w:val="20"/>
          <w:szCs w:val="20"/>
          <w:color w:val="auto"/>
        </w:rPr>
      </w:pPr>
    </w:p>
    <w:p>
      <w:pPr>
        <w:ind w:right="6739" w:firstLine="111"/>
        <w:spacing w:after="0" w:line="268" w:lineRule="auto"/>
        <w:tabs>
          <w:tab w:leader="none" w:pos="629"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Intangible assets...........................</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$128 $ 97 $21 $ 246 Less</w:t>
      </w: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accumulated</w:t>
      </w:r>
    </w:p>
    <w:tbl>
      <w:tblPr>
        <w:tblLayout w:type="fixed"/>
        <w:tblInd w:w="60" w:type="dxa"/>
        <w:tblCellMar>
          <w:top w:w="0" w:type="dxa"/>
          <w:left w:w="0" w:type="dxa"/>
          <w:bottom w:w="0" w:type="dxa"/>
          <w:right w:w="0" w:type="dxa"/>
        </w:tblCellMar>
      </w:tblPr>
      <w:tr>
        <w:trPr>
          <w:trHeight w:val="203"/>
        </w:trPr>
        <w:tc>
          <w:tcPr>
            <w:tcW w:w="2900" w:type="dxa"/>
            <w:vAlign w:val="bottom"/>
          </w:tcPr>
          <w:p>
            <w:pPr>
              <w:spacing w:after="0"/>
              <w:rPr>
                <w:sz w:val="20"/>
                <w:szCs w:val="20"/>
                <w:color w:val="auto"/>
              </w:rPr>
            </w:pPr>
            <w:r>
              <w:rPr>
                <w:rFonts w:ascii="Courier New" w:cs="Courier New" w:eastAsia="Courier New" w:hAnsi="Courier New"/>
                <w:sz w:val="18"/>
                <w:szCs w:val="18"/>
                <w:color w:val="auto"/>
                <w:w w:val="98"/>
              </w:rPr>
              <w:t>amortization...............</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(74)</w:t>
            </w:r>
          </w:p>
        </w:tc>
      </w:tr>
    </w:tbl>
    <w:p>
      <w:pPr>
        <w:ind w:left="580" w:hanging="522"/>
        <w:spacing w:after="0" w:line="238" w:lineRule="auto"/>
        <w:tabs>
          <w:tab w:leader="none" w:pos="58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(137) ---- ----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$ 54 $ 41 $14 $ 109 ==== ====</w:t>
      </w:r>
    </w:p>
    <w:p>
      <w:pPr>
        <w:ind w:left="1700" w:hanging="431"/>
        <w:spacing w:after="0" w:line="238" w:lineRule="auto"/>
        <w:tabs>
          <w:tab w:leader="none" w:pos="1700"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Intangible assets are recorded at cost and amortized on a straight-line basis. Customer lists are generally amortized over five to seven years. Covenants not-to-compete are amortized over the term of the agreement, which is generally three to five years. Licenses, permits and other intangible assets are amortized over the terms of the related agreement or the Company's estimate of the useful life if there are no definite terms. Landfill operating permits are not presented above and are recognized on a combined basis with other landfill assets and amortized using the Company's landfill amortization method. The intangible asset amortization expense estimated as of December 31, 2001, for the five years following 2001 is as follows (in millions):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2002</w:t>
      </w:r>
    </w:p>
    <w:p>
      <w:pPr>
        <w:spacing w:after="0" w:line="238" w:lineRule="auto"/>
        <w:rPr>
          <w:sz w:val="20"/>
          <w:szCs w:val="20"/>
          <w:color w:val="auto"/>
        </w:rPr>
      </w:pPr>
      <w:r>
        <w:rPr>
          <w:rFonts w:ascii="Courier New" w:cs="Courier New" w:eastAsia="Courier New" w:hAnsi="Courier New"/>
          <w:sz w:val="18"/>
          <w:szCs w:val="18"/>
          <w:color w:val="auto"/>
        </w:rPr>
        <w:t>2003</w:t>
      </w:r>
    </w:p>
    <w:p>
      <w:pPr>
        <w:spacing w:after="0"/>
        <w:rPr>
          <w:sz w:val="20"/>
          <w:szCs w:val="20"/>
          <w:color w:val="auto"/>
        </w:rPr>
      </w:pPr>
      <w:r>
        <w:rPr>
          <w:rFonts w:ascii="Courier New" w:cs="Courier New" w:eastAsia="Courier New" w:hAnsi="Courier New"/>
          <w:sz w:val="18"/>
          <w:szCs w:val="18"/>
          <w:color w:val="auto"/>
        </w:rPr>
        <w:t>2004</w:t>
      </w:r>
    </w:p>
    <w:p>
      <w:pPr>
        <w:spacing w:after="0" w:line="237" w:lineRule="auto"/>
        <w:rPr>
          <w:sz w:val="20"/>
          <w:szCs w:val="20"/>
          <w:color w:val="auto"/>
        </w:rPr>
      </w:pPr>
      <w:r>
        <w:rPr>
          <w:rFonts w:ascii="Courier New" w:cs="Courier New" w:eastAsia="Courier New" w:hAnsi="Courier New"/>
          <w:sz w:val="18"/>
          <w:szCs w:val="18"/>
          <w:color w:val="auto"/>
        </w:rPr>
        <w:t>2005</w:t>
      </w:r>
    </w:p>
    <w:p>
      <w:pPr>
        <w:spacing w:after="0" w:line="238" w:lineRule="auto"/>
        <w:rPr>
          <w:sz w:val="20"/>
          <w:szCs w:val="20"/>
          <w:color w:val="auto"/>
        </w:rPr>
      </w:pPr>
      <w:r>
        <w:rPr>
          <w:rFonts w:ascii="Courier New" w:cs="Courier New" w:eastAsia="Courier New" w:hAnsi="Courier New"/>
          <w:sz w:val="18"/>
          <w:szCs w:val="18"/>
          <w:color w:val="auto"/>
        </w:rPr>
        <w:t>2006</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14" w:right="1440" w:bottom="0" w:gutter="0" w:footer="0" w:header="0"/>
        </w:sectPr>
      </w:pPr>
    </w:p>
    <w:bookmarkStart w:id="35" w:name="page36"/>
    <w:bookmarkEnd w:id="35"/>
    <w:p>
      <w:pPr>
        <w:jc w:val="center"/>
        <w:ind w:right="9799"/>
        <w:spacing w:after="0"/>
        <w:rPr>
          <w:sz w:val="20"/>
          <w:szCs w:val="20"/>
          <w:color w:val="auto"/>
        </w:rPr>
      </w:pPr>
      <w:r>
        <w:rPr>
          <w:rFonts w:ascii="Courier New" w:cs="Courier New" w:eastAsia="Courier New" w:hAnsi="Courier New"/>
          <w:sz w:val="18"/>
          <w:szCs w:val="18"/>
          <w:color w:val="auto"/>
        </w:rPr>
        <w:t>---</w:t>
      </w:r>
    </w:p>
    <w:p>
      <w:pPr>
        <w:jc w:val="center"/>
        <w:ind w:right="9799"/>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$34</w:t>
      </w:r>
    </w:p>
    <w:p>
      <w:pPr>
        <w:ind w:left="60"/>
        <w:spacing w:after="0" w:line="237" w:lineRule="auto"/>
        <w:rPr>
          <w:sz w:val="20"/>
          <w:szCs w:val="20"/>
          <w:color w:val="auto"/>
        </w:rPr>
      </w:pPr>
      <w:r>
        <w:rPr>
          <w:rFonts w:ascii="Courier New" w:cs="Courier New" w:eastAsia="Courier New" w:hAnsi="Courier New"/>
          <w:sz w:val="18"/>
          <w:szCs w:val="18"/>
          <w:color w:val="auto"/>
        </w:rPr>
        <w:t>$30</w:t>
      </w:r>
    </w:p>
    <w:p>
      <w:pPr>
        <w:ind w:left="60"/>
        <w:spacing w:after="0" w:line="238" w:lineRule="auto"/>
        <w:rPr>
          <w:sz w:val="20"/>
          <w:szCs w:val="20"/>
          <w:color w:val="auto"/>
        </w:rPr>
      </w:pPr>
      <w:r>
        <w:rPr>
          <w:rFonts w:ascii="Courier New" w:cs="Courier New" w:eastAsia="Courier New" w:hAnsi="Courier New"/>
          <w:sz w:val="18"/>
          <w:szCs w:val="18"/>
          <w:color w:val="auto"/>
        </w:rPr>
        <w:t>$22</w:t>
      </w:r>
    </w:p>
    <w:p>
      <w:pPr>
        <w:ind w:left="60"/>
        <w:spacing w:after="0"/>
        <w:rPr>
          <w:sz w:val="20"/>
          <w:szCs w:val="20"/>
          <w:color w:val="auto"/>
        </w:rPr>
      </w:pPr>
      <w:r>
        <w:rPr>
          <w:rFonts w:ascii="Courier New" w:cs="Courier New" w:eastAsia="Courier New" w:hAnsi="Courier New"/>
          <w:sz w:val="18"/>
          <w:szCs w:val="18"/>
          <w:color w:val="auto"/>
        </w:rPr>
        <w:t>$13</w:t>
      </w:r>
    </w:p>
    <w:p>
      <w:pPr>
        <w:ind w:left="120"/>
        <w:spacing w:after="0" w:line="237" w:lineRule="auto"/>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10"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As of September 30, 2002, the amount of goodwill attributable to WTI was approximately $783 million. The remaining goodwill balance of approximately $4,264 million was attributable to NASW (excluding WTI).</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SFAS NO. 143</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June 2001, the Financial Accounting Standards Board issued SFAS No. 143, which applies to all legally enforceable obligations associated with the retirement of tangible long-lived assets and provides the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136" w:right="1440" w:bottom="1440" w:gutter="0" w:footer="0" w:header="0"/>
        </w:sectPr>
      </w:pPr>
    </w:p>
    <w:bookmarkStart w:id="36" w:name="page37"/>
    <w:bookmarkEnd w:id="36"/>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accounting and reporting requirements for such obligations. SFAS No. 143 requires amounts initially recognized as an asset retirement obligation to be measured at fair value. The recognized asset retirement cost is capitalized as part of the cost of the asset and is depreciated over the useful life of the asset. The Company expects to adopt SFAS No. 143 beginning January 1, 2003 and to record a cumulative effect of a change in accounting principle.</w:t>
      </w:r>
    </w:p>
    <w:p>
      <w:pPr>
        <w:spacing w:after="0" w:line="18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SFAS No. 143 will impact the Company's accounting for its landfill operations. Costs associated with future capping activities that occur during the operating life of a landfill, which are currently recognized on an undiscounted basis over the operating life of the landfill as airspace is consumed, will be accounted for as an asset retirement obligation under SFAS No. 143, on a discounted basis. The Company expects to recognize landfill retirement obligations, which relate to capping, other closure and post-closure activities, over the operating life of a landfill as landfill airspace is consumed. These obligations will be initially measured at estimated fair value. Fair value will be measured on a present value basis, using a credit-adjusted, risk-free rate, which will be a higher rate than the risk-free rate the Company currently uses for discounting its final closure and post-closure obligations. Interest will be accreted on landfill retirement obligations using the effective interest method. Landfill retirement costs, which will be capitalized as part of the landfill asset, will be amortized using the Company's existing landfill accounting practices. The Company is addressing which of its other assets may be affected by the provisions of SFAS No. 143. The Company's management has not yet determined the pro forma, cumulative or future effects of the adoption of SFAS No. 143 on its results of operations or financial position. The adoption of SFAS No. 143 will have no effect on the Company's cash flow.</w:t>
      </w:r>
    </w:p>
    <w:p>
      <w:pPr>
        <w:spacing w:after="0" w:line="38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SFAS NO. 144</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August 2001, the Financial Accounting Standards Board issued Statement of Financial Accounting Standards No. 144, Accounting for the Impairment or Disposal of Long-Lived Assets ("SFAS No. 144"), which supersedes Statement of Financial Accounting Standards No. 121. SFAS No. 144 establishes a single accounting method for long-lived assets to be disposed of by sale, whether previously held and used or newly acquired, and extends the presentation of discontinued operations to include more divestiture transactions. SFAS No. 144 also requires that an impairment loss be recognized for assets held-for-use when the carrying amount of an asset, or group of assets if the cash flows from those assets cannot be independently and separately identified, is not recoverable. The carrying amount of an asset or asset group is not recoverable if it exceeds the sum of the undiscounted cash flows expected to result from the use and eventual disposition of the asset or asset group, excluding interest charges. Estimates of future cash flows used to test the recoverability of a long-lived asset or asset group must incorporate a company's own assumptions about its use of the asset or asset group and must factor in all available evidence. The Company adopted SFAS No. 144 on January 1, 2002. Upon initial application of SFAS No. 144, certain previously held-for-sale assets did not meet SFAS No. 144 criteria to be held-for-sale because their anticipated sale is in 2003. However, under the transition provisions of SFAS No. 144, the Company has until December 31, 2002 to either sell these assets or meet the new held-for-sale criteria to avoid reclassifying the assets to held-for-use.</w:t>
      </w: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SFAS NO. 145</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April 2002, the Financial Accounting Standards Board issued Statement of Financial Accounting Standards No. 145, Rescission of FASB Statements No. 4, 44, and 64, Amendment of FASB Statement No. 13, and Technical Corrections ("SFAS No. 145"). SFAS No. 145 requires that gains and losses from extinguishment of debt be classified as extraordinary items only if they meet the criteria in Accounting Principles Board Opinion No. 30 ("Opinion No. 30"). Applying the provisions of Opinion No. 30 will distinguish transactions that are part of an entity's recurring operations from those that are unusual and infrequent and meet the criteria for classification as an extraordinary item. SFAS No. 145 is effective for the Company beginning January 1, 2003. Upon the adoption of SFAS No. 145, the Company will reclassify</w:t>
      </w:r>
    </w:p>
    <w:p>
      <w:pPr>
        <w:spacing w:after="0" w:line="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514" w:right="1440" w:bottom="1440" w:gutter="0" w:footer="0" w:header="0"/>
        </w:sectPr>
      </w:pPr>
    </w:p>
    <w:bookmarkStart w:id="37" w:name="page38"/>
    <w:bookmarkEnd w:id="37"/>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certain items in its prior period statements of operations to conform to the presentation required by SFAS No. 145. Under SFAS No. 145, the Company will report gains and losses on the extinguishment of debt in pre-tax earnings rather than in extraordinary items.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SFAS NO. 146</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In July 2002, the Financial Accounting Standards Board issued Statement of Financial Accounting Standards No. 146, Accounting for Costs Associated with Exit or Disposal Activities ("SFAS No. 146"). SFAS No. 146 addresses financial accounting and reporting for costs associated with exit or disposal activities, such as restructuring, involuntarily terminating employees, and consolidating facilities, initiated after December 31, 2002. The implementation of SFAS No.</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146 will not require the restatement of previously issued financial statements. Implementation of the pronouncement will therefore have no impact on the current year financial statements of the Company. See Note 3 for discussion on the restructuring initiated by the Company in March 2002.</w:t>
      </w:r>
    </w:p>
    <w:p>
      <w:pPr>
        <w:spacing w:after="0" w:line="202" w:lineRule="exact"/>
        <w:rPr>
          <w:sz w:val="20"/>
          <w:szCs w:val="20"/>
          <w:color w:val="auto"/>
        </w:rPr>
      </w:pPr>
    </w:p>
    <w:p>
      <w:pPr>
        <w:ind w:left="540" w:hanging="532"/>
        <w:spacing w:after="0"/>
        <w:tabs>
          <w:tab w:leader="none" w:pos="5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EVENTS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August 2002, DLJ Brand Services, Inc. ("DLJ Brand"), a holding company whose wholly owned subsidiary Brand Services, Inc. provides scaffolding services in North America, entered into a plan and agreement of merger pursuant to which DLJ Brand would be merged into an entity owned by J.P. Morgan Partners, LLC. The Company owned approximately 17% of the shares of DLJ Brand before the merger. In October 2002, the merger was completed, and the Company received approximately $33 million in cash, a note receivable of approximately $4 million and warrants to purchase securities in the merged entity. The Company also received approximately $21 million for the repayment of a subordinated note that came due upon the change of control of DLJ Brand. The Company expects to record a pre-tax gain of approximately $40 million in the fourth quarter of 2002 related to this transaction.</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514" w:right="1440" w:bottom="1440" w:gutter="0" w:footer="0" w:header="0"/>
        </w:sectPr>
      </w:pPr>
    </w:p>
    <w:bookmarkStart w:id="38" w:name="page39"/>
    <w:bookmarkEnd w:id="38"/>
    <w:p>
      <w:pPr>
        <w:ind w:left="860" w:right="1879" w:hanging="842"/>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When we make statements containing projections about our accounting and finances, about our plans and objectives for the future, about our future economic performance or statements containing any other projections or estimates about our assumptions relating to these types of statements, we are making forward-looking statements. The statements usually relate to future events and anticipated revenues, earnings or other aspects of our operations or operating results. We make these statements in an effort to keep stockholders and the public informed about our business, and have based them on our current expectations about future events. You should view such statements with caution. These statements are not guarantees of future performance or events. All phases of our business are subject to uncertainties, risks and other influences, many over which we have no control. Any of these factors, either alone or taken together, could have a material adverse effect on us and could change whether any forward-looking statement ultimately turns out to be true. Additionally, we assume no obligation to update any forward-looking statements as a result of future events or developments.</w:t>
      </w:r>
    </w:p>
    <w:p>
      <w:pPr>
        <w:spacing w:after="0" w:line="200" w:lineRule="exact"/>
        <w:rPr>
          <w:sz w:val="20"/>
          <w:szCs w:val="20"/>
          <w:color w:val="auto"/>
        </w:rPr>
      </w:pPr>
    </w:p>
    <w:p>
      <w:pPr>
        <w:spacing w:after="0" w:line="3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Outlined below are some of the risks that we face and that could affect our business and financial statements for the remainder of 2002 and beyond. However, they are not the only risks that we face. There may be additional risks that we do not presently know or that we currently believe are immaterial which could also impair our business.</w:t>
      </w:r>
    </w:p>
    <w:p>
      <w:pPr>
        <w:spacing w:after="0" w:line="209" w:lineRule="exact"/>
        <w:rPr>
          <w:sz w:val="20"/>
          <w:szCs w:val="20"/>
          <w:color w:val="auto"/>
        </w:rPr>
      </w:pPr>
    </w:p>
    <w:p>
      <w:pPr>
        <w:ind w:left="860" w:right="1879" w:hanging="325"/>
        <w:spacing w:after="0" w:line="236" w:lineRule="auto"/>
        <w:tabs>
          <w:tab w:leader="none" w:pos="86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changes in our estimates of site remediation requirements, final closure and post-closure obligations, compliance and other audits and regulatory developments;</w:t>
      </w:r>
    </w:p>
    <w:p>
      <w:pPr>
        <w:spacing w:after="0" w:line="208" w:lineRule="exact"/>
        <w:rPr>
          <w:rFonts w:ascii="Courier New" w:cs="Courier New" w:eastAsia="Courier New" w:hAnsi="Courier New"/>
          <w:sz w:val="18"/>
          <w:szCs w:val="18"/>
          <w:color w:val="auto"/>
        </w:rPr>
      </w:pPr>
    </w:p>
    <w:p>
      <w:pPr>
        <w:ind w:left="860" w:right="1999" w:hanging="325"/>
        <w:spacing w:after="0" w:line="275" w:lineRule="auto"/>
        <w:tabs>
          <w:tab w:leader="none" w:pos="86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possible impact of regulations on our business, including the cost to comply with regulatory requirements and the potential liabilities associated with disposal operations, as well as our ability to obtain and maintain permits needed to operate our facilities;</w:t>
      </w:r>
    </w:p>
    <w:p>
      <w:pPr>
        <w:spacing w:after="0" w:line="182" w:lineRule="exact"/>
        <w:rPr>
          <w:rFonts w:ascii="Courier New" w:cs="Courier New" w:eastAsia="Courier New" w:hAnsi="Courier New"/>
          <w:sz w:val="16"/>
          <w:szCs w:val="16"/>
          <w:color w:val="auto"/>
        </w:rPr>
      </w:pPr>
    </w:p>
    <w:p>
      <w:pPr>
        <w:ind w:left="860" w:right="2419" w:hanging="325"/>
        <w:spacing w:after="0" w:line="235" w:lineRule="auto"/>
        <w:tabs>
          <w:tab w:leader="none" w:pos="86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of limitations or bans on disposal or transportation of out-of-state waste or certain categories of waste;</w:t>
      </w:r>
    </w:p>
    <w:p>
      <w:pPr>
        <w:spacing w:after="0" w:line="208" w:lineRule="exact"/>
        <w:rPr>
          <w:rFonts w:ascii="Courier New" w:cs="Courier New" w:eastAsia="Courier New" w:hAnsi="Courier New"/>
          <w:sz w:val="18"/>
          <w:szCs w:val="18"/>
          <w:color w:val="auto"/>
        </w:rPr>
      </w:pPr>
    </w:p>
    <w:p>
      <w:pPr>
        <w:ind w:left="860" w:right="1999" w:hanging="325"/>
        <w:spacing w:after="0" w:line="235" w:lineRule="auto"/>
        <w:tabs>
          <w:tab w:leader="none" w:pos="86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charges against earnings for certain shut down operations and uncompleted acquisitions or development or expansion projects;</w:t>
      </w:r>
    </w:p>
    <w:p>
      <w:pPr>
        <w:spacing w:after="0" w:line="208" w:lineRule="exact"/>
        <w:rPr>
          <w:rFonts w:ascii="Courier New" w:cs="Courier New" w:eastAsia="Courier New" w:hAnsi="Courier New"/>
          <w:sz w:val="18"/>
          <w:szCs w:val="18"/>
          <w:color w:val="auto"/>
        </w:rPr>
      </w:pPr>
    </w:p>
    <w:p>
      <w:pPr>
        <w:jc w:val="both"/>
        <w:ind w:left="860" w:right="2099" w:hanging="325"/>
        <w:spacing w:after="0" w:line="290" w:lineRule="auto"/>
        <w:tabs>
          <w:tab w:leader="none" w:pos="86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possible charges for asset impairments to long-lived assets resulting from changes in circumstances or future business events or decisions;</w:t>
      </w:r>
    </w:p>
    <w:p>
      <w:pPr>
        <w:spacing w:after="0" w:line="169" w:lineRule="exact"/>
        <w:rPr>
          <w:rFonts w:ascii="Courier New" w:cs="Courier New" w:eastAsia="Courier New" w:hAnsi="Courier New"/>
          <w:sz w:val="16"/>
          <w:szCs w:val="16"/>
          <w:color w:val="auto"/>
        </w:rPr>
      </w:pPr>
    </w:p>
    <w:p>
      <w:pPr>
        <w:ind w:left="860" w:right="1779" w:hanging="325"/>
        <w:spacing w:after="0" w:line="237" w:lineRule="auto"/>
        <w:tabs>
          <w:tab w:leader="none" w:pos="86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effects that trends toward requiring recycling, waste reduction at the source and prohibiting the disposal of certain types of wastes could have on volumes of waste going to landfills and waste-to-energy facilities;</w:t>
      </w:r>
    </w:p>
    <w:p>
      <w:pPr>
        <w:spacing w:after="0" w:line="207" w:lineRule="exact"/>
        <w:rPr>
          <w:rFonts w:ascii="Courier New" w:cs="Courier New" w:eastAsia="Courier New" w:hAnsi="Courier New"/>
          <w:sz w:val="18"/>
          <w:szCs w:val="18"/>
          <w:color w:val="auto"/>
        </w:rPr>
      </w:pPr>
    </w:p>
    <w:p>
      <w:pPr>
        <w:ind w:left="860" w:right="1779" w:hanging="325"/>
        <w:spacing w:after="0" w:line="235" w:lineRule="auto"/>
        <w:tabs>
          <w:tab w:leader="none" w:pos="86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the weather has on our quarter to quarter results, as well as the effect of extremely harsh weather on our operations;</w:t>
      </w:r>
    </w:p>
    <w:p>
      <w:pPr>
        <w:spacing w:after="0" w:line="208" w:lineRule="exact"/>
        <w:rPr>
          <w:rFonts w:ascii="Courier New" w:cs="Courier New" w:eastAsia="Courier New" w:hAnsi="Courier New"/>
          <w:sz w:val="18"/>
          <w:szCs w:val="18"/>
          <w:color w:val="auto"/>
        </w:rPr>
      </w:pPr>
    </w:p>
    <w:p>
      <w:pPr>
        <w:ind w:left="860" w:right="1999" w:hanging="325"/>
        <w:spacing w:after="0" w:line="235" w:lineRule="auto"/>
        <w:tabs>
          <w:tab w:leader="none" w:pos="86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that price fluctuations on commodity prices may have on our operating revenues;</w:t>
      </w:r>
    </w:p>
    <w:p>
      <w:pPr>
        <w:spacing w:after="0" w:line="202"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outcome of litigation;</w:t>
      </w:r>
    </w:p>
    <w:p>
      <w:pPr>
        <w:spacing w:after="0" w:line="206" w:lineRule="exact"/>
        <w:rPr>
          <w:rFonts w:ascii="Courier New" w:cs="Courier New" w:eastAsia="Courier New" w:hAnsi="Courier New"/>
          <w:sz w:val="18"/>
          <w:szCs w:val="18"/>
          <w:color w:val="auto"/>
        </w:rPr>
      </w:pPr>
    </w:p>
    <w:p>
      <w:pPr>
        <w:ind w:left="860" w:right="2099" w:hanging="325"/>
        <w:spacing w:after="0" w:line="235" w:lineRule="auto"/>
        <w:tabs>
          <w:tab w:leader="none" w:pos="86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or when the approval of the $457 million class action lawsuit settlement will become final and non-appealable;</w:t>
      </w:r>
    </w:p>
    <w:p>
      <w:pPr>
        <w:spacing w:after="0" w:line="208" w:lineRule="exact"/>
        <w:rPr>
          <w:rFonts w:ascii="Courier New" w:cs="Courier New" w:eastAsia="Courier New" w:hAnsi="Courier New"/>
          <w:sz w:val="18"/>
          <w:szCs w:val="18"/>
          <w:color w:val="auto"/>
        </w:rPr>
      </w:pPr>
    </w:p>
    <w:p>
      <w:pPr>
        <w:ind w:left="860" w:right="1999" w:hanging="325"/>
        <w:spacing w:after="0" w:line="237" w:lineRule="auto"/>
        <w:tabs>
          <w:tab w:leader="none" w:pos="86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competition in our industry could have on our ability to maintain margins, including uncertainty relating to competition with governmental sources that enjoy competitive advantages from tax-exempt financing and tax revenue subsidies;</w:t>
      </w:r>
    </w:p>
    <w:p>
      <w:pPr>
        <w:spacing w:after="0" w:line="207" w:lineRule="exact"/>
        <w:rPr>
          <w:rFonts w:ascii="Courier New" w:cs="Courier New" w:eastAsia="Courier New" w:hAnsi="Courier New"/>
          <w:sz w:val="18"/>
          <w:szCs w:val="18"/>
          <w:color w:val="auto"/>
        </w:rPr>
      </w:pPr>
    </w:p>
    <w:p>
      <w:pPr>
        <w:ind w:left="860" w:right="1779" w:hanging="325"/>
        <w:spacing w:after="0" w:line="290" w:lineRule="auto"/>
        <w:tabs>
          <w:tab w:leader="none" w:pos="86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possible diversions of management's attention and increases in operating expenses due to efforts by labor unions to organize our employees;</w:t>
      </w:r>
    </w:p>
    <w:p>
      <w:pPr>
        <w:spacing w:after="0" w:line="169" w:lineRule="exact"/>
        <w:rPr>
          <w:rFonts w:ascii="Courier New" w:cs="Courier New" w:eastAsia="Courier New" w:hAnsi="Courier New"/>
          <w:sz w:val="16"/>
          <w:szCs w:val="16"/>
          <w:color w:val="auto"/>
        </w:rPr>
      </w:pPr>
    </w:p>
    <w:p>
      <w:pPr>
        <w:ind w:left="860" w:right="1879" w:hanging="325"/>
        <w:spacing w:after="0" w:line="235" w:lineRule="auto"/>
        <w:tabs>
          <w:tab w:leader="none" w:pos="86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increases in operating expenses due to fuel price increases or fuel supply shortages;</w:t>
      </w:r>
    </w:p>
    <w:p>
      <w:pPr>
        <w:spacing w:after="0" w:line="208" w:lineRule="exact"/>
        <w:rPr>
          <w:rFonts w:ascii="Courier New" w:cs="Courier New" w:eastAsia="Courier New" w:hAnsi="Courier New"/>
          <w:sz w:val="18"/>
          <w:szCs w:val="18"/>
          <w:color w:val="auto"/>
        </w:rPr>
      </w:pPr>
    </w:p>
    <w:p>
      <w:pPr>
        <w:ind w:left="860" w:right="2099" w:hanging="325"/>
        <w:spacing w:after="0" w:line="236" w:lineRule="auto"/>
        <w:tabs>
          <w:tab w:leader="none" w:pos="86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effects of general economic conditions, including the ability of insurers to fully or timely meet their contractual commitments and of surety companies to continue to issue surety bonds;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59" w:gutter="0" w:footer="0" w:header="0"/>
        </w:sectPr>
      </w:pPr>
    </w:p>
    <w:bookmarkStart w:id="39" w:name="page40"/>
    <w:bookmarkEnd w:id="39"/>
    <w:p>
      <w:pPr>
        <w:ind w:left="860" w:right="2099" w:hanging="325"/>
        <w:spacing w:after="0" w:line="237" w:lineRule="auto"/>
        <w:tabs>
          <w:tab w:leader="none" w:pos="86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defaults under our credit agreements if cash flows are less than we expect or capital expenditures are more than we expect and we are not able to obtain additional capital on acceptable terms, if needed; and</w:t>
      </w:r>
    </w:p>
    <w:p>
      <w:pPr>
        <w:spacing w:after="0" w:line="207" w:lineRule="exact"/>
        <w:rPr>
          <w:rFonts w:ascii="Courier New" w:cs="Courier New" w:eastAsia="Courier New" w:hAnsi="Courier New"/>
          <w:sz w:val="18"/>
          <w:szCs w:val="18"/>
          <w:color w:val="auto"/>
        </w:rPr>
      </w:pPr>
    </w:p>
    <w:p>
      <w:pPr>
        <w:ind w:left="860" w:right="2519" w:hanging="325"/>
        <w:spacing w:after="0" w:line="236" w:lineRule="auto"/>
        <w:tabs>
          <w:tab w:leader="none" w:pos="86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errors or problems with our enterprise-wide software and technology systems or the deployment of our billing and accounts receivable systems.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Waste Management, Inc. is its industry's leading provider of integrated waste services in North America. Through our subsidiaries, we provide collection, transfer, recycling and resource recovery, and disposal services. We are also a leading developer, operator and owner of waste-to-energy facilities in the United States. Our customers include commercial, industrial, municipal and residential customers, other waste management companies and governmental entities.</w:t>
      </w:r>
    </w:p>
    <w:p>
      <w:pPr>
        <w:spacing w:after="0" w:line="21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Our collection services involve picking up and transporting waste from where it was generated to a disposal site. We also operate transfer stations, which are facilities located near residential and commercial collection routes where collection trucks take the solid waste that has been collected. The solid waste is then transferred via transfer trucks, barges, or rail to disposal sites. These disposal sites include landfills, which are the main depository for solid waste in North America, as well as waste-to-energy facilities. As of September 30, 2002, we owned or operated 294 solid waste landfills, five hazardous waste landfills and 16 waste-to-energy facilities. The solid waste and hazardous landfills are where solid and hazardous waste, respectively, is deposited into the ground, and the waste-to-energy facilities are where solid waste is burned to produce steam that is used to generate electricity. In addition to disposing of waste, we offer recycling services, which involve the removal of reusable materials from the waste stream for processing or resale.</w:t>
      </w:r>
    </w:p>
    <w:p>
      <w:pPr>
        <w:spacing w:after="0" w:line="19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also operate methane gas recovery projects at some of our landfills, where we collect the methane gas that is generated at the landfill by decomposing waste and process it for sale where it is used to fuel electricity generators. We also rent and service portable toilet facilities, provide street sweeping services, and provide full service waste services at customers' industrial plants, known as "in-plant services." Finally, we own and operate independent power production plants that cogenerate electricity for sale to customers.</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addition to our North America solid waste ("NASW") operations, we previously reported additional operations in our WM International and Non-Solid Waste segments. All of our WM International operations and most of our Non-Solid Waste operations were sold in 2000 and 2001. Beginning in 2001, we reported a segment called "Other," comprised of our remaining non-core operations, which included our geosynthetic manufacturing and installation services and independent power production plants ("IPPs"). The geosynthetic manufacturing and installation services were sold in February 2002. In the third quarter of 2001, we reclassified all but one of our IPPs from held-for-sale to held-for-use and in the first quarter of 2002, reclassified the IPPs from the "Other" reportable segment to the Wheelabrator Technologies Inc. ("WTI") operations included in our single reportable segment, NASW.</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CRITICAL ACCOUNTING ESTIMATES AND ASSUMPTIONS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preparing our financial statements, we make several estimates and assumptions that affect our assets and liabilities and revenues and expenses for our one reportable segment, NASW operations. We must make these estimates and assumptions because certain of the information that is used in the preparation of our financial statements is dependent on future events, cannot be calculated with a high degree of precision from data available or is simply not capable of being readily calculated based on generally accepted methodologies. In some cases, these estimates are particularly difficult to determine and we must exercise significant judgment. The most difficult, subjective and complex estimates and the assumptions that deal with the greatest amount of uncertainty are related to our accounting for landfills, environmental liabilities and asset impairments, as described below.</w:t>
      </w:r>
    </w:p>
    <w:p>
      <w:pPr>
        <w:spacing w:after="0" w:line="207"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Accounting for Landfills -- We account for certain costs at our landfills using the "units-of-consumption" method, which means we expense amounts for certain landfill costs and landfill final closure and post-closure</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59" w:gutter="0" w:footer="0" w:header="0"/>
        </w:sectPr>
      </w:pPr>
    </w:p>
    <w:bookmarkStart w:id="40" w:name="page41"/>
    <w:bookmarkEnd w:id="40"/>
    <w:p>
      <w:pPr>
        <w:ind w:right="2099"/>
        <w:spacing w:after="0" w:line="279" w:lineRule="auto"/>
        <w:rPr>
          <w:sz w:val="20"/>
          <w:szCs w:val="20"/>
          <w:color w:val="auto"/>
        </w:rPr>
      </w:pPr>
      <w:r>
        <w:rPr>
          <w:rFonts w:ascii="Courier New" w:cs="Courier New" w:eastAsia="Courier New" w:hAnsi="Courier New"/>
          <w:sz w:val="16"/>
          <w:szCs w:val="16"/>
          <w:color w:val="auto"/>
        </w:rPr>
        <w:t>costs for each unit of waste as it is accepted for disposal at the landfills. This accounting method requires us to make estimates and assumptions, as described below. Any changes in our estimates are made prospectively.</w:t>
      </w:r>
    </w:p>
    <w:p>
      <w:pPr>
        <w:spacing w:after="0" w:line="178" w:lineRule="exact"/>
        <w:rPr>
          <w:sz w:val="20"/>
          <w:szCs w:val="20"/>
          <w:color w:val="auto"/>
        </w:rPr>
      </w:pPr>
    </w:p>
    <w:p>
      <w:pPr>
        <w:ind w:left="540" w:right="1879" w:firstLine="316"/>
        <w:spacing w:after="0" w:line="271" w:lineRule="auto"/>
        <w:rPr>
          <w:sz w:val="20"/>
          <w:szCs w:val="20"/>
          <w:color w:val="auto"/>
        </w:rPr>
      </w:pPr>
      <w:r>
        <w:rPr>
          <w:rFonts w:ascii="Courier New" w:cs="Courier New" w:eastAsia="Courier New" w:hAnsi="Courier New"/>
          <w:sz w:val="16"/>
          <w:szCs w:val="16"/>
          <w:color w:val="auto"/>
        </w:rPr>
        <w:t>Landfill Costs -- We estimate the total cost to develop each landfill site to its final capacity. This includes certain projected landfill site costs that are uncertain because they are dependent on future events that may or may not occur. These costs include amounts previously capitalized (net of accumulated airspace amortization), and future projected costs for common site costs (purchase and development costs), liner construction costs, operating construction costs, and capitalized interest costs.</w:t>
      </w:r>
    </w:p>
    <w:p>
      <w:pPr>
        <w:spacing w:after="0" w:line="188" w:lineRule="exact"/>
        <w:rPr>
          <w:sz w:val="20"/>
          <w:szCs w:val="20"/>
          <w:color w:val="auto"/>
        </w:rPr>
      </w:pPr>
    </w:p>
    <w:p>
      <w:pPr>
        <w:ind w:left="540" w:right="1779" w:firstLine="316"/>
        <w:spacing w:after="0" w:line="237" w:lineRule="auto"/>
        <w:rPr>
          <w:sz w:val="20"/>
          <w:szCs w:val="20"/>
          <w:color w:val="auto"/>
        </w:rPr>
      </w:pPr>
      <w:r>
        <w:rPr>
          <w:rFonts w:ascii="Courier New" w:cs="Courier New" w:eastAsia="Courier New" w:hAnsi="Courier New"/>
          <w:sz w:val="18"/>
          <w:szCs w:val="18"/>
          <w:color w:val="auto"/>
        </w:rPr>
        <w:t>Final Closure and Post-Closure Costs -- The costs for final closure and post-closure obligations at landfills we own or operate are generally estimated based on our interpretations of current requirements and proposed or anticipated regulatory changes. The estimates for landfill final closure and post-closure costs also consider when the costs would actually be paid and factor in, where appropriate, inflation and discount rates. The possibility of changing legal and regulatory requirements and the forward-looking nature of these types of costs make any estimation or assumption less certain.</w:t>
      </w:r>
    </w:p>
    <w:p>
      <w:pPr>
        <w:spacing w:after="0" w:line="214" w:lineRule="exact"/>
        <w:rPr>
          <w:sz w:val="20"/>
          <w:szCs w:val="20"/>
          <w:color w:val="auto"/>
        </w:rPr>
      </w:pPr>
    </w:p>
    <w:p>
      <w:pPr>
        <w:ind w:left="540" w:right="1879" w:firstLine="316"/>
        <w:spacing w:after="0" w:line="273" w:lineRule="auto"/>
        <w:rPr>
          <w:sz w:val="20"/>
          <w:szCs w:val="20"/>
          <w:color w:val="auto"/>
        </w:rPr>
      </w:pPr>
      <w:r>
        <w:rPr>
          <w:rFonts w:ascii="Courier New" w:cs="Courier New" w:eastAsia="Courier New" w:hAnsi="Courier New"/>
          <w:sz w:val="16"/>
          <w:szCs w:val="16"/>
          <w:color w:val="auto"/>
        </w:rPr>
        <w:t>Available Airspace -- Our engineers determine the remaining capacity at our landfills by estimating the available airspace. This is done by using surveys and other methods to calculate, based on height restrictions and other factors, how much airspace is left to fill and how much waste can be disposed before the landfill has reached its final capacity.</w:t>
      </w:r>
    </w:p>
    <w:p>
      <w:pPr>
        <w:spacing w:after="0" w:line="185" w:lineRule="exact"/>
        <w:rPr>
          <w:sz w:val="20"/>
          <w:szCs w:val="20"/>
          <w:color w:val="auto"/>
        </w:rPr>
      </w:pPr>
    </w:p>
    <w:p>
      <w:pPr>
        <w:ind w:left="540" w:right="2099" w:firstLine="316"/>
        <w:spacing w:after="0" w:line="237" w:lineRule="auto"/>
        <w:rPr>
          <w:sz w:val="20"/>
          <w:szCs w:val="20"/>
          <w:color w:val="auto"/>
        </w:rPr>
      </w:pPr>
      <w:r>
        <w:rPr>
          <w:rFonts w:ascii="Courier New" w:cs="Courier New" w:eastAsia="Courier New" w:hAnsi="Courier New"/>
          <w:sz w:val="18"/>
          <w:szCs w:val="18"/>
          <w:color w:val="auto"/>
        </w:rPr>
        <w:t>Expansion Airspace -- We will also consider currently unpermitted airspace in our estimate of remaining capacity in certain circumstances. First, to include airspace associated with an expansion effort, we must generally expect the expansion permit application to be submitted within one year, and the expansion permit to be received within five years. Second, we must believe the success of obtaining the expansion permit is probable, using the following criteria:</w:t>
      </w:r>
    </w:p>
    <w:p>
      <w:pPr>
        <w:spacing w:after="0" w:line="211" w:lineRule="exact"/>
        <w:rPr>
          <w:sz w:val="20"/>
          <w:szCs w:val="20"/>
          <w:color w:val="auto"/>
        </w:rPr>
      </w:pPr>
    </w:p>
    <w:p>
      <w:pPr>
        <w:ind w:left="860" w:right="2099" w:hanging="325"/>
        <w:spacing w:after="0" w:line="235" w:lineRule="auto"/>
        <w:tabs>
          <w:tab w:leader="none" w:pos="86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Personnel are actively working to obtain land use and local and state approvals for an expansion of an existing landfill;</w:t>
      </w:r>
    </w:p>
    <w:p>
      <w:pPr>
        <w:spacing w:after="0" w:line="208" w:lineRule="exact"/>
        <w:rPr>
          <w:rFonts w:ascii="Courier New" w:cs="Courier New" w:eastAsia="Courier New" w:hAnsi="Courier New"/>
          <w:sz w:val="18"/>
          <w:szCs w:val="18"/>
          <w:color w:val="auto"/>
        </w:rPr>
      </w:pPr>
    </w:p>
    <w:p>
      <w:pPr>
        <w:ind w:left="860" w:right="2199" w:hanging="325"/>
        <w:spacing w:after="0" w:line="237" w:lineRule="auto"/>
        <w:tabs>
          <w:tab w:leader="none" w:pos="86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the expansion is added to the permitted site life, it is probable that the approvals will be received within the normal application and processing time periods for approvals in the jurisdiction in which the landfill is located;</w:t>
      </w:r>
    </w:p>
    <w:p>
      <w:pPr>
        <w:spacing w:after="0" w:line="207" w:lineRule="exact"/>
        <w:rPr>
          <w:rFonts w:ascii="Courier New" w:cs="Courier New" w:eastAsia="Courier New" w:hAnsi="Courier New"/>
          <w:sz w:val="18"/>
          <w:szCs w:val="18"/>
          <w:color w:val="auto"/>
        </w:rPr>
      </w:pPr>
    </w:p>
    <w:p>
      <w:pPr>
        <w:ind w:left="860" w:right="1779" w:hanging="325"/>
        <w:spacing w:after="0" w:line="235" w:lineRule="auto"/>
        <w:tabs>
          <w:tab w:leader="none" w:pos="86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Either we or the respective landfill owners have a legal right to use or obtain land to be included in the expansion plan;</w:t>
      </w:r>
    </w:p>
    <w:p>
      <w:pPr>
        <w:spacing w:after="0" w:line="208" w:lineRule="exact"/>
        <w:rPr>
          <w:rFonts w:ascii="Courier New" w:cs="Courier New" w:eastAsia="Courier New" w:hAnsi="Courier New"/>
          <w:sz w:val="18"/>
          <w:szCs w:val="18"/>
          <w:color w:val="auto"/>
        </w:rPr>
      </w:pPr>
    </w:p>
    <w:p>
      <w:pPr>
        <w:ind w:left="860" w:right="1779" w:hanging="325"/>
        <w:spacing w:after="0" w:line="236" w:lineRule="auto"/>
        <w:tabs>
          <w:tab w:leader="none" w:pos="86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significant known technical, legal, community, business, or political restrictions or similar issues that could impair the success of such expansion;</w:t>
      </w:r>
    </w:p>
    <w:p>
      <w:pPr>
        <w:spacing w:after="0" w:line="208" w:lineRule="exact"/>
        <w:rPr>
          <w:rFonts w:ascii="Courier New" w:cs="Courier New" w:eastAsia="Courier New" w:hAnsi="Courier New"/>
          <w:sz w:val="18"/>
          <w:szCs w:val="18"/>
          <w:color w:val="auto"/>
        </w:rPr>
      </w:pPr>
    </w:p>
    <w:p>
      <w:pPr>
        <w:ind w:left="860" w:right="1879" w:hanging="325"/>
        <w:spacing w:after="0" w:line="290" w:lineRule="auto"/>
        <w:tabs>
          <w:tab w:leader="none" w:pos="86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analysis has been completed, and the results demonstrate that the expansion has a positive financial and operational impact; and</w:t>
      </w:r>
    </w:p>
    <w:p>
      <w:pPr>
        <w:spacing w:after="0" w:line="169" w:lineRule="exact"/>
        <w:rPr>
          <w:rFonts w:ascii="Courier New" w:cs="Courier New" w:eastAsia="Courier New" w:hAnsi="Courier New"/>
          <w:sz w:val="16"/>
          <w:szCs w:val="16"/>
          <w:color w:val="auto"/>
        </w:rPr>
      </w:pPr>
    </w:p>
    <w:p>
      <w:pPr>
        <w:ind w:left="860" w:right="2319" w:hanging="325"/>
        <w:spacing w:after="0" w:line="290" w:lineRule="auto"/>
        <w:tabs>
          <w:tab w:leader="none" w:pos="86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Airspace and related costs, including additional final closure and post-closure costs, have been estimated based on conceptual design.</w:t>
      </w:r>
    </w:p>
    <w:p>
      <w:pPr>
        <w:spacing w:after="0" w:line="170" w:lineRule="exact"/>
        <w:rPr>
          <w:sz w:val="20"/>
          <w:szCs w:val="20"/>
          <w:color w:val="auto"/>
        </w:rPr>
      </w:pPr>
    </w:p>
    <w:p>
      <w:pPr>
        <w:ind w:left="540" w:right="1779" w:firstLine="316"/>
        <w:spacing w:after="0" w:line="238" w:lineRule="auto"/>
        <w:rPr>
          <w:sz w:val="20"/>
          <w:szCs w:val="20"/>
          <w:color w:val="auto"/>
        </w:rPr>
      </w:pPr>
      <w:r>
        <w:rPr>
          <w:rFonts w:ascii="Courier New" w:cs="Courier New" w:eastAsia="Courier New" w:hAnsi="Courier New"/>
          <w:sz w:val="18"/>
          <w:szCs w:val="18"/>
          <w:color w:val="auto"/>
        </w:rPr>
        <w:t>These criteria are initially evaluated by our field-based engineers, accountants, managers and others to identify potential obstacles to obtaining the permits. However, our policy provides that, based on the facts and circumstances of a specific landfill, exceptions to these criteria may be permitted. Exceptions to these criteria must be approved through a landfill-specific approval process that includes the approval from the Chief Financial Officer and a review by the Audit Committee of the Board of Directors on a quarterly basis. Of the 96 landfill sites with expansions at September 30, 2002, 29 landfills required the Chief Financial Officer to approve an exception to the criteria. Approximately two-thirds of these exceptions were due to legal or community issues that could impede the expansion process, while the remaining were primarily due to permit application processes beyond the one-year limit, which in most cases were due to state-specific permitting procedures. When we include the expansion airspace in our calculations of available airspace, we also include the projected costs for development and final closure and post-closure of the expansion in the amortization basis of the landfill.</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362" w:gutter="0" w:footer="0" w:header="0"/>
        </w:sectPr>
      </w:pPr>
    </w:p>
    <w:bookmarkStart w:id="41" w:name="page42"/>
    <w:bookmarkEnd w:id="41"/>
    <w:p>
      <w:pPr>
        <w:ind w:left="540" w:right="1779" w:firstLine="316"/>
        <w:spacing w:after="0" w:line="238" w:lineRule="auto"/>
        <w:rPr>
          <w:sz w:val="20"/>
          <w:szCs w:val="20"/>
          <w:color w:val="auto"/>
        </w:rPr>
      </w:pPr>
      <w:r>
        <w:rPr>
          <w:rFonts w:ascii="Courier New" w:cs="Courier New" w:eastAsia="Courier New" w:hAnsi="Courier New"/>
          <w:sz w:val="18"/>
          <w:szCs w:val="18"/>
          <w:color w:val="auto"/>
        </w:rPr>
        <w:t>It is possible that our estimates or assumptions will ultimately turn out to be significantly different from actual results. In some cases we may be unsuccessful in obtaining an expansion permit or we may determine that an expansion permit that we previously thought was probable becomes unlikely. To the extent that such estimates, or the assumptions used to make those estimates, prove to be significantly different than actual results, or our belief that we will receive an expansion permit changes adversely in a significant manner, the costs of the landfill, including the costs incurred in the pursuit of the expansion, may be subject to impairment testing, as described below, and lower profitability may be experienced due to higher amortization rates, higher final closure and post-closure rates, and higher expenses or asset impairments related to the removal of previously included expansion airspace.</w:t>
      </w:r>
    </w:p>
    <w:p>
      <w:pPr>
        <w:spacing w:after="0" w:line="207" w:lineRule="exact"/>
        <w:rPr>
          <w:sz w:val="20"/>
          <w:szCs w:val="20"/>
          <w:color w:val="auto"/>
        </w:rPr>
      </w:pPr>
    </w:p>
    <w:p>
      <w:pPr>
        <w:ind w:left="540" w:right="1779" w:firstLine="316"/>
        <w:spacing w:after="0" w:line="237" w:lineRule="auto"/>
        <w:rPr>
          <w:sz w:val="20"/>
          <w:szCs w:val="20"/>
          <w:color w:val="auto"/>
        </w:rPr>
      </w:pPr>
      <w:r>
        <w:rPr>
          <w:rFonts w:ascii="Courier New" w:cs="Courier New" w:eastAsia="Courier New" w:hAnsi="Courier New"/>
          <w:sz w:val="18"/>
          <w:szCs w:val="18"/>
          <w:color w:val="auto"/>
        </w:rPr>
        <w:t>After determining the costs at our landfills, including final closure and post-closure costs, and the available and probable expansion airspace, we then determine the per ton rate that will be expensed. We look at factors such as the waste stream, geography and rate of compaction, among others, to determine the number of tons it will take to fill the available and probable expansion airspace. We then divide our costs by that number of tons, giving us the rate per ton to expense.</w:t>
      </w:r>
    </w:p>
    <w:p>
      <w:pPr>
        <w:spacing w:after="0" w:line="21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Environmental Remediation Liabilities -- Under current laws and regulations, we may have liability for environmental damage caused by our operations, or for damage caused by conditions that existed before we acquired a particular site. Remedial costs are all costs relating to the remedy of any identified situation that occurs by natural causes or human error not expected in the normal course of business. These costs include costs relating to legal defense, potentially responsible party ("PRP") investigation, settlement, and consultant fees, as well as costs directly associated with site investigation and clean up, such as materials and incremental internal costs directly related to the remedy. We estimate costs required to remediate sites where liability is probable based on site-specific facts and circumstances. We routinely review and evaluate sites that require remediation, including sites listed on the EPA's National Priorities List ("NPL sites"). We consider whether we were an owner, operator, transporter, or generator at the site, the amount and type of waste hauled to the site and the number of years we were connected with the site. Next, we review the same information with respect to other named and unnamed PRPs. We then estimate the cost for the likely remedy, which is based on:</w:t>
      </w:r>
    </w:p>
    <w:p>
      <w:pPr>
        <w:spacing w:after="0" w:line="396" w:lineRule="exact"/>
        <w:rPr>
          <w:sz w:val="20"/>
          <w:szCs w:val="20"/>
          <w:color w:val="auto"/>
        </w:rPr>
      </w:pPr>
    </w:p>
    <w:p>
      <w:pPr>
        <w:ind w:left="860" w:right="2739" w:hanging="325"/>
        <w:spacing w:after="0" w:line="235" w:lineRule="auto"/>
        <w:tabs>
          <w:tab w:leader="none" w:pos="86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Management's judgment and experience in remediating our own and unrelated parties' sites;</w:t>
      </w:r>
    </w:p>
    <w:p>
      <w:pPr>
        <w:spacing w:after="0" w:line="208" w:lineRule="exact"/>
        <w:rPr>
          <w:rFonts w:ascii="Courier New" w:cs="Courier New" w:eastAsia="Courier New" w:hAnsi="Courier New"/>
          <w:sz w:val="18"/>
          <w:szCs w:val="18"/>
          <w:color w:val="auto"/>
        </w:rPr>
      </w:pPr>
    </w:p>
    <w:p>
      <w:pPr>
        <w:ind w:left="860" w:right="2939" w:hanging="325"/>
        <w:spacing w:after="0" w:line="235" w:lineRule="auto"/>
        <w:tabs>
          <w:tab w:leader="none" w:pos="86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available from regulatory agencies as to costs of remediation;</w:t>
      </w:r>
    </w:p>
    <w:p>
      <w:pPr>
        <w:spacing w:after="0" w:line="208" w:lineRule="exact"/>
        <w:rPr>
          <w:rFonts w:ascii="Courier New" w:cs="Courier New" w:eastAsia="Courier New" w:hAnsi="Courier New"/>
          <w:sz w:val="18"/>
          <w:szCs w:val="18"/>
          <w:color w:val="auto"/>
        </w:rPr>
      </w:pPr>
    </w:p>
    <w:p>
      <w:pPr>
        <w:ind w:left="860" w:right="1779" w:hanging="325"/>
        <w:spacing w:after="0" w:line="290" w:lineRule="auto"/>
        <w:tabs>
          <w:tab w:leader="none" w:pos="86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financial resources and relative degree of responsibility of other PRPs who may be liable for remediation of a specific site; and</w:t>
      </w:r>
    </w:p>
    <w:p>
      <w:pPr>
        <w:spacing w:after="0" w:line="164" w:lineRule="exact"/>
        <w:rPr>
          <w:rFonts w:ascii="Courier New" w:cs="Courier New" w:eastAsia="Courier New" w:hAnsi="Courier New"/>
          <w:sz w:val="16"/>
          <w:szCs w:val="16"/>
          <w:color w:val="auto"/>
        </w:rPr>
      </w:pPr>
    </w:p>
    <w:p>
      <w:pPr>
        <w:ind w:left="860" w:hanging="325"/>
        <w:spacing w:after="0"/>
        <w:tabs>
          <w:tab w:leader="none" w:pos="86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typical allocation of costs among PRPs.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These estimates are sometimes a range of possible outcomes. In those cases, we use the amount within the range that constitutes our best estimate. If no amount within the range appears to be a better estimate than any other, we use the amounts that are the low ends of the ranges in accordance with SFAS No. 5, Accounting for Contingencies, and its interpretations. Were we to use the high end of such ranges, it is reasonably possible that our potential liability would be approximately $220 million higher on a discounted basis in the aggregate than the estimate recorded in the consolidated financial statements as of September 30, 2002. As used in this context, "reasonably possible" means we believe it is more than remote but less than likely.</w:t>
      </w:r>
    </w:p>
    <w:p>
      <w:pPr>
        <w:spacing w:after="0" w:line="215"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Asset Impairments -- Our long-lived assets, including landfills and landfill expansions, are carried on our financial statements based on their cost less accumulated depreciation or amortization. However, accounting standards require us to write-down these assets if they become impaired. If significant events or changes in circumstances indicate that the carrying value of an asset may not be recoverable, we perform a test of recoverability by comparing the carrying value of the asset or asset group to its undiscounted expected future cash flows. If the carrying values are in excess of undiscounted expected future cash flow, we measure any impairment by comparing the fair value of the asset to its carrying value. Fair value is determined by either an actual third-party evaluation or an internally developed discounted projected cash flow analysis of the asset. Cash flow projections are sometimes based on a group of assets, rather than a single asset. If cash flows cannot be separately and independently identified for a single asset, we will determine whether an impairment has</w:t>
      </w:r>
    </w:p>
    <w:p>
      <w:pPr>
        <w:ind w:left="4220"/>
        <w:spacing w:after="0" w:line="236" w:lineRule="auto"/>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0" w:gutter="0" w:footer="0" w:header="0"/>
        </w:sectPr>
      </w:pPr>
    </w:p>
    <w:bookmarkStart w:id="42" w:name="page43"/>
    <w:bookmarkEnd w:id="42"/>
    <w:p>
      <w:pPr>
        <w:ind w:right="1879"/>
        <w:spacing w:after="0" w:line="275" w:lineRule="auto"/>
        <w:rPr>
          <w:sz w:val="20"/>
          <w:szCs w:val="20"/>
          <w:color w:val="auto"/>
        </w:rPr>
      </w:pPr>
      <w:r>
        <w:rPr>
          <w:rFonts w:ascii="Courier New" w:cs="Courier New" w:eastAsia="Courier New" w:hAnsi="Courier New"/>
          <w:sz w:val="16"/>
          <w:szCs w:val="16"/>
          <w:color w:val="auto"/>
        </w:rPr>
        <w:t>occurred for the group of assets for which we can identify the projected cash flows. If the fair value of an asset is determined to be less than the carrying amount of the asset or asset group, an impairment in the amount of the difference is recorded in the period that the impairment indicator occurs.</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Typical indicators that an asset may be impaired include:</w:t>
      </w:r>
    </w:p>
    <w:p>
      <w:pPr>
        <w:spacing w:after="0" w:line="201" w:lineRule="exact"/>
        <w:rPr>
          <w:sz w:val="20"/>
          <w:szCs w:val="20"/>
          <w:color w:val="auto"/>
        </w:rPr>
      </w:pPr>
    </w:p>
    <w:p>
      <w:pPr>
        <w:ind w:left="860" w:hanging="325"/>
        <w:spacing w:after="0"/>
        <w:tabs>
          <w:tab w:leader="none" w:pos="86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significant decrease in the market price of an asset or asset group;</w:t>
      </w:r>
    </w:p>
    <w:p>
      <w:pPr>
        <w:spacing w:after="0" w:line="206" w:lineRule="exact"/>
        <w:rPr>
          <w:rFonts w:ascii="Courier New" w:cs="Courier New" w:eastAsia="Courier New" w:hAnsi="Courier New"/>
          <w:sz w:val="18"/>
          <w:szCs w:val="18"/>
          <w:color w:val="auto"/>
        </w:rPr>
      </w:pPr>
    </w:p>
    <w:p>
      <w:pPr>
        <w:ind w:left="860" w:right="1999" w:hanging="325"/>
        <w:spacing w:after="0" w:line="235" w:lineRule="auto"/>
        <w:tabs>
          <w:tab w:leader="none" w:pos="86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significant adverse change in the extent or manner in which an asset or asset group is being used or in its physical condition;</w:t>
      </w:r>
    </w:p>
    <w:p>
      <w:pPr>
        <w:spacing w:after="0" w:line="208" w:lineRule="exact"/>
        <w:rPr>
          <w:rFonts w:ascii="Courier New" w:cs="Courier New" w:eastAsia="Courier New" w:hAnsi="Courier New"/>
          <w:sz w:val="18"/>
          <w:szCs w:val="18"/>
          <w:color w:val="auto"/>
        </w:rPr>
      </w:pPr>
    </w:p>
    <w:p>
      <w:pPr>
        <w:ind w:left="860" w:right="1779" w:hanging="325"/>
        <w:spacing w:after="0" w:line="236" w:lineRule="auto"/>
        <w:tabs>
          <w:tab w:leader="none" w:pos="86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significant adverse change in legal factors or in the business climate that could affect the value of an asset or asset group, including an adverse action or assessment by a regulator;</w:t>
      </w:r>
    </w:p>
    <w:p>
      <w:pPr>
        <w:spacing w:after="0" w:line="208" w:lineRule="exact"/>
        <w:rPr>
          <w:rFonts w:ascii="Courier New" w:cs="Courier New" w:eastAsia="Courier New" w:hAnsi="Courier New"/>
          <w:sz w:val="18"/>
          <w:szCs w:val="18"/>
          <w:color w:val="auto"/>
        </w:rPr>
      </w:pPr>
    </w:p>
    <w:p>
      <w:pPr>
        <w:ind w:left="860" w:right="1879" w:hanging="325"/>
        <w:spacing w:after="0" w:line="236" w:lineRule="auto"/>
        <w:tabs>
          <w:tab w:leader="none" w:pos="86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accumulation of costs significantly in excess of the amount originally expected for the acquisition or construction of a long-lived asset;</w:t>
      </w:r>
    </w:p>
    <w:p>
      <w:pPr>
        <w:spacing w:after="0" w:line="208" w:lineRule="exact"/>
        <w:rPr>
          <w:rFonts w:ascii="Courier New" w:cs="Courier New" w:eastAsia="Courier New" w:hAnsi="Courier New"/>
          <w:sz w:val="18"/>
          <w:szCs w:val="18"/>
          <w:color w:val="auto"/>
        </w:rPr>
      </w:pPr>
    </w:p>
    <w:p>
      <w:pPr>
        <w:ind w:left="860" w:right="1879" w:hanging="325"/>
        <w:spacing w:after="0" w:line="237" w:lineRule="auto"/>
        <w:tabs>
          <w:tab w:leader="none" w:pos="86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period operating or cash flow losses combined with a history of operating or cash flow losses or a projection or forecast that demonstrates continuing losses associated with the use of a long-lived asset or asset group; or</w:t>
      </w:r>
    </w:p>
    <w:p>
      <w:pPr>
        <w:spacing w:after="0" w:line="207" w:lineRule="exact"/>
        <w:rPr>
          <w:rFonts w:ascii="Courier New" w:cs="Courier New" w:eastAsia="Courier New" w:hAnsi="Courier New"/>
          <w:sz w:val="18"/>
          <w:szCs w:val="18"/>
          <w:color w:val="auto"/>
        </w:rPr>
      </w:pPr>
    </w:p>
    <w:p>
      <w:pPr>
        <w:ind w:left="860" w:right="1879" w:hanging="325"/>
        <w:spacing w:after="0" w:line="236" w:lineRule="auto"/>
        <w:tabs>
          <w:tab w:leader="none" w:pos="86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current expectation that, more likely than not, a long-lived asset or asset group will be sold or otherwise disposed of significantly before the end of its previously estimated useful life.</w:t>
      </w:r>
    </w:p>
    <w:p>
      <w:pPr>
        <w:spacing w:after="0" w:line="209"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If any of these or other indicators occur, we review the asset to determine whether there has been an impairment. Several of these indicators are beyond our control, and we cannot predict with any certainty whether or not they will occur. Additionally, estimating future cash flows requires significant judgment and our projections may vary from cash flows eventually realized.</w:t>
      </w:r>
    </w:p>
    <w:p>
      <w:pPr>
        <w:spacing w:after="0" w:line="1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43" w:name="page44"/>
    <w:bookmarkEnd w:id="43"/>
    <w:p>
      <w:pPr>
        <w:ind w:right="1779"/>
        <w:spacing w:after="0" w:line="235" w:lineRule="auto"/>
        <w:rPr>
          <w:sz w:val="20"/>
          <w:szCs w:val="20"/>
          <w:color w:val="auto"/>
        </w:rPr>
      </w:pPr>
      <w:r>
        <w:rPr>
          <w:rFonts w:ascii="Courier New" w:cs="Courier New" w:eastAsia="Courier New" w:hAnsi="Courier New"/>
          <w:sz w:val="18"/>
          <w:szCs w:val="18"/>
          <w:color w:val="auto"/>
        </w:rPr>
        <w:t>RESULTS OF OPERATIONS FOR THE THREE AND NINE MONTHS ENDED SEPTEMBER 30, 2002 AND 2001</w:t>
      </w:r>
    </w:p>
    <w:p>
      <w:pPr>
        <w:spacing w:after="0" w:line="208"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The following table presents, for the periods indicated, the period to period change in dollars (in millions) and percentages for the respective condensed consolidated statements of operations line items.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PERIOD TO PERIOD PERIOD TO PERIOD CHANGE FOR</w:t>
      </w:r>
    </w:p>
    <w:p>
      <w:pPr>
        <w:ind w:left="120"/>
        <w:spacing w:after="0" w:line="238" w:lineRule="auto"/>
        <w:rPr>
          <w:sz w:val="20"/>
          <w:szCs w:val="20"/>
          <w:color w:val="auto"/>
        </w:rPr>
      </w:pPr>
      <w:r>
        <w:rPr>
          <w:rFonts w:ascii="Courier New" w:cs="Courier New" w:eastAsia="Courier New" w:hAnsi="Courier New"/>
          <w:sz w:val="18"/>
          <w:szCs w:val="18"/>
          <w:color w:val="auto"/>
        </w:rPr>
        <w:t>THE CHANGE FOR THE THREE MONTHS NINE MONTHS</w:t>
      </w:r>
    </w:p>
    <w:p>
      <w:pPr>
        <w:ind w:left="60"/>
        <w:spacing w:after="0"/>
        <w:rPr>
          <w:sz w:val="20"/>
          <w:szCs w:val="20"/>
          <w:color w:val="auto"/>
        </w:rPr>
      </w:pPr>
      <w:r>
        <w:rPr>
          <w:rFonts w:ascii="Courier New" w:cs="Courier New" w:eastAsia="Courier New" w:hAnsi="Courier New"/>
          <w:sz w:val="18"/>
          <w:szCs w:val="18"/>
          <w:color w:val="auto"/>
        </w:rPr>
        <w:t>ENDED SEPTEMBER 30, ENDED SEPTEMBER 30, 2002</w:t>
      </w:r>
    </w:p>
    <w:p>
      <w:pPr>
        <w:ind w:left="120"/>
        <w:spacing w:after="0" w:line="237" w:lineRule="auto"/>
        <w:rPr>
          <w:sz w:val="20"/>
          <w:szCs w:val="20"/>
          <w:color w:val="auto"/>
        </w:rPr>
      </w:pPr>
      <w:r>
        <w:rPr>
          <w:rFonts w:ascii="Courier New" w:cs="Courier New" w:eastAsia="Courier New" w:hAnsi="Courier New"/>
          <w:sz w:val="18"/>
          <w:szCs w:val="18"/>
          <w:color w:val="auto"/>
        </w:rPr>
        <w:t>AND 2001 2002 AND 2001 --------------------</w:t>
      </w:r>
    </w:p>
    <w:p>
      <w:pPr>
        <w:ind w:left="640"/>
        <w:spacing w:after="0" w:line="238" w:lineRule="auto"/>
        <w:rPr>
          <w:sz w:val="20"/>
          <w:szCs w:val="20"/>
          <w:color w:val="auto"/>
        </w:rPr>
      </w:pPr>
      <w:r>
        <w:rPr>
          <w:rFonts w:ascii="Courier New" w:cs="Courier New" w:eastAsia="Courier New" w:hAnsi="Courier New"/>
          <w:sz w:val="18"/>
          <w:szCs w:val="18"/>
          <w:color w:val="auto"/>
        </w:rPr>
        <w:t>-------------------- STATEMENT OF</w:t>
      </w:r>
    </w:p>
    <w:p>
      <w:pPr>
        <w:ind w:left="1280"/>
        <w:spacing w:after="0"/>
        <w:rPr>
          <w:sz w:val="20"/>
          <w:szCs w:val="20"/>
          <w:color w:val="auto"/>
        </w:rPr>
      </w:pPr>
      <w:r>
        <w:rPr>
          <w:rFonts w:ascii="Courier New" w:cs="Courier New" w:eastAsia="Courier New" w:hAnsi="Courier New"/>
          <w:sz w:val="18"/>
          <w:szCs w:val="18"/>
          <w:color w:val="auto"/>
        </w:rPr>
        <w:t>OPERATIONS: Operating</w:t>
      </w:r>
    </w:p>
    <w:p>
      <w:pPr>
        <w:ind w:left="120"/>
        <w:spacing w:after="0"/>
        <w:tabs>
          <w:tab w:leader="dot" w:pos="4100" w:val="left"/>
        </w:tabs>
        <w:rPr>
          <w:sz w:val="20"/>
          <w:szCs w:val="20"/>
          <w:color w:val="auto"/>
        </w:rPr>
      </w:pPr>
      <w:r>
        <w:rPr>
          <w:rFonts w:ascii="Courier New" w:cs="Courier New" w:eastAsia="Courier New" w:hAnsi="Courier New"/>
          <w:sz w:val="18"/>
          <w:szCs w:val="18"/>
          <w:color w:val="auto"/>
        </w:rPr>
        <w:t>revenues</w:t>
      </w:r>
      <w:r>
        <w:rPr>
          <w:sz w:val="20"/>
          <w:szCs w:val="20"/>
          <w:color w:val="auto"/>
        </w:rPr>
        <w:tab/>
      </w:r>
      <w:r>
        <w:rPr>
          <w:rFonts w:ascii="Courier New" w:cs="Courier New" w:eastAsia="Courier New" w:hAnsi="Courier New"/>
          <w:sz w:val="16"/>
          <w:szCs w:val="16"/>
          <w:color w:val="auto"/>
        </w:rPr>
        <w:t>$ (1)</w:t>
      </w:r>
    </w:p>
    <w:p>
      <w:pPr>
        <w:ind w:left="320"/>
        <w:spacing w:after="0"/>
        <w:rPr>
          <w:sz w:val="20"/>
          <w:szCs w:val="20"/>
          <w:color w:val="auto"/>
        </w:rPr>
      </w:pPr>
      <w:r>
        <w:rPr>
          <w:rFonts w:ascii="Courier New" w:cs="Courier New" w:eastAsia="Courier New" w:hAnsi="Courier New"/>
          <w:sz w:val="18"/>
          <w:szCs w:val="18"/>
          <w:color w:val="auto"/>
        </w:rPr>
        <w:t>--% $(201) (2.4)% ----- ----- Costs and</w:t>
      </w:r>
    </w:p>
    <w:p>
      <w:pPr>
        <w:ind w:left="640"/>
        <w:spacing w:after="0" w:line="237" w:lineRule="auto"/>
        <w:rPr>
          <w:sz w:val="20"/>
          <w:szCs w:val="20"/>
          <w:color w:val="auto"/>
        </w:rPr>
      </w:pPr>
      <w:r>
        <w:rPr>
          <w:rFonts w:ascii="Courier New" w:cs="Courier New" w:eastAsia="Courier New" w:hAnsi="Courier New"/>
          <w:sz w:val="18"/>
          <w:szCs w:val="18"/>
          <w:color w:val="auto"/>
        </w:rPr>
        <w:t>expenses: Operating (exclusive of</w:t>
      </w:r>
    </w:p>
    <w:p>
      <w:pPr>
        <w:ind w:left="540"/>
        <w:spacing w:after="0"/>
        <w:rPr>
          <w:sz w:val="20"/>
          <w:szCs w:val="20"/>
          <w:color w:val="auto"/>
        </w:rPr>
      </w:pPr>
      <w:r>
        <w:rPr>
          <w:rFonts w:ascii="Courier New" w:cs="Courier New" w:eastAsia="Courier New" w:hAnsi="Courier New"/>
          <w:sz w:val="18"/>
          <w:szCs w:val="18"/>
          <w:color w:val="auto"/>
        </w:rPr>
        <w:t>depreciation and amortization shown</w:t>
      </w:r>
    </w:p>
    <w:p>
      <w:pPr>
        <w:ind w:left="220"/>
        <w:spacing w:after="0"/>
        <w:tabs>
          <w:tab w:leader="dot" w:pos="2720" w:val="left"/>
        </w:tabs>
        <w:rPr>
          <w:sz w:val="20"/>
          <w:szCs w:val="20"/>
          <w:color w:val="auto"/>
        </w:rPr>
      </w:pPr>
      <w:r>
        <w:rPr>
          <w:rFonts w:ascii="Courier New" w:cs="Courier New" w:eastAsia="Courier New" w:hAnsi="Courier New"/>
          <w:sz w:val="18"/>
          <w:szCs w:val="18"/>
          <w:color w:val="auto"/>
        </w:rPr>
        <w:t>below)</w:t>
      </w:r>
      <w:r>
        <w:rPr>
          <w:sz w:val="20"/>
          <w:szCs w:val="20"/>
          <w:color w:val="auto"/>
        </w:rPr>
        <w:tab/>
      </w:r>
      <w:r>
        <w:rPr>
          <w:rFonts w:ascii="Courier New" w:cs="Courier New" w:eastAsia="Courier New" w:hAnsi="Courier New"/>
          <w:sz w:val="16"/>
          <w:szCs w:val="16"/>
          <w:color w:val="auto"/>
        </w:rPr>
        <w:t>53 3.1 (71) (1.4)</w:t>
      </w:r>
    </w:p>
    <w:p>
      <w:pPr>
        <w:ind w:left="1320"/>
        <w:spacing w:after="0" w:line="238" w:lineRule="auto"/>
        <w:rPr>
          <w:sz w:val="20"/>
          <w:szCs w:val="20"/>
          <w:color w:val="auto"/>
        </w:rPr>
      </w:pPr>
      <w:r>
        <w:rPr>
          <w:rFonts w:ascii="Courier New" w:cs="Courier New" w:eastAsia="Courier New" w:hAnsi="Courier New"/>
          <w:sz w:val="18"/>
          <w:szCs w:val="18"/>
          <w:color w:val="auto"/>
        </w:rPr>
        <w:t>Selling, general and</w:t>
      </w:r>
    </w:p>
    <w:p>
      <w:pPr>
        <w:ind w:left="320"/>
        <w:spacing w:after="0"/>
        <w:tabs>
          <w:tab w:leader="dot" w:pos="2940" w:val="left"/>
        </w:tabs>
        <w:rPr>
          <w:sz w:val="20"/>
          <w:szCs w:val="20"/>
          <w:color w:val="auto"/>
        </w:rPr>
      </w:pPr>
      <w:r>
        <w:rPr>
          <w:rFonts w:ascii="Courier New" w:cs="Courier New" w:eastAsia="Courier New" w:hAnsi="Courier New"/>
          <w:sz w:val="18"/>
          <w:szCs w:val="18"/>
          <w:color w:val="auto"/>
        </w:rPr>
        <w:t>administrative</w:t>
      </w:r>
      <w:r>
        <w:rPr>
          <w:sz w:val="20"/>
          <w:szCs w:val="20"/>
          <w:color w:val="auto"/>
        </w:rPr>
        <w:tab/>
      </w:r>
      <w:r>
        <w:rPr>
          <w:rFonts w:ascii="Courier New" w:cs="Courier New" w:eastAsia="Courier New" w:hAnsi="Courier New"/>
          <w:sz w:val="16"/>
          <w:szCs w:val="16"/>
          <w:color w:val="auto"/>
        </w:rPr>
        <w:t>(7) (1.8) (48)</w:t>
      </w:r>
    </w:p>
    <w:p>
      <w:pPr>
        <w:ind w:left="1220"/>
        <w:spacing w:after="0" w:line="237" w:lineRule="auto"/>
        <w:rPr>
          <w:sz w:val="20"/>
          <w:szCs w:val="20"/>
          <w:color w:val="auto"/>
        </w:rPr>
      </w:pPr>
      <w:r>
        <w:rPr>
          <w:rFonts w:ascii="Courier New" w:cs="Courier New" w:eastAsia="Courier New" w:hAnsi="Courier New"/>
          <w:sz w:val="18"/>
          <w:szCs w:val="18"/>
          <w:color w:val="auto"/>
        </w:rPr>
        <w:t>(4.1) Depreciation and</w:t>
      </w:r>
    </w:p>
    <w:p>
      <w:pPr>
        <w:ind w:left="280"/>
        <w:spacing w:after="0"/>
        <w:tabs>
          <w:tab w:leader="dot" w:pos="3300" w:val="left"/>
        </w:tabs>
        <w:rPr>
          <w:sz w:val="20"/>
          <w:szCs w:val="20"/>
          <w:color w:val="auto"/>
        </w:rPr>
      </w:pPr>
      <w:r>
        <w:rPr>
          <w:rFonts w:ascii="Courier New" w:cs="Courier New" w:eastAsia="Courier New" w:hAnsi="Courier New"/>
          <w:sz w:val="18"/>
          <w:szCs w:val="18"/>
          <w:color w:val="auto"/>
        </w:rPr>
        <w:t>amortization</w:t>
      </w:r>
      <w:r>
        <w:rPr>
          <w:sz w:val="20"/>
          <w:szCs w:val="20"/>
          <w:color w:val="auto"/>
        </w:rPr>
        <w:tab/>
      </w:r>
      <w:r>
        <w:rPr>
          <w:rFonts w:ascii="Courier New" w:cs="Courier New" w:eastAsia="Courier New" w:hAnsi="Courier New"/>
          <w:sz w:val="16"/>
          <w:szCs w:val="16"/>
          <w:color w:val="auto"/>
        </w:rPr>
        <w:t>(41) (11.6)</w:t>
      </w:r>
    </w:p>
    <w:p>
      <w:pPr>
        <w:ind w:left="1740"/>
        <w:spacing w:after="0" w:line="237" w:lineRule="auto"/>
        <w:rPr>
          <w:sz w:val="20"/>
          <w:szCs w:val="20"/>
          <w:color w:val="auto"/>
        </w:rPr>
      </w:pPr>
      <w:r>
        <w:rPr>
          <w:rFonts w:ascii="Courier New" w:cs="Courier New" w:eastAsia="Courier New" w:hAnsi="Courier New"/>
          <w:sz w:val="18"/>
          <w:szCs w:val="18"/>
          <w:color w:val="auto"/>
        </w:rPr>
        <w:t>(110) (10.7)</w:t>
      </w:r>
    </w:p>
    <w:p>
      <w:pPr>
        <w:spacing w:after="0"/>
        <w:tabs>
          <w:tab w:leader="none" w:pos="1360" w:val="left"/>
        </w:tabs>
        <w:rPr>
          <w:sz w:val="20"/>
          <w:szCs w:val="20"/>
          <w:color w:val="auto"/>
        </w:rPr>
      </w:pPr>
      <w:r>
        <w:rPr>
          <w:rFonts w:ascii="Courier New" w:cs="Courier New" w:eastAsia="Courier New" w:hAnsi="Courier New"/>
          <w:sz w:val="18"/>
          <w:szCs w:val="18"/>
          <w:color w:val="auto"/>
        </w:rPr>
        <w:t>Restructuring</w:t>
      </w:r>
      <w:r>
        <w:rPr>
          <w:sz w:val="20"/>
          <w:szCs w:val="20"/>
          <w:color w:val="auto"/>
        </w:rPr>
        <w:tab/>
      </w:r>
      <w:r>
        <w:rPr>
          <w:rFonts w:ascii="Courier New" w:cs="Courier New" w:eastAsia="Courier New" w:hAnsi="Courier New"/>
          <w:sz w:val="16"/>
          <w:szCs w:val="16"/>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1 N/A 38 N/A Asset impairments and unusual</w:t>
      </w:r>
    </w:p>
    <w:p>
      <w:pPr>
        <w:ind w:left="120"/>
        <w:spacing w:after="0"/>
        <w:tabs>
          <w:tab w:leader="dot" w:pos="1780" w:val="left"/>
        </w:tabs>
        <w:rPr>
          <w:sz w:val="20"/>
          <w:szCs w:val="20"/>
          <w:color w:val="auto"/>
        </w:rPr>
      </w:pPr>
      <w:r>
        <w:rPr>
          <w:rFonts w:ascii="Courier New" w:cs="Courier New" w:eastAsia="Courier New" w:hAnsi="Courier New"/>
          <w:sz w:val="18"/>
          <w:szCs w:val="18"/>
          <w:color w:val="auto"/>
        </w:rPr>
        <w:t>items</w:t>
      </w:r>
      <w:r>
        <w:rPr>
          <w:sz w:val="20"/>
          <w:szCs w:val="20"/>
          <w:color w:val="auto"/>
        </w:rPr>
        <w:tab/>
      </w:r>
      <w:r>
        <w:rPr>
          <w:rFonts w:ascii="Courier New" w:cs="Courier New" w:eastAsia="Courier New" w:hAnsi="Courier New"/>
          <w:sz w:val="16"/>
          <w:szCs w:val="16"/>
          <w:color w:val="auto"/>
        </w:rPr>
        <w:t>(357) (100.8) (371) (102.5)</w:t>
      </w:r>
    </w:p>
    <w:p>
      <w:pPr>
        <w:ind w:left="160"/>
        <w:spacing w:after="0"/>
        <w:rPr>
          <w:sz w:val="20"/>
          <w:szCs w:val="20"/>
          <w:color w:val="auto"/>
        </w:rPr>
      </w:pPr>
      <w:r>
        <w:rPr>
          <w:rFonts w:ascii="Courier New" w:cs="Courier New" w:eastAsia="Courier New" w:hAnsi="Courier New"/>
          <w:sz w:val="18"/>
          <w:szCs w:val="18"/>
          <w:color w:val="auto"/>
        </w:rPr>
        <w:t>----- ----- (351) (562) ----- ----- Income</w:t>
      </w:r>
    </w:p>
    <w:p>
      <w:pPr>
        <w:ind w:left="60"/>
        <w:spacing w:after="0"/>
        <w:tabs>
          <w:tab w:leader="dot" w:pos="4360" w:val="left"/>
        </w:tabs>
        <w:rPr>
          <w:sz w:val="20"/>
          <w:szCs w:val="20"/>
          <w:color w:val="auto"/>
        </w:rPr>
      </w:pPr>
      <w:r>
        <w:rPr>
          <w:rFonts w:ascii="Courier New" w:cs="Courier New" w:eastAsia="Courier New" w:hAnsi="Courier New"/>
          <w:sz w:val="18"/>
          <w:szCs w:val="18"/>
          <w:color w:val="auto"/>
        </w:rPr>
        <w:t>from operations</w:t>
      </w:r>
      <w:r>
        <w:rPr>
          <w:sz w:val="20"/>
          <w:szCs w:val="20"/>
          <w:color w:val="auto"/>
        </w:rPr>
        <w:tab/>
      </w:r>
      <w:r>
        <w:rPr>
          <w:rFonts w:ascii="Courier New" w:cs="Courier New" w:eastAsia="Courier New" w:hAnsi="Courier New"/>
          <w:sz w:val="16"/>
          <w:szCs w:val="16"/>
          <w:color w:val="auto"/>
        </w:rPr>
        <w:t>350</w:t>
      </w:r>
    </w:p>
    <w:p>
      <w:pPr>
        <w:ind w:left="320"/>
        <w:spacing w:after="0"/>
        <w:rPr>
          <w:sz w:val="20"/>
          <w:szCs w:val="20"/>
          <w:color w:val="auto"/>
        </w:rPr>
      </w:pPr>
      <w:r>
        <w:rPr>
          <w:rFonts w:ascii="Courier New" w:cs="Courier New" w:eastAsia="Courier New" w:hAnsi="Courier New"/>
          <w:sz w:val="18"/>
          <w:szCs w:val="18"/>
          <w:color w:val="auto"/>
        </w:rPr>
        <w:t>361 ----- ----- Other income (expense):</w:t>
      </w:r>
    </w:p>
    <w:p>
      <w:pPr>
        <w:ind w:left="1960"/>
        <w:spacing w:after="0" w:line="237" w:lineRule="auto"/>
        <w:rPr>
          <w:sz w:val="20"/>
          <w:szCs w:val="20"/>
          <w:color w:val="auto"/>
        </w:rPr>
      </w:pPr>
      <w:r>
        <w:rPr>
          <w:rFonts w:ascii="Courier New" w:cs="Courier New" w:eastAsia="Courier New" w:hAnsi="Courier New"/>
          <w:sz w:val="18"/>
          <w:szCs w:val="18"/>
          <w:color w:val="auto"/>
        </w:rPr>
        <w:t>Interest</w:t>
      </w:r>
    </w:p>
    <w:p>
      <w:pPr>
        <w:ind w:left="160"/>
        <w:spacing w:after="0"/>
        <w:tabs>
          <w:tab w:leader="dot" w:pos="4040" w:val="left"/>
        </w:tabs>
        <w:rPr>
          <w:sz w:val="20"/>
          <w:szCs w:val="20"/>
          <w:color w:val="auto"/>
        </w:rPr>
      </w:pPr>
      <w:r>
        <w:rPr>
          <w:rFonts w:ascii="Courier New" w:cs="Courier New" w:eastAsia="Courier New" w:hAnsi="Courier New"/>
          <w:sz w:val="18"/>
          <w:szCs w:val="18"/>
          <w:color w:val="auto"/>
        </w:rPr>
        <w:t>expense</w:t>
      </w:r>
      <w:r>
        <w:rPr>
          <w:sz w:val="20"/>
          <w:szCs w:val="20"/>
          <w:color w:val="auto"/>
        </w:rPr>
        <w:tab/>
      </w:r>
      <w:r>
        <w:rPr>
          <w:rFonts w:ascii="Courier New" w:cs="Courier New" w:eastAsia="Courier New" w:hAnsi="Courier New"/>
          <w:sz w:val="16"/>
          <w:szCs w:val="16"/>
          <w:color w:val="auto"/>
        </w:rPr>
        <w:t>6 4.8</w:t>
      </w:r>
    </w:p>
    <w:p>
      <w:pPr>
        <w:ind w:left="580"/>
        <w:spacing w:after="0" w:line="237" w:lineRule="auto"/>
        <w:rPr>
          <w:sz w:val="20"/>
          <w:szCs w:val="20"/>
          <w:color w:val="auto"/>
        </w:rPr>
      </w:pPr>
      <w:r>
        <w:rPr>
          <w:rFonts w:ascii="Courier New" w:cs="Courier New" w:eastAsia="Courier New" w:hAnsi="Courier New"/>
          <w:sz w:val="18"/>
          <w:szCs w:val="18"/>
          <w:color w:val="auto"/>
        </w:rPr>
        <w:t>75 17.6 Interest and other income,</w:t>
      </w:r>
    </w:p>
    <w:p>
      <w:pPr>
        <w:ind w:left="220"/>
        <w:spacing w:after="0"/>
        <w:tabs>
          <w:tab w:leader="dot" w:pos="2200" w:val="left"/>
        </w:tabs>
        <w:rPr>
          <w:sz w:val="20"/>
          <w:szCs w:val="20"/>
          <w:color w:val="auto"/>
        </w:rPr>
      </w:pPr>
      <w:r>
        <w:rPr>
          <w:rFonts w:ascii="Courier New" w:cs="Courier New" w:eastAsia="Courier New" w:hAnsi="Courier New"/>
          <w:sz w:val="18"/>
          <w:szCs w:val="18"/>
          <w:color w:val="auto"/>
        </w:rPr>
        <w:t>net</w:t>
      </w:r>
      <w:r>
        <w:rPr>
          <w:sz w:val="20"/>
          <w:szCs w:val="20"/>
          <w:color w:val="auto"/>
        </w:rPr>
        <w:tab/>
      </w:r>
      <w:r>
        <w:rPr>
          <w:rFonts w:ascii="Courier New" w:cs="Courier New" w:eastAsia="Courier New" w:hAnsi="Courier New"/>
          <w:sz w:val="16"/>
          <w:szCs w:val="16"/>
          <w:color w:val="auto"/>
        </w:rPr>
        <w:t>(2) (25.0) (25) (58.1)</w:t>
      </w:r>
    </w:p>
    <w:p>
      <w:pPr>
        <w:ind w:left="1960"/>
        <w:spacing w:after="0" w:line="237" w:lineRule="auto"/>
        <w:rPr>
          <w:sz w:val="20"/>
          <w:szCs w:val="20"/>
          <w:color w:val="auto"/>
        </w:rPr>
      </w:pPr>
      <w:r>
        <w:rPr>
          <w:rFonts w:ascii="Courier New" w:cs="Courier New" w:eastAsia="Courier New" w:hAnsi="Courier New"/>
          <w:sz w:val="18"/>
          <w:szCs w:val="18"/>
          <w:color w:val="auto"/>
        </w:rPr>
        <w:t>Minority</w:t>
      </w:r>
    </w:p>
    <w:p>
      <w:pPr>
        <w:ind w:left="60"/>
        <w:spacing w:after="0"/>
        <w:tabs>
          <w:tab w:leader="dot" w:pos="3940" w:val="left"/>
        </w:tabs>
        <w:rPr>
          <w:sz w:val="20"/>
          <w:szCs w:val="20"/>
          <w:color w:val="auto"/>
        </w:rPr>
      </w:pPr>
      <w:r>
        <w:rPr>
          <w:rFonts w:ascii="Courier New" w:cs="Courier New" w:eastAsia="Courier New" w:hAnsi="Courier New"/>
          <w:sz w:val="18"/>
          <w:szCs w:val="18"/>
          <w:color w:val="auto"/>
        </w:rPr>
        <w:t>interest</w:t>
      </w:r>
      <w:r>
        <w:rPr>
          <w:sz w:val="20"/>
          <w:szCs w:val="20"/>
          <w:color w:val="auto"/>
        </w:rPr>
        <w:tab/>
      </w:r>
      <w:r>
        <w:rPr>
          <w:rFonts w:ascii="Courier New" w:cs="Courier New" w:eastAsia="Courier New" w:hAnsi="Courier New"/>
          <w:sz w:val="16"/>
          <w:szCs w:val="16"/>
          <w:color w:val="auto"/>
        </w:rPr>
        <w:t>(1) N/A</w:t>
      </w:r>
    </w:p>
    <w:p>
      <w:pPr>
        <w:ind w:left="60"/>
        <w:spacing w:after="0"/>
        <w:rPr>
          <w:sz w:val="20"/>
          <w:szCs w:val="20"/>
          <w:color w:val="auto"/>
        </w:rPr>
      </w:pPr>
      <w:r>
        <w:rPr>
          <w:rFonts w:ascii="Courier New" w:cs="Courier New" w:eastAsia="Courier New" w:hAnsi="Courier New"/>
          <w:sz w:val="18"/>
          <w:szCs w:val="18"/>
          <w:color w:val="auto"/>
        </w:rPr>
        <w:t>(1) 33.3 ----- ----- 3 49 ----- ----- Income</w:t>
      </w:r>
    </w:p>
    <w:p>
      <w:pPr>
        <w:ind w:left="60"/>
        <w:spacing w:after="0"/>
        <w:tabs>
          <w:tab w:leader="dot" w:pos="4360" w:val="left"/>
        </w:tabs>
        <w:rPr>
          <w:sz w:val="20"/>
          <w:szCs w:val="20"/>
          <w:color w:val="auto"/>
        </w:rPr>
      </w:pPr>
      <w:r>
        <w:rPr>
          <w:rFonts w:ascii="Courier New" w:cs="Courier New" w:eastAsia="Courier New" w:hAnsi="Courier New"/>
          <w:sz w:val="18"/>
          <w:szCs w:val="18"/>
          <w:color w:val="auto"/>
        </w:rPr>
        <w:t>(loss) before income taxes</w:t>
      </w:r>
      <w:r>
        <w:rPr>
          <w:sz w:val="20"/>
          <w:szCs w:val="20"/>
          <w:color w:val="auto"/>
        </w:rPr>
        <w:tab/>
      </w:r>
      <w:r>
        <w:rPr>
          <w:rFonts w:ascii="Courier New" w:cs="Courier New" w:eastAsia="Courier New" w:hAnsi="Courier New"/>
          <w:sz w:val="16"/>
          <w:szCs w:val="16"/>
          <w:color w:val="auto"/>
        </w:rPr>
        <w:t>353</w:t>
      </w:r>
    </w:p>
    <w:p>
      <w:pPr>
        <w:ind w:left="320"/>
        <w:spacing w:after="0"/>
        <w:rPr>
          <w:sz w:val="20"/>
          <w:szCs w:val="20"/>
          <w:color w:val="auto"/>
        </w:rPr>
      </w:pPr>
      <w:r>
        <w:rPr>
          <w:rFonts w:ascii="Courier New" w:cs="Courier New" w:eastAsia="Courier New" w:hAnsi="Courier New"/>
          <w:sz w:val="18"/>
          <w:szCs w:val="18"/>
          <w:color w:val="auto"/>
        </w:rPr>
        <w:t>410 Provision for (benefit from) income</w:t>
      </w:r>
    </w:p>
    <w:p>
      <w:pPr>
        <w:ind w:left="380"/>
        <w:spacing w:after="0"/>
        <w:tabs>
          <w:tab w:leader="dot" w:pos="1620" w:val="left"/>
        </w:tabs>
        <w:rPr>
          <w:sz w:val="20"/>
          <w:szCs w:val="20"/>
          <w:color w:val="auto"/>
        </w:rPr>
      </w:pPr>
      <w:r>
        <w:rPr>
          <w:rFonts w:ascii="Courier New" w:cs="Courier New" w:eastAsia="Courier New" w:hAnsi="Courier New"/>
          <w:sz w:val="18"/>
          <w:szCs w:val="18"/>
          <w:color w:val="auto"/>
        </w:rPr>
        <w:t>taxes</w:t>
      </w:r>
      <w:r>
        <w:rPr>
          <w:sz w:val="20"/>
          <w:szCs w:val="20"/>
          <w:color w:val="auto"/>
        </w:rPr>
        <w:tab/>
      </w:r>
      <w:r>
        <w:rPr>
          <w:rFonts w:ascii="Courier New" w:cs="Courier New" w:eastAsia="Courier New" w:hAnsi="Courier New"/>
          <w:sz w:val="16"/>
          <w:szCs w:val="16"/>
          <w:color w:val="auto"/>
        </w:rPr>
        <w:t>153 170 ----- ----- Income</w:t>
      </w:r>
    </w:p>
    <w:p>
      <w:pPr>
        <w:ind w:left="280"/>
        <w:spacing w:after="0"/>
        <w:rPr>
          <w:sz w:val="20"/>
          <w:szCs w:val="20"/>
          <w:color w:val="auto"/>
        </w:rPr>
      </w:pPr>
      <w:r>
        <w:rPr>
          <w:rFonts w:ascii="Courier New" w:cs="Courier New" w:eastAsia="Courier New" w:hAnsi="Courier New"/>
          <w:sz w:val="18"/>
          <w:szCs w:val="18"/>
          <w:color w:val="auto"/>
        </w:rPr>
        <w:t>before extraordinary item and cumulative</w:t>
      </w:r>
    </w:p>
    <w:p>
      <w:pPr>
        <w:ind w:left="740"/>
        <w:spacing w:after="0" w:line="237" w:lineRule="auto"/>
        <w:rPr>
          <w:sz w:val="20"/>
          <w:szCs w:val="20"/>
          <w:color w:val="auto"/>
        </w:rPr>
      </w:pPr>
      <w:r>
        <w:rPr>
          <w:rFonts w:ascii="Courier New" w:cs="Courier New" w:eastAsia="Courier New" w:hAnsi="Courier New"/>
          <w:sz w:val="18"/>
          <w:szCs w:val="18"/>
          <w:color w:val="auto"/>
        </w:rPr>
        <w:t>effect of changes in accounting</w:t>
      </w:r>
    </w:p>
    <w:p>
      <w:pPr>
        <w:ind w:left="420"/>
        <w:spacing w:after="0"/>
        <w:tabs>
          <w:tab w:leader="dot" w:pos="1880" w:val="left"/>
        </w:tabs>
        <w:rPr>
          <w:sz w:val="20"/>
          <w:szCs w:val="20"/>
          <w:color w:val="auto"/>
        </w:rPr>
      </w:pPr>
      <w:r>
        <w:rPr>
          <w:rFonts w:ascii="Courier New" w:cs="Courier New" w:eastAsia="Courier New" w:hAnsi="Courier New"/>
          <w:sz w:val="18"/>
          <w:szCs w:val="18"/>
          <w:color w:val="auto"/>
        </w:rPr>
        <w:t>principle</w:t>
      </w:r>
      <w:r>
        <w:rPr>
          <w:sz w:val="20"/>
          <w:szCs w:val="20"/>
          <w:color w:val="auto"/>
        </w:rPr>
        <w:tab/>
      </w:r>
      <w:r>
        <w:rPr>
          <w:rFonts w:ascii="Courier New" w:cs="Courier New" w:eastAsia="Courier New" w:hAnsi="Courier New"/>
          <w:sz w:val="16"/>
          <w:szCs w:val="16"/>
          <w:color w:val="auto"/>
        </w:rPr>
        <w:t>$ 200 $ 240 ===== =====</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1440" w:gutter="0" w:footer="0" w:header="0"/>
        </w:sectPr>
      </w:pPr>
    </w:p>
    <w:bookmarkStart w:id="44" w:name="page45"/>
    <w:bookmarkEnd w:id="44"/>
    <w:p>
      <w:pPr>
        <w:ind w:right="1779" w:firstLine="527"/>
        <w:spacing w:after="0" w:line="236" w:lineRule="auto"/>
        <w:rPr>
          <w:sz w:val="20"/>
          <w:szCs w:val="20"/>
          <w:color w:val="auto"/>
        </w:rPr>
      </w:pPr>
      <w:r>
        <w:rPr>
          <w:rFonts w:ascii="Courier New" w:cs="Courier New" w:eastAsia="Courier New" w:hAnsi="Courier New"/>
          <w:sz w:val="18"/>
          <w:szCs w:val="18"/>
          <w:color w:val="auto"/>
        </w:rPr>
        <w:t>The following table presents, for the periods indicated, the percentage relationship that the respective condensed consolidated statements of operations line items bear to operating revenues:</w:t>
      </w:r>
    </w:p>
    <w:p>
      <w:pPr>
        <w:spacing w:after="0" w:line="203"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8"/>
          <w:szCs w:val="18"/>
          <w:color w:val="auto"/>
        </w:rPr>
        <w:t>THREE MONTHS NINE MONTHS ENDED ENDED SEPTEMBER 30,</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SEPTEMBER 30, -------------- ------------- 2002 2001</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2002 2001 ----- ------ ----- ----- STATEMENT OF</w:t>
      </w:r>
    </w:p>
    <w:p>
      <w:pPr>
        <w:jc w:val="center"/>
        <w:ind w:right="4639"/>
        <w:spacing w:after="0" w:line="238" w:lineRule="auto"/>
        <w:rPr>
          <w:sz w:val="20"/>
          <w:szCs w:val="20"/>
          <w:color w:val="auto"/>
        </w:rPr>
      </w:pPr>
      <w:r>
        <w:rPr>
          <w:rFonts w:ascii="Courier New" w:cs="Courier New" w:eastAsia="Courier New" w:hAnsi="Courier New"/>
          <w:sz w:val="18"/>
          <w:szCs w:val="18"/>
          <w:color w:val="auto"/>
        </w:rPr>
        <w:t>OPERATIONS: Operating</w:t>
      </w:r>
    </w:p>
    <w:p>
      <w:pPr>
        <w:spacing w:after="0" w:line="5" w:lineRule="exact"/>
        <w:rPr>
          <w:sz w:val="20"/>
          <w:szCs w:val="20"/>
          <w:color w:val="auto"/>
        </w:rPr>
      </w:pPr>
    </w:p>
    <w:p>
      <w:pPr>
        <w:jc w:val="both"/>
        <w:ind w:left="120" w:right="4679" w:hanging="52"/>
        <w:spacing w:after="0" w:line="268" w:lineRule="auto"/>
        <w:rPr>
          <w:sz w:val="20"/>
          <w:szCs w:val="20"/>
          <w:color w:val="auto"/>
        </w:rPr>
      </w:pPr>
      <w:r>
        <w:rPr>
          <w:rFonts w:ascii="Courier New" w:cs="Courier New" w:eastAsia="Courier New" w:hAnsi="Courier New"/>
          <w:sz w:val="16"/>
          <w:szCs w:val="16"/>
          <w:color w:val="auto"/>
        </w:rPr>
        <w:t>revenues..................................... 100.0% 100.0% 100.0% 100.0% ----- ------ ----- ----- Costs and expenses: Operating (exclusive of depreciation</w:t>
      </w:r>
    </w:p>
    <w:tbl>
      <w:tblPr>
        <w:tblLayout w:type="fixed"/>
        <w:tblInd w:w="60" w:type="dxa"/>
        <w:tblCellMar>
          <w:top w:w="0" w:type="dxa"/>
          <w:left w:w="0" w:type="dxa"/>
          <w:bottom w:w="0" w:type="dxa"/>
          <w:right w:w="0" w:type="dxa"/>
        </w:tblCellMar>
      </w:tblPr>
      <w:tr>
        <w:trPr>
          <w:trHeight w:val="199"/>
        </w:trPr>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40" w:type="dxa"/>
            <w:vAlign w:val="bottom"/>
          </w:tcPr>
          <w:p>
            <w:pPr>
              <w:jc w:val="center"/>
              <w:spacing w:after="0" w:line="198" w:lineRule="exact"/>
              <w:rPr>
                <w:sz w:val="20"/>
                <w:szCs w:val="20"/>
                <w:color w:val="auto"/>
              </w:rPr>
            </w:pPr>
            <w:r>
              <w:rPr>
                <w:rFonts w:ascii="Courier New" w:cs="Courier New" w:eastAsia="Courier New" w:hAnsi="Courier New"/>
                <w:sz w:val="18"/>
                <w:szCs w:val="18"/>
                <w:color w:val="auto"/>
                <w:w w:val="97"/>
              </w:rPr>
              <w:t>and amortization shown</w:t>
            </w:r>
          </w:p>
        </w:tc>
        <w:tc>
          <w:tcPr>
            <w:tcW w:w="1560" w:type="dxa"/>
            <w:vAlign w:val="bottom"/>
          </w:tcPr>
          <w:p>
            <w:pPr>
              <w:spacing w:after="0"/>
              <w:rPr>
                <w:sz w:val="17"/>
                <w:szCs w:val="17"/>
                <w:color w:val="auto"/>
              </w:rPr>
            </w:pPr>
          </w:p>
        </w:tc>
      </w:tr>
      <w:tr>
        <w:trPr>
          <w:trHeight w:val="203"/>
        </w:trPr>
        <w:tc>
          <w:tcPr>
            <w:tcW w:w="14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8"/>
              </w:rPr>
              <w:t>below)......................................</w:t>
            </w:r>
          </w:p>
        </w:tc>
        <w:tc>
          <w:tcPr>
            <w:tcW w:w="2440" w:type="dxa"/>
            <w:vAlign w:val="bottom"/>
          </w:tcPr>
          <w:p>
            <w:pPr>
              <w:spacing w:after="0"/>
              <w:rPr>
                <w:sz w:val="17"/>
                <w:szCs w:val="17"/>
                <w:color w:val="auto"/>
              </w:rPr>
            </w:pPr>
          </w:p>
        </w:tc>
        <w:tc>
          <w:tcPr>
            <w:tcW w:w="15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60.3</w:t>
            </w:r>
          </w:p>
        </w:tc>
      </w:tr>
      <w:tr>
        <w:trPr>
          <w:trHeight w:val="203"/>
        </w:trPr>
        <w:tc>
          <w:tcPr>
            <w:tcW w:w="1420" w:type="dxa"/>
            <w:vAlign w:val="bottom"/>
          </w:tcPr>
          <w:p>
            <w:pPr>
              <w:jc w:val="right"/>
              <w:ind w:right="37"/>
              <w:spacing w:after="0" w:line="203" w:lineRule="exact"/>
              <w:rPr>
                <w:sz w:val="20"/>
                <w:szCs w:val="20"/>
                <w:color w:val="auto"/>
              </w:rPr>
            </w:pPr>
            <w:r>
              <w:rPr>
                <w:rFonts w:ascii="Courier New" w:cs="Courier New" w:eastAsia="Courier New" w:hAnsi="Courier New"/>
                <w:sz w:val="18"/>
                <w:szCs w:val="18"/>
                <w:color w:val="auto"/>
              </w:rPr>
              <w:t>58.4</w:t>
            </w:r>
          </w:p>
        </w:tc>
        <w:tc>
          <w:tcPr>
            <w:tcW w:w="4060" w:type="dxa"/>
            <w:vAlign w:val="bottom"/>
            <w:gridSpan w:val="3"/>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60.0 59.4 Selling, general and</w:t>
            </w:r>
          </w:p>
        </w:tc>
      </w:tr>
      <w:tr>
        <w:trPr>
          <w:trHeight w:val="203"/>
        </w:trPr>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administrative</w:t>
            </w:r>
          </w:p>
        </w:tc>
        <w:tc>
          <w:tcPr>
            <w:tcW w:w="2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13.0</w:t>
            </w:r>
          </w:p>
        </w:tc>
        <w:tc>
          <w:tcPr>
            <w:tcW w:w="1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13.2 13.5 13.7</w:t>
            </w:r>
          </w:p>
        </w:tc>
      </w:tr>
      <w:tr>
        <w:trPr>
          <w:trHeight w:val="203"/>
        </w:trPr>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Depreciation and</w:t>
            </w:r>
          </w:p>
        </w:tc>
        <w:tc>
          <w:tcPr>
            <w:tcW w:w="1560" w:type="dxa"/>
            <w:vAlign w:val="bottom"/>
          </w:tcPr>
          <w:p>
            <w:pPr>
              <w:spacing w:after="0"/>
              <w:rPr>
                <w:sz w:val="17"/>
                <w:szCs w:val="17"/>
                <w:color w:val="auto"/>
              </w:rPr>
            </w:pPr>
          </w:p>
        </w:tc>
      </w:tr>
      <w:tr>
        <w:trPr>
          <w:trHeight w:val="203"/>
        </w:trPr>
        <w:tc>
          <w:tcPr>
            <w:tcW w:w="14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amortization........................</w:t>
            </w:r>
          </w:p>
        </w:tc>
        <w:tc>
          <w:tcPr>
            <w:tcW w:w="244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10.7 12.2 11.0</w:t>
            </w:r>
          </w:p>
        </w:tc>
      </w:tr>
      <w:tr>
        <w:trPr>
          <w:trHeight w:val="203"/>
        </w:trPr>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12.1</w:t>
            </w:r>
          </w:p>
        </w:tc>
        <w:tc>
          <w:tcPr>
            <w:tcW w:w="1560" w:type="dxa"/>
            <w:vAlign w:val="bottom"/>
          </w:tcPr>
          <w:p>
            <w:pPr>
              <w:spacing w:after="0"/>
              <w:rPr>
                <w:sz w:val="17"/>
                <w:szCs w:val="17"/>
                <w:color w:val="auto"/>
              </w:rPr>
            </w:pPr>
          </w:p>
        </w:tc>
      </w:tr>
    </w:tbl>
    <w:p>
      <w:pPr>
        <w:spacing w:after="0" w:line="201"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8"/>
          <w:szCs w:val="18"/>
          <w:color w:val="auto"/>
        </w:rPr>
        <w:t>-- -- 0.5 -- Asset impairments and unusual</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items.................. (0.1) 12.2 (0.1) 4.3 ----- -</w:t>
      </w:r>
    </w:p>
    <w:p>
      <w:pPr>
        <w:spacing w:after="0" w:line="16" w:lineRule="exact"/>
        <w:rPr>
          <w:sz w:val="20"/>
          <w:szCs w:val="20"/>
          <w:color w:val="auto"/>
        </w:rPr>
      </w:pPr>
    </w:p>
    <w:p>
      <w:pPr>
        <w:ind w:left="700" w:hanging="642"/>
        <w:spacing w:after="0"/>
        <w:tabs>
          <w:tab w:leader="none" w:pos="70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----- 83.9 96.0 84.9 89.5 ----- ------ -</w:t>
      </w:r>
    </w:p>
    <w:p>
      <w:pPr>
        <w:ind w:left="2160" w:hanging="522"/>
        <w:spacing w:after="0" w:line="238" w:lineRule="auto"/>
        <w:tabs>
          <w:tab w:leader="none" w:pos="2160"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Income from</w:t>
      </w:r>
    </w:p>
    <w:p>
      <w:pPr>
        <w:spacing w:after="0" w:line="5"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operations................................. 16.1 4.0</w:t>
      </w:r>
    </w:p>
    <w:p>
      <w:pPr>
        <w:spacing w:after="0" w:line="16"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8"/>
          <w:szCs w:val="18"/>
          <w:color w:val="auto"/>
        </w:rPr>
        <w:t>15.1 10.5 ----- ------ ----- ----- Other income</w:t>
      </w:r>
    </w:p>
    <w:p>
      <w:pPr>
        <w:jc w:val="center"/>
        <w:ind w:right="4639"/>
        <w:spacing w:after="0" w:line="238" w:lineRule="auto"/>
        <w:rPr>
          <w:sz w:val="20"/>
          <w:szCs w:val="20"/>
          <w:color w:val="auto"/>
        </w:rPr>
      </w:pPr>
      <w:r>
        <w:rPr>
          <w:rFonts w:ascii="Courier New" w:cs="Courier New" w:eastAsia="Courier New" w:hAnsi="Courier New"/>
          <w:sz w:val="18"/>
          <w:szCs w:val="18"/>
          <w:color w:val="auto"/>
        </w:rPr>
        <w:t>(expense): Interest</w:t>
      </w:r>
    </w:p>
    <w:p>
      <w:pPr>
        <w:jc w:val="center"/>
        <w:ind w:right="4639"/>
        <w:spacing w:after="0"/>
        <w:rPr>
          <w:sz w:val="20"/>
          <w:szCs w:val="20"/>
          <w:color w:val="auto"/>
        </w:rPr>
      </w:pPr>
      <w:r>
        <w:rPr>
          <w:rFonts w:ascii="Courier New" w:cs="Courier New" w:eastAsia="Courier New" w:hAnsi="Courier New"/>
          <w:sz w:val="18"/>
          <w:szCs w:val="18"/>
          <w:color w:val="auto"/>
        </w:rPr>
        <w:t>expense..................................... (4.1)</w:t>
      </w:r>
    </w:p>
    <w:p>
      <w:pPr>
        <w:jc w:val="center"/>
        <w:ind w:right="4639"/>
        <w:spacing w:after="0" w:line="237" w:lineRule="auto"/>
        <w:rPr>
          <w:sz w:val="20"/>
          <w:szCs w:val="20"/>
          <w:color w:val="auto"/>
        </w:rPr>
      </w:pPr>
      <w:r>
        <w:rPr>
          <w:rFonts w:ascii="Courier New" w:cs="Courier New" w:eastAsia="Courier New" w:hAnsi="Courier New"/>
          <w:sz w:val="18"/>
          <w:szCs w:val="18"/>
          <w:color w:val="auto"/>
        </w:rPr>
        <w:t>(4.3) (4.2) (5.0) Interest and other income,</w:t>
      </w:r>
    </w:p>
    <w:p>
      <w:pPr>
        <w:jc w:val="center"/>
        <w:ind w:right="4639"/>
        <w:spacing w:after="0" w:line="238" w:lineRule="auto"/>
        <w:rPr>
          <w:sz w:val="20"/>
          <w:szCs w:val="20"/>
          <w:color w:val="auto"/>
        </w:rPr>
      </w:pPr>
      <w:r>
        <w:rPr>
          <w:rFonts w:ascii="Courier New" w:cs="Courier New" w:eastAsia="Courier New" w:hAnsi="Courier New"/>
          <w:sz w:val="18"/>
          <w:szCs w:val="18"/>
          <w:color w:val="auto"/>
        </w:rPr>
        <w:t>net....................... 0.2 0.3 0.2 0.5 Minority</w:t>
      </w:r>
    </w:p>
    <w:p>
      <w:pPr>
        <w:spacing w:after="0" w:line="5"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interest.................................... -- -- -</w:t>
      </w:r>
    </w:p>
    <w:p>
      <w:pPr>
        <w:spacing w:after="0" w:line="21" w:lineRule="exact"/>
        <w:rPr>
          <w:sz w:val="20"/>
          <w:szCs w:val="20"/>
          <w:color w:val="auto"/>
        </w:rPr>
      </w:pPr>
    </w:p>
    <w:p>
      <w:pPr>
        <w:ind w:left="120" w:right="4739" w:firstLine="202"/>
        <w:spacing w:after="0" w:line="268" w:lineRule="auto"/>
        <w:tabs>
          <w:tab w:leader="none" w:pos="542"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(3.9) (4.0) (4.0) (4.5) ----- ------ ----- ----- Income (loss) before</w:t>
      </w:r>
    </w:p>
    <w:tbl>
      <w:tblPr>
        <w:tblLayout w:type="fixed"/>
        <w:tblInd w:w="60" w:type="dxa"/>
        <w:tblCellMar>
          <w:top w:w="0" w:type="dxa"/>
          <w:left w:w="0" w:type="dxa"/>
          <w:bottom w:w="0" w:type="dxa"/>
          <w:right w:w="0" w:type="dxa"/>
        </w:tblCellMar>
      </w:tblPr>
      <w:tr>
        <w:trPr>
          <w:trHeight w:val="199"/>
        </w:trPr>
        <w:tc>
          <w:tcPr>
            <w:tcW w:w="13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income taxes</w:t>
            </w:r>
          </w:p>
        </w:tc>
        <w:tc>
          <w:tcPr>
            <w:tcW w:w="416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6"/>
              </w:rPr>
              <w:t>...................... 12.2 -- 11.1 6.0</w:t>
            </w:r>
          </w:p>
        </w:tc>
      </w:tr>
      <w:tr>
        <w:trPr>
          <w:trHeight w:val="203"/>
        </w:trPr>
        <w:tc>
          <w:tcPr>
            <w:tcW w:w="5480" w:type="dxa"/>
            <w:vAlign w:val="bottom"/>
            <w:gridSpan w:val="2"/>
          </w:tcPr>
          <w:p>
            <w:pPr>
              <w:jc w:val="right"/>
              <w:ind w:right="812"/>
              <w:spacing w:after="0" w:line="203" w:lineRule="exact"/>
              <w:rPr>
                <w:sz w:val="20"/>
                <w:szCs w:val="20"/>
                <w:color w:val="auto"/>
              </w:rPr>
            </w:pPr>
            <w:r>
              <w:rPr>
                <w:rFonts w:ascii="Courier New" w:cs="Courier New" w:eastAsia="Courier New" w:hAnsi="Courier New"/>
                <w:sz w:val="18"/>
                <w:szCs w:val="18"/>
                <w:color w:val="auto"/>
              </w:rPr>
              <w:t>Provision for (benefit from) income</w:t>
            </w:r>
          </w:p>
        </w:tc>
      </w:tr>
      <w:tr>
        <w:trPr>
          <w:trHeight w:val="203"/>
        </w:trPr>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w w:val="71"/>
              </w:rPr>
              <w:t>taxes..............</w:t>
            </w:r>
          </w:p>
        </w:tc>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 (1.1) 4.1 2.0 ----- ------ -</w:t>
            </w:r>
          </w:p>
        </w:tc>
      </w:tr>
    </w:tbl>
    <w:p>
      <w:pPr>
        <w:spacing w:after="0" w:line="4" w:lineRule="exact"/>
        <w:rPr>
          <w:sz w:val="20"/>
          <w:szCs w:val="20"/>
          <w:color w:val="auto"/>
        </w:rPr>
      </w:pPr>
    </w:p>
    <w:p>
      <w:pPr>
        <w:ind w:left="580" w:right="4939" w:hanging="259"/>
        <w:spacing w:after="0" w:line="268" w:lineRule="auto"/>
        <w:tabs>
          <w:tab w:leader="none" w:pos="843"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Income before extraordinary item and cumulative effect of changes in accounting</w:t>
      </w:r>
    </w:p>
    <w:p>
      <w:pPr>
        <w:jc w:val="center"/>
        <w:ind w:right="4639"/>
        <w:spacing w:after="0" w:line="233" w:lineRule="auto"/>
        <w:rPr>
          <w:sz w:val="20"/>
          <w:szCs w:val="20"/>
          <w:color w:val="auto"/>
        </w:rPr>
      </w:pPr>
      <w:r>
        <w:rPr>
          <w:rFonts w:ascii="Courier New" w:cs="Courier New" w:eastAsia="Courier New" w:hAnsi="Courier New"/>
          <w:sz w:val="18"/>
          <w:szCs w:val="18"/>
          <w:color w:val="auto"/>
        </w:rPr>
        <w:t>principle................... 8.0% 1.1% 7.0% 4.0%</w:t>
      </w:r>
    </w:p>
    <w:p>
      <w:pPr>
        <w:jc w:val="center"/>
        <w:ind w:right="4639"/>
        <w:spacing w:after="0"/>
        <w:rPr>
          <w:sz w:val="20"/>
          <w:szCs w:val="20"/>
          <w:color w:val="auto"/>
        </w:rPr>
      </w:pPr>
      <w:r>
        <w:rPr>
          <w:rFonts w:ascii="Courier New" w:cs="Courier New" w:eastAsia="Courier New" w:hAnsi="Courier New"/>
          <w:sz w:val="18"/>
          <w:szCs w:val="18"/>
          <w:color w:val="auto"/>
        </w:rPr>
        <w:t>===== ====== ===== =====</w:t>
      </w: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OPERATING REVENUES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Revenues for the three months ended September 30, 2002 were substantially unchanged from the comparable prior year period. During this period, revenues from our NASW operations increased $44 million, which was offset by a decrease in revenues from divestitures of non-NASW operations. Our operating revenues decreased by $201 million, or 2.4%, for the nine months ended September 30, 2002 as compared with the corresponding prior year period. This decrease was attributable to an $82 million decrease in revenues from our NASW operations along with a decrease in revenues of $119 million in our non-NASW operations due to the divestiture of those operations throughout 2001 and into early 2002.</w:t>
      </w:r>
    </w:p>
    <w:p>
      <w:pPr>
        <w:spacing w:after="0" w:line="18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NASW operating revenues generally come from fees charged for our collection, disposal, and transfer station services. A portion of the fees we charge to our customers for collection services is billed in advance; a liability for future service is recorded when we bill the customer and operating revenues are recognized as services are actually provided. Revenues from our disposal operations consist of tipping fees charged to third parties based on volume of waste being disposed at our disposal facilities and are normally billed monthly or semi-monthly. Fees charged at transfer stations are based on the volume of waste deposited, taking into account our cost of loading, transporting, and, generally disposing of the solid waste at a disposal site. Intercompany revenues between our operations have been eliminated in the consolidated financial statements.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1440" w:gutter="0" w:footer="0" w:header="0"/>
        </w:sectPr>
      </w:pPr>
    </w:p>
    <w:bookmarkStart w:id="45" w:name="page46"/>
    <w:bookmarkEnd w:id="45"/>
    <w:p>
      <w:pPr>
        <w:ind w:right="1779" w:firstLine="527"/>
        <w:spacing w:after="0" w:line="237" w:lineRule="auto"/>
        <w:rPr>
          <w:sz w:val="20"/>
          <w:szCs w:val="20"/>
          <w:color w:val="auto"/>
        </w:rPr>
      </w:pPr>
      <w:r>
        <w:rPr>
          <w:rFonts w:ascii="Courier New" w:cs="Courier New" w:eastAsia="Courier New" w:hAnsi="Courier New"/>
          <w:sz w:val="18"/>
          <w:szCs w:val="18"/>
          <w:color w:val="auto"/>
        </w:rPr>
        <w:t>The mix of NASW operating revenues for the three and nine months ended September 30, 2002 and 2001 is reflected in the table below. The presentation of prior period operating revenues has been conformed to the current period presentation:</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[CHART]</w:t>
      </w:r>
    </w:p>
    <w:p>
      <w:pPr>
        <w:spacing w:after="0" w:line="20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8"/>
          <w:szCs w:val="18"/>
          <w:color w:val="auto"/>
        </w:rPr>
        <w:t>THREE THREE</w:t>
      </w:r>
    </w:p>
    <w:p>
      <w:pPr>
        <w:jc w:val="center"/>
        <w:ind w:right="8939"/>
        <w:spacing w:after="0" w:line="238" w:lineRule="auto"/>
        <w:rPr>
          <w:sz w:val="20"/>
          <w:szCs w:val="20"/>
          <w:color w:val="auto"/>
        </w:rPr>
      </w:pPr>
      <w:r>
        <w:rPr>
          <w:rFonts w:ascii="Courier New" w:cs="Courier New" w:eastAsia="Courier New" w:hAnsi="Courier New"/>
          <w:sz w:val="18"/>
          <w:szCs w:val="18"/>
          <w:color w:val="auto"/>
        </w:rPr>
        <w:t>MONTHS</w:t>
      </w:r>
    </w:p>
    <w:p>
      <w:pPr>
        <w:jc w:val="center"/>
        <w:ind w:right="8939"/>
        <w:spacing w:after="0"/>
        <w:rPr>
          <w:sz w:val="20"/>
          <w:szCs w:val="20"/>
          <w:color w:val="auto"/>
        </w:rPr>
      </w:pPr>
      <w:r>
        <w:rPr>
          <w:rFonts w:ascii="Courier New" w:cs="Courier New" w:eastAsia="Courier New" w:hAnsi="Courier New"/>
          <w:sz w:val="18"/>
          <w:szCs w:val="18"/>
          <w:color w:val="auto"/>
        </w:rPr>
        <w:t>MONTHS NINE</w:t>
      </w:r>
    </w:p>
    <w:p>
      <w:pPr>
        <w:jc w:val="center"/>
        <w:ind w:right="8939"/>
        <w:spacing w:after="0" w:line="237" w:lineRule="auto"/>
        <w:rPr>
          <w:sz w:val="20"/>
          <w:szCs w:val="20"/>
          <w:color w:val="auto"/>
        </w:rPr>
      </w:pPr>
      <w:r>
        <w:rPr>
          <w:rFonts w:ascii="Courier New" w:cs="Courier New" w:eastAsia="Courier New" w:hAnsi="Courier New"/>
          <w:sz w:val="18"/>
          <w:szCs w:val="18"/>
          <w:color w:val="auto"/>
        </w:rPr>
        <w:t>MONTHS NINE</w:t>
      </w:r>
    </w:p>
    <w:p>
      <w:pPr>
        <w:jc w:val="center"/>
        <w:ind w:right="8939"/>
        <w:spacing w:after="0" w:line="238" w:lineRule="auto"/>
        <w:rPr>
          <w:sz w:val="20"/>
          <w:szCs w:val="20"/>
          <w:color w:val="auto"/>
        </w:rPr>
      </w:pPr>
      <w:r>
        <w:rPr>
          <w:rFonts w:ascii="Courier New" w:cs="Courier New" w:eastAsia="Courier New" w:hAnsi="Courier New"/>
          <w:sz w:val="18"/>
          <w:szCs w:val="18"/>
          <w:color w:val="auto"/>
        </w:rPr>
        <w:t>MONTHS</w:t>
      </w:r>
    </w:p>
    <w:p>
      <w:pPr>
        <w:jc w:val="center"/>
        <w:ind w:right="8939"/>
        <w:spacing w:after="0"/>
        <w:rPr>
          <w:sz w:val="20"/>
          <w:szCs w:val="20"/>
          <w:color w:val="auto"/>
        </w:rPr>
      </w:pPr>
      <w:r>
        <w:rPr>
          <w:rFonts w:ascii="Courier New" w:cs="Courier New" w:eastAsia="Courier New" w:hAnsi="Courier New"/>
          <w:sz w:val="18"/>
          <w:szCs w:val="18"/>
          <w:color w:val="auto"/>
        </w:rPr>
        <w:t>ENDED ENDED</w:t>
      </w:r>
    </w:p>
    <w:p>
      <w:pPr>
        <w:jc w:val="center"/>
        <w:ind w:right="8939"/>
        <w:spacing w:after="0" w:line="237" w:lineRule="auto"/>
        <w:rPr>
          <w:sz w:val="20"/>
          <w:szCs w:val="20"/>
          <w:color w:val="auto"/>
        </w:rPr>
      </w:pPr>
      <w:r>
        <w:rPr>
          <w:rFonts w:ascii="Courier New" w:cs="Courier New" w:eastAsia="Courier New" w:hAnsi="Courier New"/>
          <w:sz w:val="18"/>
          <w:szCs w:val="18"/>
          <w:color w:val="auto"/>
        </w:rPr>
        <w:t>ENDED ENDED</w:t>
      </w:r>
    </w:p>
    <w:p>
      <w:pPr>
        <w:jc w:val="center"/>
        <w:ind w:right="8939"/>
        <w:spacing w:after="0"/>
        <w:rPr>
          <w:sz w:val="20"/>
          <w:szCs w:val="20"/>
          <w:color w:val="auto"/>
        </w:rPr>
      </w:pPr>
      <w:r>
        <w:rPr>
          <w:rFonts w:ascii="Courier New" w:cs="Courier New" w:eastAsia="Courier New" w:hAnsi="Courier New"/>
          <w:sz w:val="18"/>
          <w:szCs w:val="18"/>
          <w:color w:val="auto"/>
        </w:rPr>
        <w:t>SEPTEMBER</w:t>
      </w:r>
    </w:p>
    <w:p>
      <w:pPr>
        <w:jc w:val="center"/>
        <w:ind w:right="8939"/>
        <w:spacing w:after="0" w:line="237" w:lineRule="auto"/>
        <w:rPr>
          <w:sz w:val="20"/>
          <w:szCs w:val="20"/>
          <w:color w:val="auto"/>
        </w:rPr>
      </w:pPr>
      <w:r>
        <w:rPr>
          <w:rFonts w:ascii="Courier New" w:cs="Courier New" w:eastAsia="Courier New" w:hAnsi="Courier New"/>
          <w:sz w:val="18"/>
          <w:szCs w:val="18"/>
          <w:color w:val="auto"/>
        </w:rPr>
        <w:t>30,</w:t>
      </w:r>
    </w:p>
    <w:p>
      <w:pPr>
        <w:jc w:val="center"/>
        <w:ind w:right="8939"/>
        <w:spacing w:after="0"/>
        <w:rPr>
          <w:sz w:val="20"/>
          <w:szCs w:val="20"/>
          <w:color w:val="auto"/>
        </w:rPr>
      </w:pPr>
      <w:r>
        <w:rPr>
          <w:rFonts w:ascii="Courier New" w:cs="Courier New" w:eastAsia="Courier New" w:hAnsi="Courier New"/>
          <w:sz w:val="18"/>
          <w:szCs w:val="18"/>
          <w:color w:val="auto"/>
        </w:rPr>
        <w:t>SEPTEMBER</w:t>
      </w:r>
    </w:p>
    <w:p>
      <w:pPr>
        <w:jc w:val="center"/>
        <w:ind w:right="8939"/>
        <w:spacing w:after="0" w:line="237" w:lineRule="auto"/>
        <w:rPr>
          <w:sz w:val="20"/>
          <w:szCs w:val="20"/>
          <w:color w:val="auto"/>
        </w:rPr>
      </w:pPr>
      <w:r>
        <w:rPr>
          <w:rFonts w:ascii="Courier New" w:cs="Courier New" w:eastAsia="Courier New" w:hAnsi="Courier New"/>
          <w:sz w:val="18"/>
          <w:szCs w:val="18"/>
          <w:color w:val="auto"/>
        </w:rPr>
        <w:t>30,</w:t>
      </w:r>
    </w:p>
    <w:p>
      <w:pPr>
        <w:jc w:val="center"/>
        <w:ind w:right="8939"/>
        <w:spacing w:after="0" w:line="238" w:lineRule="auto"/>
        <w:rPr>
          <w:sz w:val="20"/>
          <w:szCs w:val="20"/>
          <w:color w:val="auto"/>
        </w:rPr>
      </w:pPr>
      <w:r>
        <w:rPr>
          <w:rFonts w:ascii="Courier New" w:cs="Courier New" w:eastAsia="Courier New" w:hAnsi="Courier New"/>
          <w:sz w:val="18"/>
          <w:szCs w:val="18"/>
          <w:color w:val="auto"/>
        </w:rPr>
        <w:t>SEPTEMBER</w:t>
      </w:r>
    </w:p>
    <w:p>
      <w:pPr>
        <w:jc w:val="center"/>
        <w:ind w:right="8939"/>
        <w:spacing w:after="0"/>
        <w:rPr>
          <w:sz w:val="20"/>
          <w:szCs w:val="20"/>
          <w:color w:val="auto"/>
        </w:rPr>
      </w:pPr>
      <w:r>
        <w:rPr>
          <w:rFonts w:ascii="Courier New" w:cs="Courier New" w:eastAsia="Courier New" w:hAnsi="Courier New"/>
          <w:sz w:val="18"/>
          <w:szCs w:val="18"/>
          <w:color w:val="auto"/>
        </w:rPr>
        <w:t>30,</w:t>
      </w:r>
    </w:p>
    <w:p>
      <w:pPr>
        <w:jc w:val="center"/>
        <w:ind w:right="8939"/>
        <w:spacing w:after="0" w:line="237" w:lineRule="auto"/>
        <w:rPr>
          <w:sz w:val="20"/>
          <w:szCs w:val="20"/>
          <w:color w:val="auto"/>
        </w:rPr>
      </w:pPr>
      <w:r>
        <w:rPr>
          <w:rFonts w:ascii="Courier New" w:cs="Courier New" w:eastAsia="Courier New" w:hAnsi="Courier New"/>
          <w:sz w:val="18"/>
          <w:szCs w:val="18"/>
          <w:color w:val="auto"/>
        </w:rPr>
        <w:t>SEPTEMBER</w:t>
      </w:r>
    </w:p>
    <w:tbl>
      <w:tblPr>
        <w:tblLayout w:type="fixed"/>
        <w:tblInd w:w="60" w:type="dxa"/>
        <w:tblCellMar>
          <w:top w:w="0" w:type="dxa"/>
          <w:left w:w="0" w:type="dxa"/>
          <w:bottom w:w="0" w:type="dxa"/>
          <w:right w:w="0" w:type="dxa"/>
        </w:tblCellMar>
      </w:tblPr>
      <w:tr>
        <w:trPr>
          <w:trHeight w:val="203"/>
        </w:trPr>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30,</w:t>
            </w:r>
          </w:p>
        </w:tc>
        <w:tc>
          <w:tcPr>
            <w:tcW w:w="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2002</w:t>
            </w:r>
          </w:p>
        </w:tc>
      </w:tr>
      <w:tr>
        <w:trPr>
          <w:trHeight w:val="203"/>
        </w:trPr>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5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w w:val="92"/>
              </w:rPr>
              <w:t>2001</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74"/>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bl>
    <w:p>
      <w:pPr>
        <w:ind w:left="60"/>
        <w:spacing w:after="0" w:line="238" w:lineRule="auto"/>
        <w:rPr>
          <w:sz w:val="20"/>
          <w:szCs w:val="20"/>
          <w:color w:val="auto"/>
        </w:rPr>
      </w:pPr>
      <w:r>
        <w:rPr>
          <w:rFonts w:ascii="Courier New" w:cs="Courier New" w:eastAsia="Courier New" w:hAnsi="Courier New"/>
          <w:sz w:val="18"/>
          <w:szCs w:val="18"/>
          <w:color w:val="auto"/>
        </w:rPr>
        <w:t>-----------</w:t>
      </w:r>
    </w:p>
    <w:p>
      <w:pPr>
        <w:ind w:left="380" w:hanging="323"/>
        <w:spacing w:after="0"/>
        <w:tabs>
          <w:tab w:leader="none" w:pos="38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8939"/>
        <w:spacing w:after="0"/>
        <w:rPr>
          <w:sz w:val="20"/>
          <w:szCs w:val="20"/>
          <w:color w:val="auto"/>
        </w:rPr>
      </w:pPr>
      <w:r>
        <w:rPr>
          <w:rFonts w:ascii="Courier New" w:cs="Courier New" w:eastAsia="Courier New" w:hAnsi="Courier New"/>
          <w:sz w:val="18"/>
          <w:szCs w:val="18"/>
          <w:color w:val="auto"/>
        </w:rPr>
        <w:t>Collection</w:t>
      </w:r>
    </w:p>
    <w:p>
      <w:pPr>
        <w:jc w:val="center"/>
        <w:ind w:right="8939"/>
        <w:spacing w:after="0" w:line="237" w:lineRule="auto"/>
        <w:rPr>
          <w:sz w:val="20"/>
          <w:szCs w:val="20"/>
          <w:color w:val="auto"/>
        </w:rPr>
      </w:pPr>
      <w:r>
        <w:rPr>
          <w:rFonts w:ascii="Courier New" w:cs="Courier New" w:eastAsia="Courier New" w:hAnsi="Courier New"/>
          <w:sz w:val="18"/>
          <w:szCs w:val="18"/>
          <w:color w:val="auto"/>
        </w:rPr>
        <w:t>$1,950</w:t>
      </w:r>
    </w:p>
    <w:p>
      <w:pPr>
        <w:jc w:val="center"/>
        <w:ind w:right="8939"/>
        <w:spacing w:after="0" w:line="238" w:lineRule="auto"/>
        <w:rPr>
          <w:sz w:val="20"/>
          <w:szCs w:val="20"/>
          <w:color w:val="auto"/>
        </w:rPr>
      </w:pPr>
      <w:r>
        <w:rPr>
          <w:rFonts w:ascii="Courier New" w:cs="Courier New" w:eastAsia="Courier New" w:hAnsi="Courier New"/>
          <w:sz w:val="18"/>
          <w:szCs w:val="18"/>
          <w:color w:val="auto"/>
        </w:rPr>
        <w:t>$1,917 $</w:t>
      </w:r>
    </w:p>
    <w:p>
      <w:pPr>
        <w:jc w:val="center"/>
        <w:ind w:right="8939"/>
        <w:spacing w:after="0"/>
        <w:rPr>
          <w:sz w:val="20"/>
          <w:szCs w:val="20"/>
          <w:color w:val="auto"/>
        </w:rPr>
      </w:pPr>
      <w:r>
        <w:rPr>
          <w:rFonts w:ascii="Courier New" w:cs="Courier New" w:eastAsia="Courier New" w:hAnsi="Courier New"/>
          <w:sz w:val="18"/>
          <w:szCs w:val="18"/>
          <w:color w:val="auto"/>
        </w:rPr>
        <w:t>5,689 $</w:t>
      </w:r>
    </w:p>
    <w:p>
      <w:pPr>
        <w:jc w:val="center"/>
        <w:ind w:right="8939"/>
        <w:spacing w:after="0" w:line="237" w:lineRule="auto"/>
        <w:rPr>
          <w:sz w:val="20"/>
          <w:szCs w:val="20"/>
          <w:color w:val="auto"/>
        </w:rPr>
      </w:pPr>
      <w:r>
        <w:rPr>
          <w:rFonts w:ascii="Courier New" w:cs="Courier New" w:eastAsia="Courier New" w:hAnsi="Courier New"/>
          <w:sz w:val="18"/>
          <w:szCs w:val="18"/>
          <w:color w:val="auto"/>
        </w:rPr>
        <w:t>5,696</w:t>
      </w:r>
    </w:p>
    <w:p>
      <w:pPr>
        <w:jc w:val="center"/>
        <w:ind w:right="8939"/>
        <w:spacing w:after="0"/>
        <w:rPr>
          <w:sz w:val="20"/>
          <w:szCs w:val="20"/>
          <w:color w:val="auto"/>
        </w:rPr>
      </w:pPr>
      <w:r>
        <w:rPr>
          <w:rFonts w:ascii="Courier New" w:cs="Courier New" w:eastAsia="Courier New" w:hAnsi="Courier New"/>
          <w:sz w:val="18"/>
          <w:szCs w:val="18"/>
          <w:color w:val="auto"/>
        </w:rPr>
        <w:t>Landfill $</w:t>
      </w:r>
    </w:p>
    <w:p>
      <w:pPr>
        <w:jc w:val="center"/>
        <w:ind w:right="8939"/>
        <w:spacing w:after="0" w:line="237" w:lineRule="auto"/>
        <w:rPr>
          <w:sz w:val="20"/>
          <w:szCs w:val="20"/>
          <w:color w:val="auto"/>
        </w:rPr>
      </w:pPr>
      <w:r>
        <w:rPr>
          <w:rFonts w:ascii="Courier New" w:cs="Courier New" w:eastAsia="Courier New" w:hAnsi="Courier New"/>
          <w:sz w:val="18"/>
          <w:szCs w:val="18"/>
          <w:color w:val="auto"/>
        </w:rPr>
        <w:t>708 $ 720 $</w:t>
      </w:r>
    </w:p>
    <w:p>
      <w:pPr>
        <w:jc w:val="center"/>
        <w:ind w:right="8939"/>
        <w:spacing w:after="0"/>
        <w:rPr>
          <w:sz w:val="20"/>
          <w:szCs w:val="20"/>
          <w:color w:val="auto"/>
        </w:rPr>
      </w:pPr>
      <w:r>
        <w:rPr>
          <w:rFonts w:ascii="Courier New" w:cs="Courier New" w:eastAsia="Courier New" w:hAnsi="Courier New"/>
          <w:sz w:val="18"/>
          <w:szCs w:val="18"/>
          <w:color w:val="auto"/>
        </w:rPr>
        <w:t>1,997 $</w:t>
      </w:r>
    </w:p>
    <w:p>
      <w:pPr>
        <w:jc w:val="center"/>
        <w:ind w:right="8939"/>
        <w:spacing w:after="0" w:line="237" w:lineRule="auto"/>
        <w:rPr>
          <w:sz w:val="20"/>
          <w:szCs w:val="20"/>
          <w:color w:val="auto"/>
        </w:rPr>
      </w:pPr>
      <w:r>
        <w:rPr>
          <w:rFonts w:ascii="Courier New" w:cs="Courier New" w:eastAsia="Courier New" w:hAnsi="Courier New"/>
          <w:sz w:val="18"/>
          <w:szCs w:val="18"/>
          <w:color w:val="auto"/>
        </w:rPr>
        <w:t>2,064</w:t>
      </w:r>
    </w:p>
    <w:p>
      <w:pPr>
        <w:jc w:val="center"/>
        <w:ind w:right="8939"/>
        <w:spacing w:after="0" w:line="238" w:lineRule="auto"/>
        <w:rPr>
          <w:sz w:val="20"/>
          <w:szCs w:val="20"/>
          <w:color w:val="auto"/>
        </w:rPr>
      </w:pPr>
      <w:r>
        <w:rPr>
          <w:rFonts w:ascii="Courier New" w:cs="Courier New" w:eastAsia="Courier New" w:hAnsi="Courier New"/>
          <w:sz w:val="18"/>
          <w:szCs w:val="18"/>
          <w:color w:val="auto"/>
        </w:rPr>
        <w:t>Transfer $</w:t>
      </w:r>
    </w:p>
    <w:p>
      <w:pPr>
        <w:jc w:val="center"/>
        <w:ind w:right="8939"/>
        <w:spacing w:after="0"/>
        <w:rPr>
          <w:sz w:val="20"/>
          <w:szCs w:val="20"/>
          <w:color w:val="auto"/>
        </w:rPr>
      </w:pPr>
      <w:r>
        <w:rPr>
          <w:rFonts w:ascii="Courier New" w:cs="Courier New" w:eastAsia="Courier New" w:hAnsi="Courier New"/>
          <w:sz w:val="18"/>
          <w:szCs w:val="18"/>
          <w:color w:val="auto"/>
        </w:rPr>
        <w:t>388 $ 371 $</w:t>
      </w:r>
    </w:p>
    <w:p>
      <w:pPr>
        <w:jc w:val="center"/>
        <w:ind w:right="8939"/>
        <w:spacing w:after="0" w:line="237" w:lineRule="auto"/>
        <w:rPr>
          <w:sz w:val="20"/>
          <w:szCs w:val="20"/>
          <w:color w:val="auto"/>
        </w:rPr>
      </w:pPr>
      <w:r>
        <w:rPr>
          <w:rFonts w:ascii="Courier New" w:cs="Courier New" w:eastAsia="Courier New" w:hAnsi="Courier New"/>
          <w:sz w:val="18"/>
          <w:szCs w:val="18"/>
          <w:color w:val="auto"/>
        </w:rPr>
        <w:t>1,079 $</w:t>
      </w:r>
    </w:p>
    <w:p>
      <w:pPr>
        <w:jc w:val="center"/>
        <w:ind w:right="8939"/>
        <w:spacing w:after="0"/>
        <w:rPr>
          <w:sz w:val="20"/>
          <w:szCs w:val="20"/>
          <w:color w:val="auto"/>
        </w:rPr>
      </w:pPr>
      <w:r>
        <w:rPr>
          <w:rFonts w:ascii="Courier New" w:cs="Courier New" w:eastAsia="Courier New" w:hAnsi="Courier New"/>
          <w:sz w:val="18"/>
          <w:szCs w:val="18"/>
          <w:color w:val="auto"/>
        </w:rPr>
        <w:t>1,083 WTI</w:t>
      </w:r>
    </w:p>
    <w:p>
      <w:pPr>
        <w:jc w:val="center"/>
        <w:ind w:right="8939"/>
        <w:spacing w:after="0" w:line="237" w:lineRule="auto"/>
        <w:rPr>
          <w:sz w:val="20"/>
          <w:szCs w:val="20"/>
          <w:color w:val="auto"/>
        </w:rPr>
      </w:pPr>
      <w:r>
        <w:rPr>
          <w:rFonts w:ascii="Courier New" w:cs="Courier New" w:eastAsia="Courier New" w:hAnsi="Courier New"/>
          <w:sz w:val="18"/>
          <w:szCs w:val="18"/>
          <w:color w:val="auto"/>
        </w:rPr>
        <w:t>(waste-to-</w:t>
      </w:r>
    </w:p>
    <w:p>
      <w:pPr>
        <w:jc w:val="center"/>
        <w:ind w:right="8939"/>
        <w:spacing w:after="0"/>
        <w:rPr>
          <w:sz w:val="20"/>
          <w:szCs w:val="20"/>
          <w:color w:val="auto"/>
        </w:rPr>
      </w:pPr>
      <w:r>
        <w:rPr>
          <w:rFonts w:ascii="Courier New" w:cs="Courier New" w:eastAsia="Courier New" w:hAnsi="Courier New"/>
          <w:sz w:val="18"/>
          <w:szCs w:val="18"/>
          <w:color w:val="auto"/>
        </w:rPr>
        <w:t>energy and</w:t>
      </w:r>
    </w:p>
    <w:p>
      <w:pPr>
        <w:jc w:val="center"/>
        <w:ind w:right="8939"/>
        <w:spacing w:after="0" w:line="237" w:lineRule="auto"/>
        <w:rPr>
          <w:sz w:val="20"/>
          <w:szCs w:val="20"/>
          <w:color w:val="auto"/>
        </w:rPr>
      </w:pPr>
      <w:r>
        <w:rPr>
          <w:rFonts w:ascii="Courier New" w:cs="Courier New" w:eastAsia="Courier New" w:hAnsi="Courier New"/>
          <w:sz w:val="18"/>
          <w:szCs w:val="18"/>
          <w:color w:val="auto"/>
        </w:rPr>
        <w:t>IPPs) $ 201</w:t>
      </w:r>
    </w:p>
    <w:p>
      <w:pPr>
        <w:spacing w:after="0" w:line="5" w:lineRule="exact"/>
        <w:rPr>
          <w:sz w:val="20"/>
          <w:szCs w:val="20"/>
          <w:color w:val="auto"/>
        </w:rPr>
      </w:pPr>
    </w:p>
    <w:p>
      <w:pPr>
        <w:ind w:left="380" w:right="8999" w:hanging="323"/>
        <w:spacing w:after="0" w:line="268" w:lineRule="auto"/>
        <w:tabs>
          <w:tab w:leader="none" w:pos="275"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195 $ 576 $ 602</w:t>
      </w:r>
    </w:p>
    <w:p>
      <w:pPr>
        <w:jc w:val="center"/>
        <w:ind w:right="8939"/>
        <w:spacing w:after="0" w:line="233" w:lineRule="auto"/>
        <w:rPr>
          <w:sz w:val="20"/>
          <w:szCs w:val="20"/>
          <w:color w:val="auto"/>
        </w:rPr>
      </w:pPr>
      <w:r>
        <w:rPr>
          <w:rFonts w:ascii="Courier New" w:cs="Courier New" w:eastAsia="Courier New" w:hAnsi="Courier New"/>
          <w:sz w:val="18"/>
          <w:szCs w:val="18"/>
          <w:color w:val="auto"/>
        </w:rPr>
        <w:t>Recycling</w:t>
      </w:r>
    </w:p>
    <w:p>
      <w:pPr>
        <w:jc w:val="center"/>
        <w:ind w:right="8939"/>
        <w:spacing w:after="0"/>
        <w:rPr>
          <w:sz w:val="20"/>
          <w:szCs w:val="20"/>
          <w:color w:val="auto"/>
        </w:rPr>
      </w:pPr>
      <w:r>
        <w:rPr>
          <w:rFonts w:ascii="Courier New" w:cs="Courier New" w:eastAsia="Courier New" w:hAnsi="Courier New"/>
          <w:sz w:val="18"/>
          <w:szCs w:val="18"/>
          <w:color w:val="auto"/>
        </w:rPr>
        <w:t>and other $</w:t>
      </w:r>
    </w:p>
    <w:tbl>
      <w:tblPr>
        <w:tblLayout w:type="fixed"/>
        <w:tblInd w:w="0" w:type="dxa"/>
        <w:tblCellMar>
          <w:top w:w="0" w:type="dxa"/>
          <w:left w:w="0" w:type="dxa"/>
          <w:bottom w:w="0" w:type="dxa"/>
          <w:right w:w="0" w:type="dxa"/>
        </w:tblCellMar>
      </w:tblPr>
      <w:tr>
        <w:trPr>
          <w:trHeight w:val="202"/>
        </w:trPr>
        <w:tc>
          <w:tcPr>
            <w:tcW w:w="48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176</w:t>
            </w:r>
          </w:p>
        </w:tc>
        <w:tc>
          <w:tcPr>
            <w:tcW w:w="5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2"/>
              </w:rPr>
              <w:t>$ 158</w:t>
            </w:r>
          </w:p>
        </w:tc>
        <w:tc>
          <w:tcPr>
            <w:tcW w:w="2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471</w:t>
            </w: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$ 459</w:t>
            </w:r>
          </w:p>
        </w:tc>
      </w:tr>
      <w:tr>
        <w:trPr>
          <w:trHeight w:val="203"/>
        </w:trPr>
        <w:tc>
          <w:tcPr>
            <w:tcW w:w="12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Intercompany</w:t>
            </w:r>
          </w:p>
        </w:tc>
      </w:tr>
      <w:tr>
        <w:trPr>
          <w:trHeight w:val="203"/>
        </w:trPr>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(527)</w:t>
            </w:r>
          </w:p>
        </w:tc>
        <w:tc>
          <w:tcPr>
            <w:tcW w:w="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(509)</w:t>
            </w:r>
          </w:p>
        </w:tc>
        <w:tc>
          <w:tcPr>
            <w:tcW w:w="280" w:type="dxa"/>
            <w:vAlign w:val="bottom"/>
          </w:tcPr>
          <w:p>
            <w:pPr>
              <w:spacing w:after="0"/>
              <w:rPr>
                <w:sz w:val="17"/>
                <w:szCs w:val="17"/>
                <w:color w:val="auto"/>
              </w:rPr>
            </w:pPr>
          </w:p>
        </w:tc>
      </w:tr>
      <w:tr>
        <w:trPr>
          <w:trHeight w:val="203"/>
        </w:trPr>
        <w:tc>
          <w:tcPr>
            <w:tcW w:w="128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$(1,490)</w:t>
            </w:r>
          </w:p>
        </w:tc>
      </w:tr>
      <w:tr>
        <w:trPr>
          <w:trHeight w:val="203"/>
        </w:trPr>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$(1,500)</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bl>
    <w:p>
      <w:pPr>
        <w:ind w:left="580" w:hanging="523"/>
        <w:spacing w:after="0" w:line="238" w:lineRule="auto"/>
        <w:tabs>
          <w:tab w:leader="none" w:pos="58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40" w:hanging="531"/>
        <w:spacing w:after="0" w:line="238" w:lineRule="auto"/>
        <w:tabs>
          <w:tab w:leader="none" w:pos="640"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$2,896</w:t>
      </w:r>
    </w:p>
    <w:p>
      <w:pPr>
        <w:jc w:val="center"/>
        <w:ind w:right="8939"/>
        <w:spacing w:after="0"/>
        <w:rPr>
          <w:sz w:val="20"/>
          <w:szCs w:val="20"/>
          <w:color w:val="auto"/>
        </w:rPr>
      </w:pPr>
      <w:r>
        <w:rPr>
          <w:rFonts w:ascii="Courier New" w:cs="Courier New" w:eastAsia="Courier New" w:hAnsi="Courier New"/>
          <w:sz w:val="18"/>
          <w:szCs w:val="18"/>
          <w:color w:val="auto"/>
        </w:rPr>
        <w:t>$2,852 $</w:t>
      </w:r>
    </w:p>
    <w:p>
      <w:pPr>
        <w:jc w:val="center"/>
        <w:ind w:right="8939"/>
        <w:spacing w:after="0" w:line="237" w:lineRule="auto"/>
        <w:rPr>
          <w:sz w:val="20"/>
          <w:szCs w:val="20"/>
          <w:color w:val="auto"/>
        </w:rPr>
      </w:pPr>
      <w:r>
        <w:rPr>
          <w:rFonts w:ascii="Courier New" w:cs="Courier New" w:eastAsia="Courier New" w:hAnsi="Courier New"/>
          <w:sz w:val="18"/>
          <w:szCs w:val="18"/>
          <w:color w:val="auto"/>
        </w:rPr>
        <w:t>8,322 $</w:t>
      </w:r>
    </w:p>
    <w:p>
      <w:pPr>
        <w:jc w:val="center"/>
        <w:ind w:right="8939"/>
        <w:spacing w:after="0" w:line="238" w:lineRule="auto"/>
        <w:rPr>
          <w:sz w:val="20"/>
          <w:szCs w:val="20"/>
          <w:color w:val="auto"/>
        </w:rPr>
      </w:pPr>
      <w:r>
        <w:rPr>
          <w:rFonts w:ascii="Courier New" w:cs="Courier New" w:eastAsia="Courier New" w:hAnsi="Courier New"/>
          <w:sz w:val="18"/>
          <w:szCs w:val="18"/>
          <w:color w:val="auto"/>
        </w:rPr>
        <w:t>8,404</w:t>
      </w:r>
    </w:p>
    <w:p>
      <w:pPr>
        <w:jc w:val="center"/>
        <w:ind w:right="8939"/>
        <w:spacing w:after="0"/>
        <w:rPr>
          <w:sz w:val="20"/>
          <w:szCs w:val="20"/>
          <w:color w:val="auto"/>
        </w:rPr>
      </w:pPr>
      <w:r>
        <w:rPr>
          <w:rFonts w:ascii="Courier New" w:cs="Courier New" w:eastAsia="Courier New" w:hAnsi="Courier New"/>
          <w:sz w:val="18"/>
          <w:szCs w:val="18"/>
          <w:color w:val="auto"/>
        </w:rPr>
        <w:t>======</w:t>
      </w:r>
    </w:p>
    <w:p>
      <w:pPr>
        <w:jc w:val="center"/>
        <w:ind w:right="8939"/>
        <w:spacing w:after="0" w:line="237" w:lineRule="auto"/>
        <w:rPr>
          <w:sz w:val="20"/>
          <w:szCs w:val="20"/>
          <w:color w:val="auto"/>
        </w:rPr>
      </w:pPr>
      <w:r>
        <w:rPr>
          <w:rFonts w:ascii="Courier New" w:cs="Courier New" w:eastAsia="Courier New" w:hAnsi="Courier New"/>
          <w:sz w:val="18"/>
          <w:szCs w:val="18"/>
          <w:color w:val="auto"/>
        </w:rPr>
        <w:t>======</w:t>
      </w:r>
    </w:p>
    <w:p>
      <w:pPr>
        <w:jc w:val="center"/>
        <w:ind w:right="8939"/>
        <w:spacing w:after="0"/>
        <w:rPr>
          <w:sz w:val="20"/>
          <w:szCs w:val="20"/>
          <w:color w:val="auto"/>
        </w:rPr>
      </w:pPr>
      <w:r>
        <w:rPr>
          <w:rFonts w:ascii="Courier New" w:cs="Courier New" w:eastAsia="Courier New" w:hAnsi="Courier New"/>
          <w:sz w:val="18"/>
          <w:szCs w:val="18"/>
          <w:color w:val="auto"/>
        </w:rPr>
        <w:t>=======</w:t>
      </w:r>
    </w:p>
    <w:p>
      <w:pPr>
        <w:jc w:val="center"/>
        <w:ind w:right="8939"/>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The increase of $44 million and decrease of $82 million in NASW revenues for the three and nine months ended September 30, 2002, respectively, is reflected in the table below (in millions).</w:t>
      </w:r>
    </w:p>
    <w:p>
      <w:pPr>
        <w:spacing w:after="0" w:line="209" w:lineRule="exact"/>
        <w:rPr>
          <w:sz w:val="20"/>
          <w:szCs w:val="20"/>
          <w:color w:val="auto"/>
        </w:rPr>
      </w:pPr>
    </w:p>
    <w:p>
      <w:pPr>
        <w:ind w:left="120" w:right="4639" w:firstLine="211"/>
        <w:spacing w:after="0" w:line="273" w:lineRule="auto"/>
        <w:rPr>
          <w:sz w:val="20"/>
          <w:szCs w:val="20"/>
          <w:color w:val="auto"/>
        </w:rPr>
      </w:pPr>
      <w:r>
        <w:rPr>
          <w:rFonts w:ascii="Courier New" w:cs="Courier New" w:eastAsia="Courier New" w:hAnsi="Courier New"/>
          <w:sz w:val="16"/>
          <w:szCs w:val="16"/>
          <w:color w:val="auto"/>
        </w:rPr>
        <w:t>PERIOD TO PERIOD PERIOD TO PERIOD CHANGE FOR THE CHANGE FOR THE THREE MONTHS NINE MONTHS ENDED ENDED SEPTEMBER 30, SEPTEMBER 30, 2002 AND 2001 2002 AND 2001 ---------------- ----------------- Price: Commodity price.....................................</w:t>
      </w:r>
    </w:p>
    <w:p>
      <w:pPr>
        <w:sectPr>
          <w:pgSz w:w="11900" w:h="16838" w:orient="portrait"/>
          <w:cols w:equalWidth="0" w:num="1">
            <w:col w:w="10219"/>
          </w:cols>
          <w:pgMar w:left="240" w:top="723" w:right="1440" w:bottom="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4"/>
        </w:trPr>
        <w:tc>
          <w:tcPr>
            <w:tcW w:w="564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7"/>
              </w:rPr>
              <w:t>$ 34 1.2% $ 25 0.3% Electricity</w:t>
            </w:r>
          </w:p>
        </w:tc>
      </w:tr>
      <w:tr>
        <w:trPr>
          <w:trHeight w:val="203"/>
        </w:trPr>
        <w:tc>
          <w:tcPr>
            <w:tcW w:w="28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price...................................</w:t>
            </w:r>
          </w:p>
        </w:tc>
        <w:tc>
          <w:tcPr>
            <w:tcW w:w="2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 (0.1)</w:t>
            </w:r>
          </w:p>
        </w:tc>
      </w:tr>
      <w:tr>
        <w:trPr>
          <w:trHeight w:val="203"/>
        </w:trPr>
        <w:tc>
          <w:tcPr>
            <w:tcW w:w="56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(35) (0.4) Fuel</w:t>
            </w:r>
          </w:p>
        </w:tc>
      </w:tr>
      <w:tr>
        <w:trPr>
          <w:trHeight w:val="203"/>
        </w:trPr>
        <w:tc>
          <w:tcPr>
            <w:tcW w:w="28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price..........................................</w:t>
            </w:r>
          </w:p>
        </w:tc>
        <w:tc>
          <w:tcPr>
            <w:tcW w:w="2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56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(0.1) (27) (0.3) Other</w:t>
            </w:r>
          </w:p>
        </w:tc>
      </w:tr>
      <w:tr>
        <w:trPr>
          <w:trHeight w:val="203"/>
        </w:trPr>
        <w:tc>
          <w:tcPr>
            <w:tcW w:w="28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price.........................................</w:t>
            </w: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14 0.5</w:t>
            </w:r>
          </w:p>
        </w:tc>
      </w:tr>
      <w:tr>
        <w:trPr>
          <w:trHeight w:val="203"/>
        </w:trPr>
        <w:tc>
          <w:tcPr>
            <w:tcW w:w="56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54 0.6 ---- ---- ----- ---- Total</w:t>
            </w:r>
          </w:p>
        </w:tc>
      </w:tr>
      <w:tr>
        <w:trPr>
          <w:trHeight w:val="203"/>
        </w:trPr>
        <w:tc>
          <w:tcPr>
            <w:tcW w:w="28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price...........................................</w:t>
            </w:r>
          </w:p>
        </w:tc>
        <w:tc>
          <w:tcPr>
            <w:tcW w:w="2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274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1.5</w:t>
            </w:r>
          </w:p>
        </w:tc>
        <w:tc>
          <w:tcPr>
            <w:tcW w:w="2900" w:type="dxa"/>
            <w:vAlign w:val="bottom"/>
            <w:gridSpan w:val="2"/>
          </w:tcPr>
          <w:p>
            <w:pPr>
              <w:jc w:val="right"/>
              <w:ind w:right="2172"/>
              <w:spacing w:after="0" w:line="203" w:lineRule="exact"/>
              <w:rPr>
                <w:sz w:val="20"/>
                <w:szCs w:val="20"/>
                <w:color w:val="auto"/>
              </w:rPr>
            </w:pPr>
            <w:r>
              <w:rPr>
                <w:rFonts w:ascii="Courier New" w:cs="Courier New" w:eastAsia="Courier New" w:hAnsi="Courier New"/>
                <w:sz w:val="18"/>
                <w:szCs w:val="18"/>
                <w:color w:val="auto"/>
                <w:w w:val="95"/>
              </w:rPr>
              <w:t>17 0.2</w:t>
            </w:r>
          </w:p>
        </w:tc>
      </w:tr>
      <w:tr>
        <w:trPr>
          <w:trHeight w:val="203"/>
        </w:trPr>
        <w:tc>
          <w:tcPr>
            <w:tcW w:w="28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Volume................................................</w:t>
            </w:r>
          </w:p>
        </w:tc>
        <w:tc>
          <w:tcPr>
            <w:tcW w:w="2780" w:type="dxa"/>
            <w:vAlign w:val="bottom"/>
          </w:tcPr>
          <w:p>
            <w:pPr>
              <w:spacing w:after="0"/>
              <w:rPr>
                <w:sz w:val="17"/>
                <w:szCs w:val="17"/>
                <w:color w:val="auto"/>
              </w:rPr>
            </w:pPr>
          </w:p>
        </w:tc>
      </w:tr>
      <w:tr>
        <w:trPr>
          <w:trHeight w:val="203"/>
        </w:trPr>
        <w:tc>
          <w:tcPr>
            <w:tcW w:w="56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(16) (0.6) (144) (1.7) ---- ---- ----- ---- Internal</w:t>
            </w:r>
          </w:p>
        </w:tc>
      </w:tr>
      <w:tr>
        <w:trPr>
          <w:trHeight w:val="203"/>
        </w:trPr>
        <w:tc>
          <w:tcPr>
            <w:tcW w:w="2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growth(a)....................................</w:t>
            </w: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26 0.9</w:t>
            </w:r>
          </w:p>
        </w:tc>
      </w:tr>
      <w:tr>
        <w:trPr>
          <w:trHeight w:val="203"/>
        </w:trPr>
        <w:tc>
          <w:tcPr>
            <w:tcW w:w="56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(127) (1.5)</w:t>
            </w:r>
          </w:p>
        </w:tc>
      </w:tr>
      <w:tr>
        <w:trPr>
          <w:trHeight w:val="203"/>
        </w:trPr>
        <w:tc>
          <w:tcPr>
            <w:tcW w:w="28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Acquisitions..........................................</w:t>
            </w:r>
          </w:p>
        </w:tc>
        <w:tc>
          <w:tcPr>
            <w:tcW w:w="2780" w:type="dxa"/>
            <w:vAlign w:val="bottom"/>
          </w:tcPr>
          <w:p>
            <w:pPr>
              <w:spacing w:after="0"/>
              <w:rPr>
                <w:sz w:val="17"/>
                <w:szCs w:val="17"/>
                <w:color w:val="auto"/>
              </w:rPr>
            </w:pPr>
          </w:p>
        </w:tc>
      </w:tr>
      <w:tr>
        <w:trPr>
          <w:trHeight w:val="203"/>
        </w:trPr>
        <w:tc>
          <w:tcPr>
            <w:tcW w:w="2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21 0.7</w:t>
            </w:r>
          </w:p>
        </w:tc>
        <w:tc>
          <w:tcPr>
            <w:tcW w:w="278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59 0.7</w:t>
            </w:r>
          </w:p>
        </w:tc>
      </w:tr>
      <w:tr>
        <w:trPr>
          <w:trHeight w:val="203"/>
        </w:trPr>
        <w:tc>
          <w:tcPr>
            <w:tcW w:w="28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Divestitures..........................................</w:t>
            </w:r>
          </w:p>
        </w:tc>
        <w:tc>
          <w:tcPr>
            <w:tcW w:w="2780" w:type="dxa"/>
            <w:vAlign w:val="bottom"/>
          </w:tcPr>
          <w:p>
            <w:pPr>
              <w:spacing w:after="0"/>
              <w:rPr>
                <w:sz w:val="17"/>
                <w:szCs w:val="17"/>
                <w:color w:val="auto"/>
              </w:rPr>
            </w:pPr>
          </w:p>
        </w:tc>
      </w:tr>
      <w:tr>
        <w:trPr>
          <w:trHeight w:val="203"/>
        </w:trPr>
        <w:tc>
          <w:tcPr>
            <w:tcW w:w="56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 (0.1) (7) (0.1) Foreign currency</w:t>
            </w:r>
          </w:p>
        </w:tc>
      </w:tr>
      <w:tr>
        <w:trPr>
          <w:trHeight w:val="203"/>
        </w:trPr>
        <w:tc>
          <w:tcPr>
            <w:tcW w:w="2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1"/>
              </w:rPr>
              <w:t>translation..........................</w:t>
            </w:r>
          </w:p>
        </w:tc>
        <w:tc>
          <w:tcPr>
            <w:tcW w:w="2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 -- (7)</w:t>
            </w:r>
          </w:p>
        </w:tc>
      </w:tr>
    </w:tbl>
    <w:p>
      <w:pPr>
        <w:ind w:left="220"/>
        <w:spacing w:after="0" w:line="238" w:lineRule="auto"/>
        <w:rPr>
          <w:sz w:val="20"/>
          <w:szCs w:val="20"/>
          <w:color w:val="auto"/>
        </w:rPr>
      </w:pPr>
      <w:r>
        <w:rPr>
          <w:rFonts w:ascii="Courier New" w:cs="Courier New" w:eastAsia="Courier New" w:hAnsi="Courier New"/>
          <w:sz w:val="18"/>
          <w:szCs w:val="18"/>
          <w:color w:val="auto"/>
        </w:rPr>
        <w:t>(0.1) ---- ---- ----- ---- $ 44 1.5% $ (82) (1.0)%</w:t>
      </w:r>
    </w:p>
    <w:p>
      <w:pPr>
        <w:ind w:left="1800"/>
        <w:spacing w:after="0"/>
        <w:rPr>
          <w:sz w:val="20"/>
          <w:szCs w:val="20"/>
          <w:color w:val="auto"/>
        </w:rPr>
      </w:pPr>
      <w:r>
        <w:rPr>
          <w:rFonts w:ascii="Courier New" w:cs="Courier New" w:eastAsia="Courier New" w:hAnsi="Courier New"/>
          <w:sz w:val="18"/>
          <w:szCs w:val="18"/>
          <w:color w:val="auto"/>
        </w:rPr>
        <w:t>==== ==== ===== ====</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68" w:lineRule="auto"/>
        <w:tabs>
          <w:tab w:leader="none" w:pos="42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internal growth calculation methodology has been modified to remove the impact of differences in the comparable number of days per quarter. This change affects only the commercial and residential operations in the collection business. Our previous calculation attributed the difference related to work days between the quarter into the price change calculation. This revised methodology impacts first quarter 2002 results. First quarter internal growth results were reported as a 1.6% other price increase, which excludes the effect of commodity, electricity and fuel price impacts, and a 3.3% volume decrease. Our revised calculation modifies first quarter to be a</w:t>
      </w:r>
    </w:p>
    <w:p>
      <w:pPr>
        <w:spacing w:after="0" w:line="1" w:lineRule="exact"/>
        <w:rPr>
          <w:rFonts w:ascii="Courier New" w:cs="Courier New" w:eastAsia="Courier New" w:hAnsi="Courier New"/>
          <w:sz w:val="16"/>
          <w:szCs w:val="16"/>
          <w:color w:val="auto"/>
        </w:rPr>
      </w:pPr>
    </w:p>
    <w:p>
      <w:pPr>
        <w:ind w:left="420" w:right="2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0.9% other price increase, excluding the effect of commodity, electricity and fuel price impacts, and a 2.6% volume decrease.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experienced positive internal growth for the three months ended September 30, 2002 of $26 million, or 0.9%, as compared with the same period last year. Revenue growth from price increases for the three months ended September 30, 2002 was $42 million, or 1.5%. Revenue increased $34 million for the three months ended September 30, 2002 due to recycling commodity increases, which were attributable to the significant increase in old corrugated cardboard ("OCC") and old newsprint ("ONP") commodity prices</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136" w:right="1440" w:bottom="1440" w:gutter="0" w:footer="0" w:header="0"/>
        </w:sectPr>
      </w:pPr>
    </w:p>
    <w:bookmarkStart w:id="47" w:name="page48"/>
    <w:bookmarkEnd w:id="47"/>
    <w:p>
      <w:pPr>
        <w:ind w:right="1779"/>
        <w:spacing w:after="0" w:line="238" w:lineRule="auto"/>
        <w:rPr>
          <w:sz w:val="20"/>
          <w:szCs w:val="20"/>
          <w:color w:val="auto"/>
        </w:rPr>
      </w:pPr>
      <w:r>
        <w:rPr>
          <w:rFonts w:ascii="Courier New" w:cs="Courier New" w:eastAsia="Courier New" w:hAnsi="Courier New"/>
          <w:sz w:val="18"/>
          <w:szCs w:val="18"/>
          <w:color w:val="auto"/>
        </w:rPr>
        <w:t>beginning in the second quarter of 2002. OCC prices increased from an average of $49 per ton for the three months ended September 30, 2001 to an average price of $102 per ton for the three months ended September 30, 2002. Other price driven revenue increases of $14 million, or 0.5%, for the three months ended September 30, 2002 were primarily driven by our collection business, particularly the commercial and residential operations, and includes an increase related to a disposal tax in Pennsylvania that is charged back in part to our customers, offset partially by decreased revenue due to pricing in our landfill business, particularly special waste. The decline in revenue due to volume for the three months ended September 30, 2002 can be attributed primarily to the collection and landfill businesses. These volume driven revenue decreases were principally in the eastern and western portions of the United States; however, they were partially offset by volume increases in the recycling, transfer station and waste-to-energy businesses.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Negative internal growth for the nine months ended September 30, 2002, as compared with the same period last year, was $127 million, or 1.5%, which was substantially volume related. Revenue change due to volume declines for the nine months ended September 30, 2002, which was largely related to the commercial and industrial collection operations, was experienced throughout the Company's operations, with the exception of the southern portion of the United States, where we realized slight volume increases. Additionally, landfill revenues declined due to volume primarily in the eastern and western portions of the United States. We believe that the overall decreased volumes, particularly in the higher margin commercial and industrial collection operations, were attributable to the lagging economy and increased competition. The decrease in revenue due to lower construction activities at certain of the waste-to-energy facilities that we operate but do not own accounted for $24 million of this overall volume decline.</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Revenue increased due to pricing for the nine months ended September 30, 2002, as compared with the same period of the prior year, by $17 million, or 0.2%. Revenue increases from commodity prices were $25 million and were attributable to the significant increase in OCC commodity prices beginning in the second quarter of 2002. Reduced electricity rates in California and reduced diesel fuel surcharges negatively impacted the revenue change due to price for the nine months ended September 30, 2002 by $62 million. Other revenue increases due to price of $54 million, or 0.6%, for the nine months ended September 30, 2002 were primarily attributable to our commercial and residential collection operations, and our transfer station business. These revenue increases were offset partially by decreased revenue from price in the landfill business, particularly special waste.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Revenues increased $21 million and $59 million for the three and nine months ended September 30, 2002, respectively, when compared with the same periods of last year due to acquisitions of NASW business during 2002 and the full year effect of acquisitions that were completed in 2001. We also experienced a decrease in revenue of $3 million and $14 million for the three and nine months ended September 30, 2002, respectively, due to divestitures of NASW operations and the effect of foreign currency fluctuations related to the Canadian dollar.</w:t>
      </w:r>
    </w:p>
    <w:p>
      <w:pPr>
        <w:spacing w:after="0" w:line="212" w:lineRule="exact"/>
        <w:rPr>
          <w:sz w:val="20"/>
          <w:szCs w:val="20"/>
          <w:color w:val="auto"/>
        </w:rPr>
      </w:pPr>
    </w:p>
    <w:p>
      <w:pPr>
        <w:ind w:left="120" w:right="1879"/>
        <w:spacing w:after="0" w:line="235" w:lineRule="auto"/>
        <w:rPr>
          <w:sz w:val="20"/>
          <w:szCs w:val="20"/>
          <w:color w:val="auto"/>
        </w:rPr>
      </w:pPr>
      <w:r>
        <w:rPr>
          <w:rFonts w:ascii="Courier New" w:cs="Courier New" w:eastAsia="Courier New" w:hAnsi="Courier New"/>
          <w:sz w:val="18"/>
          <w:szCs w:val="18"/>
          <w:color w:val="auto"/>
        </w:rPr>
        <w:t>OPERATING COSTS AND EXPENSES (EXCLUSIVE OF DEPRECIATION AND AMORTIZATION SHOWN BELOW)</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operating costs and expenses include direct and indirect labor and related taxes and benefits, fuel, maintenance and repairs of equipment and facilities, tipping fees paid to third party disposal facilities and transfer stations, and accruals for future landfill final closure and post-closure costs and environmental remediation. Certain direct landfill development expenditures are capitalized and amortized over the estimated useful life of a site as capacity is consumed, and include acquisition, engineering, grading, construction, capitalized interest, and permitting costs. All indirect expenses, such as administrative salaries and general corporate overhead, are expensed in the period incurred.</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Operating costs and expenses increased $53 million, or 3.1%, and decreased $71 million, or 1.4%, for the three and nine months ended September 30, 2002, respectively, compared to the prior year periods. As a percentage of operating revenues, operating costs and expenses were 60.3% and 60.0% for the three and nine months ended September 30, 2002, respectively, and 58.4% and 59.4% for the corresponding prior year periods.</w:t>
      </w:r>
    </w:p>
    <w:p>
      <w:pPr>
        <w:spacing w:after="0" w:line="210"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For the three months ended September 30, 2002, costs increased as compared with the same period of the prior year due to several factors, including increases in risk management expenses, higher employee benefit costs, higher costs associated with recycling commodities, subcontractor costs, costs</w:t>
      </w:r>
    </w:p>
    <w:p>
      <w:pPr>
        <w:sectPr>
          <w:pgSz w:w="11900" w:h="16838" w:orient="portrait"/>
          <w:cols w:equalWidth="0" w:num="1">
            <w:col w:w="10219"/>
          </w:cols>
          <w:pgMar w:left="240" w:top="723" w:right="1440" w:bottom="0" w:gutter="0" w:footer="0" w:header="0"/>
        </w:sectPr>
      </w:pPr>
    </w:p>
    <w:bookmarkStart w:id="48" w:name="page49"/>
    <w:bookmarkEnd w:id="48"/>
    <w:p>
      <w:pPr>
        <w:spacing w:after="0"/>
        <w:rPr>
          <w:sz w:val="20"/>
          <w:szCs w:val="20"/>
          <w:color w:val="auto"/>
        </w:rPr>
      </w:pPr>
      <w:r>
        <w:rPr>
          <w:rFonts w:ascii="Courier New" w:cs="Courier New" w:eastAsia="Courier New" w:hAnsi="Courier New"/>
          <w:sz w:val="18"/>
          <w:szCs w:val="18"/>
          <w:color w:val="auto"/>
        </w:rPr>
        <w:t>associated with acquisi-</w:t>
      </w:r>
    </w:p>
    <w:p>
      <w:pPr>
        <w:jc w:val="right"/>
        <w:ind w:right="5779"/>
        <w:spacing w:after="0" w:line="238" w:lineRule="auto"/>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136" w:right="1440" w:bottom="1440" w:gutter="0" w:footer="0" w:header="0"/>
        </w:sectPr>
      </w:pPr>
    </w:p>
    <w:bookmarkStart w:id="49" w:name="page50"/>
    <w:bookmarkEnd w:id="49"/>
    <w:p>
      <w:pPr>
        <w:ind w:right="1879"/>
        <w:spacing w:after="0" w:line="238" w:lineRule="auto"/>
        <w:rPr>
          <w:sz w:val="20"/>
          <w:szCs w:val="20"/>
          <w:color w:val="auto"/>
        </w:rPr>
      </w:pPr>
      <w:r>
        <w:rPr>
          <w:rFonts w:ascii="Courier New" w:cs="Courier New" w:eastAsia="Courier New" w:hAnsi="Courier New"/>
          <w:sz w:val="18"/>
          <w:szCs w:val="18"/>
          <w:color w:val="auto"/>
        </w:rPr>
        <w:t>tions consummated since the third quarter of 2001, and disposal costs. The increased risk management expense is driven primarily by increased workers' compensation costs. The increased costs associated with recycling commodities were due primarily to an increase in market prices paid for OCC and ONP and the rebates paid to customers as a result of the higher prices. The subcontractor cost increase is due in part to increased utilization of subcontractors for certain of our national account customers in areas where services are not provided by us and in part to increased third party transportation of waste to disposal facilities, particularly in the midwest and western portions of the United States. Contributing to the increase in disposal costs was the increased tax on disposal of waste in Pennsylvania incurred by us. Additionally, the operating costs and expenses increase reflects approximately $19 million included in the third quarter of 2001 as an offset to environmental expenses related to the Company's recovery of amounts in connection with its claims against insurance carriers for reimbursement of environmental expenses. The increased operating costs and expenses were offset in part by the effect of divestitures in 2002.</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For the nine months ended September 30, 2002, costs decreased as compared to the same period of the prior year due primarily to the effect of divestitures in 2002, reduced maintenance costs, lower fuel costs, and lower construction services at certain of the waste-to-energy facilities that we operate but do not own. The decreases have been offset somewhat by several factors, including those affecting the third quarter as discussed above. Factors affecting the nine month period include increased risk management expense, higher employee benefit costs, increased costs associated with acquisitions that have been consummated since the third quarter of 2001, subcontractor costs and increased disposal costs. Additionally, the operating costs and expenses increase reflects approximately $19 million included in the third quarter of 2001 as an offset to environmental expenses as discussed above.</w:t>
      </w:r>
    </w:p>
    <w:p>
      <w:pPr>
        <w:spacing w:after="0" w:line="38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SELLING, GENERAL AND ADMINISTRATIVE</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Our selling, general and administrative expenses include management salaries, clerical and administrative costs, professional services, facility rentals, provision for doubtful accounts, related insurance costs and costs related to our marketing and sales force.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Selling, general and administrative expenses decreased $7 million, or 1.8%, and $48 million, or 4.1%, for the three and nine months ended September 30, 2002, respectively, as compared to the prior year corresponding periods. In addition, as a percentage of operating revenues, our selling, general and administrative expenses decreased from 13.2% to 13.0% for the three months ended September 30, 2001 and 2002, respectively, and decreased from 13.7% to 13.5% for the nine months ended September 30, 2001 and 2002, respectively.</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decrease in costs is primarily attributable to reduced spending on professional fees, reductions associated with the March 2002 restructuring and the effect of divestitures of operations in 2002. These reductions were offset partially by increased litigation expense and an increase in contract labor (net of capitalization) related to enterprise systems development. Cost reductions for the nine months ended September 30, 2002 as compared to the same period of 2001 were also offset by increased bad debt expense of $16 million.</w:t>
      </w:r>
    </w:p>
    <w:p>
      <w:pPr>
        <w:spacing w:after="0" w:line="18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DEPRECIATION AND AMORTIZATION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Depreciation and amortization includes (i) amortization of intangible assets on a straight-line basis from 3 to 40 years; (ii) depreciation of property and equipment on a straight-line basis from 3 to 50 years; and (iii) amortization of landfill costs on a units-of-consumption method as landfill airspace is consumed over the estimated remaining capacity of a site. In 2001, depreciation and amortization expense also included the amortization of goodwill on a straight-line basis over a period of 40 years or less, commencing on the dates of the respective acquisition.</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Depreciation and amortization expense decreased $41 million, or 11.6%, and $110 million, or 10.7% for the three and nine months ended September 30, 2002, respectively, compared to the same three and nine month periods of 2001. As a percentage of operating revenues, depreciation and amortization expense was 10.7% and 11.0% for the three and nine months ended September 30, 2002, respectively, and 12.2% and 12.1%</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767" w:gutter="0" w:footer="0" w:header="0"/>
        </w:sectPr>
      </w:pPr>
    </w:p>
    <w:bookmarkStart w:id="50" w:name="page51"/>
    <w:bookmarkEnd w:id="50"/>
    <w:p>
      <w:pPr>
        <w:ind w:right="1879"/>
        <w:spacing w:after="0" w:line="237" w:lineRule="auto"/>
        <w:rPr>
          <w:sz w:val="20"/>
          <w:szCs w:val="20"/>
          <w:color w:val="auto"/>
        </w:rPr>
      </w:pPr>
      <w:r>
        <w:rPr>
          <w:rFonts w:ascii="Courier New" w:cs="Courier New" w:eastAsia="Courier New" w:hAnsi="Courier New"/>
          <w:sz w:val="18"/>
          <w:szCs w:val="18"/>
          <w:color w:val="auto"/>
        </w:rPr>
        <w:t>for the corresponding prior periods. The decrease in depreciation and amortization expense is primarily attributable to our adoption of Statement of Financial Accounting Standards No. 142, Accounting for Goodwill and Other Intangible Assets ("SFAS No. 142"), which required that the amortization of all goodwill cease on January 1, 2002. Goodwill amortization for the three and nine months ended September 30, 2001 was $39 million, or 1.3% of operating revenues, and $117 million, or 1.4% of operating revenues, respectively. Excluding the effect of goodwill amortization expense in 2001, depreciation and amortization expense as a percentage of revenues decreased 0.1% and increased 0.3% from the three and nine months ended September 30, 2001, respectively, compared to the corresponding periods of 2002.</w:t>
      </w:r>
    </w:p>
    <w:p>
      <w:pPr>
        <w:spacing w:after="0" w:line="21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RESTRUCTURING</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In March 2002, we adopted a new organizational structure to better align collection, transport, recycling and disposal resources within market areas. We believe the new structure will yield a number of benefits, including clearer accountability and responsibility for business performance and profitability in specific markets; simplification of structure; cost savings through consolidation of duplicate administrative and other support functions; improved utilization of operating assets; and better customer responsiveness.</w:t>
      </w:r>
    </w:p>
    <w:p>
      <w:pPr>
        <w:spacing w:after="0" w:line="18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March of 2002, all of our operations other than WTI and Canadian Waste Services ("CWS") were restructured to reduce the number of field layers of management from four to three and the number of field layers that have administrative and functional staff from four to two. Under the new structure, our approximately 1,200 operating sites, including waste collection depots, transfer stations, landfills and recycling facilities, were restructured into approximately 82 newly established Market Areas. These Market Areas are responsible for the sales and marketing of our services and for directing the delivery of service by the districts. The Market Area is also the profit center, and the districts, all of which used to be profit centers, became cost centers. The largest Market Areas are headed by a Vice President and the others are headed by a General Manager. The Market Areas consolidate financial reporting and provide a range of assistance in the areas of finance and accounting, procurement, people, market planning and development, fleet services, recycling, legal services, engineering, regulatory compliance, safety and public affairs to support the districts. These Market Areas all report to one of four Groups that divide the United States geographically, and which were formerly known as our "Areas." CWS, which was restructured in July 2002, and WTI were the fifth and sixth Groups under the previous structure and continue as the fifth and sixth Groups under the new structure.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recorded $1 million and $38 million of pre-tax charges for costs associated with the implementation of the new structure for the three and nine months ended September 30, 2002, respectively. These charges include $36 million for employee severance and benefit costs and $2 million related to abandoned operating lease agreements. We expect to incur an additional $3 million of restructuring expenses in the last quarter of 2002 primarily related to the relocation of employees and the consolidation of facilities to support the new organizational structure.</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Under the new structure approximately 1,900 field-level administrative and operational positions have been eliminated. Our obligation for severance payments will continue during the last quarter of 2002 and, in some cases, into 2003. As of September 30, 2002, payments of $29 million for employee severance and benefits and for abandoned leases had been recorded against the restructuring liability that was previously established.</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ASSET IMPAIRMENTS AND UNUSUAL ITEMS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the first quarter of 2002, we recorded a net credit to asset impairments and unusual items primarily due to a reversal of a loss contract reserve of approximately $4 million and adjustments of $5 million for revisions of estimated losses on assets held-for-sale. These amounts were partially offset by asset impairment charges primarily relating to our 2002 restructuring efforts. During the third quarter of 2002, we recorded a net credit to asset impairments and unusual items of approximately $3 million primarily due to the reversal of a loss contract reserve that was originally recorded in asset impairments and unusual items.</w:t>
      </w:r>
    </w:p>
    <w:p>
      <w:pPr>
        <w:spacing w:after="0" w:line="214"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For the three and nine months ended September 30, 2001, we recorded a charge to asset impairments and unusual items expense of $354 million and $362 million, respectively. The expense was primarily attributable</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362" w:gutter="0" w:footer="0" w:header="0"/>
        </w:sectPr>
      </w:pPr>
    </w:p>
    <w:bookmarkStart w:id="51" w:name="page52"/>
    <w:bookmarkEnd w:id="51"/>
    <w:p>
      <w:pPr>
        <w:ind w:right="1779"/>
        <w:spacing w:after="0" w:line="238" w:lineRule="auto"/>
        <w:rPr>
          <w:sz w:val="20"/>
          <w:szCs w:val="20"/>
          <w:color w:val="auto"/>
        </w:rPr>
      </w:pPr>
      <w:r>
        <w:rPr>
          <w:rFonts w:ascii="Courier New" w:cs="Courier New" w:eastAsia="Courier New" w:hAnsi="Courier New"/>
          <w:sz w:val="18"/>
          <w:szCs w:val="18"/>
          <w:color w:val="auto"/>
        </w:rPr>
        <w:t>to agreements that were reached to settle the shareholder class action lawsuit filed against us in July 1999 alleging violations of the federal securities laws and the shareholders derivative suit against our former independent auditor, which resulted in a net charge of $374 million. Offsetting this expense, we recorded a net gain of $24 million (comprised of the reversal of the held-for-sale impairments of $109 million and a held-for-use impairment of $85 million) from our re-evaluation of our business alternatives related to our IPPs during the third quarter of 2001. Based on these assessments, we decided not to sell our IPPs with the exception of one facility. Accordingly, we reclassified all but one of our IPPs from held-for-sale to held-for-use in the third quarter of 2001. Also included in asset impairments and unusual items are reversals of loss contract reserves that were determined to be in excess of current requirements and other unusual items of $4 and $12 million for the three and nine months ended September 30, 2001, respectively.</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INTEREST EXPENSE</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Interest expense decreased by $6 million and $75 million for the three and nine months ended September 30, 2002, respectively, as compared to the corresponding periods in 2001. The primary factor for the decrease in interest expense is the overall positive position of the Company's interest rate derivative contracts. Interest rate derivative contracts reduced interest expense by $21 million and $64 million for the three and nine months ended September 30, 2002, respectively, and $16 million and $21 million for the corresponding prior year periods. The remaining decrease in interest expense between 2002 and 2001 is primarily due to the repayment or refinancing of debt instruments throughout 2001 and into 2002 at lower interest rates.</w:t>
      </w:r>
    </w:p>
    <w:p>
      <w:pPr>
        <w:spacing w:after="0" w:line="18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PROVISION FOR (BENEFIT FROM) INCOME TAXES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recorded a provision for income taxes of $121 million and $340 million for the three and nine months ended September 30, 2002, respectively, and a $32 million benefit from income taxes and a $170 million provision for income taxes for the corresponding periods of 2001. The difference in federal income taxes computed at the federal statutory rate and reported income taxes for the three and nine months ended September 30, 2002 is primarily due to state and local income taxes, offset in part by non-conventional fuel tax credits. In addition, we recognized a tax benefit of approximately $12 million in the third quarter of 2002 due to the anticipated capital gain from a fourth quarter 2002 sale which enables the Company to utilize a previously fully reserved capital loss that arose from a divestiture that occurred earlier in 2002. The remaining benefit will be recognized in the fourth quarter. For the three and nine months ended September 30, 2001, the difference is primarily due to state and local income taxes, non-deductible costs related to acquired intangibles and non-deductible costs associated with the impairment and divestiture of certain businesses. Additionally, in the second quarter of 2001, scheduled Canadian federal and provincial tax rate reductions resulted in a tax benefit of $42 million, which was offset in part by a tax expense of $30 million related to our plan to repatriate certain Canadian capital and earnings previously deemed permanently invested in Canada.</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EXTRAORDINARY ITEMS</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During the first quarter of 2002, we refinanced approximately $49 million of fixed-rate tax exempt bonds maturing in 2011 with variable-rate tax exempt bonds maturing in 2022. As a result, we incurred prepayment penalties and other fees for a total charge, net of tax benefit, of approximately $1 million.</w:t>
      </w:r>
    </w:p>
    <w:p>
      <w:pPr>
        <w:spacing w:after="0" w:line="18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the first quarter of 2001, the Company, working with local governmental authorities, refinanced $339 million of fixed-rate tax-exempt bonds maturing through 2008 with $326 million of variable-rate tax-exempt bonds maturing through 2011 and $17 million of fixed-rate bonds that matured later in 2001. We recorded a net extraordinary loss of $1 million for the remaining unamortized premium and issuance costs related to the retired debt.</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July 17, 1998, we issued $600 million of 6 1/8% mandatorily tendered senior notes, due July 15, 2011. The notes were subject to certain mandatory tender features as described in the indenture, which allowed us to purchase all of the outstanding notes on July 15, 2001. We used available cash on hand along with funds from</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23" w:right="1440" w:bottom="970" w:gutter="0" w:footer="0" w:header="0"/>
        </w:sectPr>
      </w:pPr>
    </w:p>
    <w:bookmarkStart w:id="52" w:name="page53"/>
    <w:bookmarkEnd w:id="52"/>
    <w:p>
      <w:pPr>
        <w:jc w:val="both"/>
        <w:ind w:right="2199"/>
        <w:spacing w:after="0" w:line="236" w:lineRule="auto"/>
        <w:rPr>
          <w:sz w:val="20"/>
          <w:szCs w:val="20"/>
          <w:color w:val="auto"/>
        </w:rPr>
      </w:pPr>
      <w:r>
        <w:rPr>
          <w:rFonts w:ascii="Courier New" w:cs="Courier New" w:eastAsia="Courier New" w:hAnsi="Courier New"/>
          <w:sz w:val="18"/>
          <w:szCs w:val="18"/>
          <w:color w:val="auto"/>
        </w:rPr>
        <w:t>the Company's credit facility to purchase the notes in July 2001. During the third quarter of 2001, we recorded an extraordinary loss of approximately $1 million, net of taxes, for the retirement of this debt.</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CUMULATIVE EFFECT OF CHANGES IN ACCOUNTING PRINCIPLE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 result of adopting Statement of Financial Accounting Standards ("SFAS") No. 141, "Accounting for Business Combinations," on January 1, 2002, we were required to write-off amounts of negative goodwill that had been recorded in prior periods through purchase accounting. The aggregate amount of negative goodwill was $2 million and was recorded as a credit to cumulative effect of change in accounting principle in the first quarter of 2002.</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SFAS No. 133, "Accounting for Derivative Instruments and Hedging Activities," as amended, became effective for the Company as of January 1, 2001. Adoption of SFAS No. 133, as amended, resulted in a gain, net of tax, of approximately $2 million in the first quarter of 2001.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following is a summary of our cash balances and cash flows for the nine months ended September 30, 2002 and 2001 (in millions):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NINE MONTHS ENDED SEPTEMBER 30, ----</w:t>
      </w:r>
    </w:p>
    <w:p>
      <w:pPr>
        <w:ind w:left="100"/>
        <w:spacing w:after="0" w:line="238" w:lineRule="auto"/>
        <w:rPr>
          <w:sz w:val="20"/>
          <w:szCs w:val="20"/>
          <w:color w:val="auto"/>
        </w:rPr>
      </w:pPr>
      <w:r>
        <w:rPr>
          <w:rFonts w:ascii="Courier New" w:cs="Courier New" w:eastAsia="Courier New" w:hAnsi="Courier New"/>
          <w:sz w:val="18"/>
          <w:szCs w:val="18"/>
          <w:color w:val="auto"/>
        </w:rPr>
        <w:t>----------- 2002 2001 ------ ------</w:t>
      </w:r>
    </w:p>
    <w:p>
      <w:pPr>
        <w:ind w:left="60"/>
        <w:spacing w:after="0"/>
        <w:rPr>
          <w:sz w:val="20"/>
          <w:szCs w:val="20"/>
          <w:color w:val="auto"/>
        </w:rPr>
      </w:pPr>
      <w:r>
        <w:rPr>
          <w:rFonts w:ascii="Courier New" w:cs="Courier New" w:eastAsia="Courier New" w:hAnsi="Courier New"/>
          <w:sz w:val="18"/>
          <w:szCs w:val="18"/>
          <w:color w:val="auto"/>
        </w:rPr>
        <w:t>Cash and cash equivalents at the end</w:t>
      </w:r>
    </w:p>
    <w:tbl>
      <w:tblPr>
        <w:tblLayout w:type="fixed"/>
        <w:tblInd w:w="160" w:type="dxa"/>
        <w:tblCellMar>
          <w:top w:w="0" w:type="dxa"/>
          <w:left w:w="0" w:type="dxa"/>
          <w:bottom w:w="0" w:type="dxa"/>
          <w:right w:w="0" w:type="dxa"/>
        </w:tblCellMar>
      </w:tblPr>
      <w:tr>
        <w:trPr>
          <w:trHeight w:val="202"/>
        </w:trPr>
        <w:tc>
          <w:tcPr>
            <w:tcW w:w="248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of the period..........</w:t>
            </w:r>
          </w:p>
        </w:tc>
        <w:tc>
          <w:tcPr>
            <w:tcW w:w="6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$ 656</w:t>
            </w:r>
          </w:p>
        </w:tc>
        <w:tc>
          <w:tcPr>
            <w:tcW w:w="4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$ 75</w:t>
            </w:r>
          </w:p>
        </w:tc>
      </w:tr>
    </w:tbl>
    <w:p>
      <w:pPr>
        <w:jc w:val="center"/>
        <w:ind w:right="6319"/>
        <w:spacing w:after="0" w:line="238" w:lineRule="auto"/>
        <w:rPr>
          <w:sz w:val="20"/>
          <w:szCs w:val="20"/>
          <w:color w:val="auto"/>
        </w:rPr>
      </w:pPr>
      <w:r>
        <w:rPr>
          <w:rFonts w:ascii="Courier New" w:cs="Courier New" w:eastAsia="Courier New" w:hAnsi="Courier New"/>
          <w:sz w:val="18"/>
          <w:szCs w:val="18"/>
          <w:color w:val="auto"/>
        </w:rPr>
        <w:t>====== ====== Cash provided by</w:t>
      </w:r>
    </w:p>
    <w:p>
      <w:pPr>
        <w:jc w:val="center"/>
        <w:ind w:right="6319"/>
        <w:spacing w:after="0"/>
        <w:rPr>
          <w:sz w:val="20"/>
          <w:szCs w:val="20"/>
          <w:color w:val="auto"/>
        </w:rPr>
      </w:pPr>
      <w:r>
        <w:rPr>
          <w:rFonts w:ascii="Courier New" w:cs="Courier New" w:eastAsia="Courier New" w:hAnsi="Courier New"/>
          <w:sz w:val="18"/>
          <w:szCs w:val="18"/>
          <w:color w:val="auto"/>
        </w:rPr>
        <w:t>operating</w:t>
      </w:r>
    </w:p>
    <w:p>
      <w:pPr>
        <w:ind w:left="220"/>
        <w:spacing w:after="0" w:line="237" w:lineRule="auto"/>
        <w:rPr>
          <w:sz w:val="20"/>
          <w:szCs w:val="20"/>
          <w:color w:val="auto"/>
        </w:rPr>
      </w:pPr>
      <w:r>
        <w:rPr>
          <w:rFonts w:ascii="Courier New" w:cs="Courier New" w:eastAsia="Courier New" w:hAnsi="Courier New"/>
          <w:sz w:val="18"/>
          <w:szCs w:val="18"/>
          <w:color w:val="auto"/>
        </w:rPr>
        <w:t>activities.......................</w:t>
      </w:r>
    </w:p>
    <w:p>
      <w:pPr>
        <w:jc w:val="center"/>
        <w:ind w:right="6319"/>
        <w:spacing w:after="0" w:line="238" w:lineRule="auto"/>
        <w:rPr>
          <w:sz w:val="20"/>
          <w:szCs w:val="20"/>
          <w:color w:val="auto"/>
        </w:rPr>
      </w:pPr>
      <w:r>
        <w:rPr>
          <w:rFonts w:ascii="Courier New" w:cs="Courier New" w:eastAsia="Courier New" w:hAnsi="Courier New"/>
          <w:sz w:val="18"/>
          <w:szCs w:val="18"/>
          <w:color w:val="auto"/>
        </w:rPr>
        <w:t>$1,527 $1,508 ====== ====== Cash</w:t>
      </w:r>
    </w:p>
    <w:p>
      <w:pPr>
        <w:jc w:val="center"/>
        <w:ind w:right="6319"/>
        <w:spacing w:after="0"/>
        <w:rPr>
          <w:sz w:val="20"/>
          <w:szCs w:val="20"/>
          <w:color w:val="auto"/>
        </w:rPr>
      </w:pPr>
      <w:r>
        <w:rPr>
          <w:rFonts w:ascii="Courier New" w:cs="Courier New" w:eastAsia="Courier New" w:hAnsi="Courier New"/>
          <w:sz w:val="18"/>
          <w:szCs w:val="18"/>
          <w:color w:val="auto"/>
        </w:rPr>
        <w:t>used in investing</w:t>
      </w:r>
    </w:p>
    <w:p>
      <w:pPr>
        <w:spacing w:after="0" w:line="237" w:lineRule="auto"/>
        <w:rPr>
          <w:sz w:val="20"/>
          <w:szCs w:val="20"/>
          <w:color w:val="auto"/>
        </w:rPr>
      </w:pPr>
      <w:r>
        <w:rPr>
          <w:rFonts w:ascii="Courier New" w:cs="Courier New" w:eastAsia="Courier New" w:hAnsi="Courier New"/>
          <w:sz w:val="18"/>
          <w:szCs w:val="18"/>
          <w:color w:val="auto"/>
        </w:rPr>
        <w:t>activities...........................</w:t>
      </w:r>
    </w:p>
    <w:p>
      <w:pPr>
        <w:spacing w:after="0" w:line="5" w:lineRule="exact"/>
        <w:rPr>
          <w:sz w:val="20"/>
          <w:szCs w:val="20"/>
          <w:color w:val="auto"/>
        </w:rPr>
      </w:pPr>
    </w:p>
    <w:p>
      <w:pPr>
        <w:ind w:left="1060" w:right="6479" w:hanging="898"/>
        <w:spacing w:after="0" w:line="235" w:lineRule="auto"/>
        <w:tabs>
          <w:tab w:leader="none" w:pos="375"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(783) $ (787) ====== ====== Cash used in financing</w:t>
      </w:r>
    </w:p>
    <w:p>
      <w:pPr>
        <w:spacing w:after="0"/>
        <w:rPr>
          <w:sz w:val="20"/>
          <w:szCs w:val="20"/>
          <w:color w:val="auto"/>
        </w:rPr>
      </w:pPr>
      <w:r>
        <w:rPr>
          <w:rFonts w:ascii="Courier New" w:cs="Courier New" w:eastAsia="Courier New" w:hAnsi="Courier New"/>
          <w:sz w:val="18"/>
          <w:szCs w:val="18"/>
          <w:color w:val="auto"/>
        </w:rPr>
        <w:t>activities...........................</w:t>
      </w:r>
    </w:p>
    <w:p>
      <w:pPr>
        <w:ind w:left="420"/>
        <w:spacing w:after="0" w:line="238" w:lineRule="auto"/>
        <w:rPr>
          <w:sz w:val="20"/>
          <w:szCs w:val="20"/>
          <w:color w:val="auto"/>
        </w:rPr>
      </w:pPr>
      <w:r>
        <w:rPr>
          <w:rFonts w:ascii="Courier New" w:cs="Courier New" w:eastAsia="Courier New" w:hAnsi="Courier New"/>
          <w:sz w:val="18"/>
          <w:szCs w:val="18"/>
          <w:color w:val="auto"/>
        </w:rPr>
        <w:t>$ (819) $ (738) ====== ======</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generated cash flows from operations of $1.5 billion for the nine months ended September 30, 2002. During that period, we spent $783 million for investing activities, which was comprised of capital expenditures of $914 million and acquisitions of businesses of $125 million, offset by proceeds from sales of assets and cash generated from other investing activities of $256 million. In addition, we used $819 million for financing activities, which included $561 million spent to repurchase 21.3 million shares under our stock buyback program, $283 million of net debt repayments and $25 million in proceeds from exercises of common stock options and warrants.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the nine months ended September 30, 2001, we generated cash flows from operations of approximately $1.5 billion. We used $787 million for investing activities during the nine months ended September 30, 2001. Capital expenditures of $843 million were included in our investing activities for the nine months ended September 30, 2001 along with acquisitions of solid waste businesses of $95 million offset by proceeds from sales of assets and other investing activities of $151 million. In addition, we used $738 million for financing activities which is primarily comprised of $765 million of net debt repayments, offset by proceeds of $27 million from exercises of common stock options and warrants and other financing activities.</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operates in a capital intensive business and continuing access to various financing sources is vital to our operations. In the past, we have been successful in obtaining financing from a variety of sources on terms we consider attractive. Based on several key factors we believe are considered by credit rating agencies and financial markets to be important in determining our future access to financing, we expect to continue to maintain access to capital sources in the future. These factors include:</w:t>
      </w:r>
    </w:p>
    <w:p>
      <w:pPr>
        <w:spacing w:after="0" w:line="211" w:lineRule="exact"/>
        <w:rPr>
          <w:sz w:val="20"/>
          <w:szCs w:val="20"/>
          <w:color w:val="auto"/>
        </w:rPr>
      </w:pPr>
    </w:p>
    <w:p>
      <w:pPr>
        <w:ind w:left="740" w:right="1779" w:hanging="205"/>
        <w:spacing w:after="0" w:line="235" w:lineRule="auto"/>
        <w:tabs>
          <w:tab w:leader="none" w:pos="74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essential nature of the services we provide and our large and diverse customer base;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generate strong and consistent cash flows;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asset base; and</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23" w:right="1440" w:bottom="159" w:gutter="0" w:footer="0" w:header="0"/>
        </w:sectPr>
      </w:pPr>
    </w:p>
    <w:bookmarkStart w:id="53" w:name="page54"/>
    <w:bookmarkEnd w:id="53"/>
    <w:p>
      <w:pPr>
        <w:ind w:left="740" w:right="2939" w:hanging="205"/>
        <w:spacing w:after="0" w:line="235" w:lineRule="auto"/>
        <w:tabs>
          <w:tab w:leader="none" w:pos="74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commitment to maintaining a moderate financial profile and disciplined capital allocation.</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strategy is to meet our capital needs and contractual obligations first from internally generated funds. We also have bank borrowings available for our capital needs and contractual obligations and, when appropriate, will obtain financing from issuing debt or common stock.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September 30, 2002, we had a $650 million syndicated revolving credit facility (the "Three Year Revolver"), and a $1.75 billion syndicated revolving credit facility (the "Five Year Revolver"). No balances were outstanding under the Company's revolving credit facilities as of December 31, 2001 or September 30, 2002. The Three Year Revolver matures in June 2005 and the Five Year Revolver matures in June 2006. As of September 30, 2002, we had letters of credit in the aggregate amount of approximately $1,600 million (of which approximately $1,490 million are issued under the revolving credit facilities) that generally have terms allowing automatic renewal after a year. At September 30, 2002, we had unused and available credit capacity under these facilities of approximately $910 million.</w:t>
      </w:r>
    </w:p>
    <w:p>
      <w:pPr>
        <w:spacing w:after="0" w:line="21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financial covenants we are required to maintain under our credit facilities include (i) an interest coverage ratio; (ii) total debt to EBITDA and; (iii) minimum net worth. The interest coverage ratio requires that at the end of any fiscal quarter we will not permit the ratio of (A) our consolidated net income plus interest expense and income taxes ("EBIT") for the four fiscal quarters then ending to (B) consolidated total interest expense for such period to be less than 2.5 to 1 for quarters ending on or before December 31, 2002 and 3 to 1 thereafter. The total debt to EBITDA covenant requires that at the end of any fiscal quarter, we will not permit the ratio of (A) all indebtedness and certain contingent liabilities such as financial guarantees to (B) EBIT plus depreciation and amortization expense ("EBITDA") for the four fiscal quarters then ending to exceed 3 to 1. Our minimum net worth covenant requires that we will not allow the sum of stockholders' equity to be less than $3.5 billion plus 75% of our cumulative consolidated net income for each fiscal quarter, beginning with the first fiscal quarter ended March 31, 2001. At September 30, 2002, we are in compliance with all covenants under our credit facilities.</w:t>
      </w:r>
    </w:p>
    <w:p>
      <w:pPr>
        <w:spacing w:after="0" w:line="39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We manage our debt portfolio by using interest rate derivatives. Our position of fixed and floating rate debt is approximately 65% fixed and 35% floating at September 30, 2002. In addition, we periodically enter into financing transactions to secure the then current market interest rate in anticipation of senior debt issuances.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currently intend to refinance certain of our senior notes that mature in the fourth quarter with a new senior note issuance. In anticipation of the issuance, we entered into a hedging agreement during the second quarter of 2002 to secure the underlying treasury rates. These hedging agreements will be settled concurrently with the senior note issuance. If we had settled this agreement on October 28, 2002, we would have paid approximately $50 million to the counterparties, however, the fair values may fluctuate until settlement actually occurs. To offset this anticipated cash payment, we plan to terminate several interest rate swap agreements with favorable fair value positions in the fourth quarter of 2002. The anticipated net cash settlement of the interest rate financing agreement and interest rate swap agreement terminations will be reflected within operating activities in our consolidated statement of cash flows. As of October 29, 2002, we have received cash of $27 million for fourth quarter 2002 terminations of interest rate swap agreements.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May 2002, we privately placed $500 million of 7 3/4% senior unsecured notes due May 15, 2032. Interest on the notes is due on November 15 and May 15 of each year. The net proceeds of the offering were approximately $498 million, after deducting underwriters' discounts and expenses. We used these proceeds to pay the $300 million of 6.625% senior notes that matured on July 15, 2002 and a portion of the $285.7 million of 7.7% senior notes that matured on October 1, 2002.</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Additionally, through September 30, 2002 we have issued industrial revenue bonds that are primarily used in the construction of various facilities. Proceeds of the financing arrangements are deposited into trust funds upon receipt and we do not have the ability to utilize the funds in regular operating activities. Therefore, the funds are treated as non-cash investing and financing activities in the cash flow statement.</w:t>
      </w:r>
    </w:p>
    <w:p>
      <w:pPr>
        <w:spacing w:after="0" w:line="210" w:lineRule="exact"/>
        <w:rPr>
          <w:sz w:val="20"/>
          <w:szCs w:val="20"/>
          <w:color w:val="auto"/>
        </w:rPr>
      </w:pPr>
    </w:p>
    <w:p>
      <w:pPr>
        <w:ind w:right="1779" w:firstLine="527"/>
        <w:spacing w:after="0"/>
        <w:rPr>
          <w:sz w:val="20"/>
          <w:szCs w:val="20"/>
          <w:color w:val="auto"/>
        </w:rPr>
      </w:pPr>
      <w:r>
        <w:rPr>
          <w:rFonts w:ascii="Courier New" w:cs="Courier New" w:eastAsia="Courier New" w:hAnsi="Courier New"/>
          <w:sz w:val="18"/>
          <w:szCs w:val="18"/>
          <w:color w:val="auto"/>
        </w:rPr>
        <w:t>We believe that our available short-term and long-term capital resources are sufficient to fund our capital expenditure and working capital requirements, scheduled debt payments, interest, income tax and other 41</w:t>
      </w:r>
    </w:p>
    <w:p>
      <w:pPr>
        <w:sectPr>
          <w:pgSz w:w="11900" w:h="16838" w:orient="portrait"/>
          <w:cols w:equalWidth="0" w:num="1">
            <w:col w:w="10219"/>
          </w:cols>
          <w:pgMar w:left="240" w:top="723" w:right="1440" w:bottom="151" w:gutter="0" w:footer="0" w:header="0"/>
        </w:sectPr>
      </w:pPr>
    </w:p>
    <w:bookmarkStart w:id="54" w:name="page55"/>
    <w:bookmarkEnd w:id="54"/>
    <w:p>
      <w:pPr>
        <w:ind w:right="1779"/>
        <w:spacing w:after="0" w:line="237" w:lineRule="auto"/>
        <w:rPr>
          <w:sz w:val="20"/>
          <w:szCs w:val="20"/>
          <w:color w:val="auto"/>
        </w:rPr>
      </w:pPr>
      <w:r>
        <w:rPr>
          <w:rFonts w:ascii="Courier New" w:cs="Courier New" w:eastAsia="Courier New" w:hAnsi="Courier New"/>
          <w:sz w:val="18"/>
          <w:szCs w:val="18"/>
          <w:color w:val="auto"/>
        </w:rPr>
        <w:t>obligations, acquisitions and our share repurchases that are described below. Our capital requirements include (i) capital expenditures for construction and expansion of landfill sites, as well as new trucks and equipment for collection operations, (ii) refurbishments and improvements at waste-to-energy facilities and (iii) business acquisitions. We currently expect to spend approximately $300 million for capital expenditures and approximately $60 million for the purchases of businesses during the final quarter of 2002.</w:t>
      </w:r>
    </w:p>
    <w:p>
      <w:pPr>
        <w:spacing w:after="0" w:line="211"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We have $350 million of 6.5% senior notes due December 15, 2002. We also have $450 million of 7.1% senior notes due August 1, 2026 that are subject to early redemption on August 1, 2003 at the option of the holder. We have classified these borrowings as long-term at September 30, 2002 and December 31, 2001 based upon our ability to use our revolving credit facilities, which are both long-term, to refinance these borrowings at their respective maturity or repayment date. We intend to pursue other sources of long-term financing to refinance the borrowings; however, in the event other sources of long-term financing are not available, we intend to use our revolving credit facilities.</w:t>
      </w:r>
    </w:p>
    <w:p>
      <w:pPr>
        <w:spacing w:after="0" w:line="184"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In February 2002 we announced that our Board of Directors had approved a stock buy back program for up to $1 billion in annual repurchases for each of the next three years. The purchases will be made in either open market or privately negotiated transactions primarily using cash flows from operations.</w:t>
      </w:r>
    </w:p>
    <w:p>
      <w:pPr>
        <w:spacing w:after="0" w:line="18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March 2002, we entered into an accelerated stock repurchase master agreement to facilitate the repurchase of shares of our common stock under the stock buy back program we announced in February 2002. In the first quarter of 2002, we entered into a transaction to purchase stock under the agreement, purchasing approximately 10.9 million shares at $27.46 per share for a total of approximately $300 million. We accounted for the initial payment as a purchase of treasury stock and classified the future settlement with the counterparty as an equity instrument because we had the option under the agreement to settle our obligations, if we had any obligation, in shares of our common stock.</w:t>
      </w:r>
    </w:p>
    <w:p>
      <w:pPr>
        <w:spacing w:after="0" w:line="184" w:lineRule="exact"/>
        <w:rPr>
          <w:sz w:val="20"/>
          <w:szCs w:val="20"/>
          <w:color w:val="auto"/>
        </w:rPr>
      </w:pPr>
    </w:p>
    <w:p>
      <w:pPr>
        <w:jc w:val="both"/>
        <w:ind w:right="1999" w:firstLine="527"/>
        <w:spacing w:after="0" w:line="268" w:lineRule="auto"/>
        <w:rPr>
          <w:sz w:val="20"/>
          <w:szCs w:val="20"/>
          <w:color w:val="auto"/>
        </w:rPr>
      </w:pPr>
      <w:r>
        <w:rPr>
          <w:rFonts w:ascii="Courier New" w:cs="Courier New" w:eastAsia="Courier New" w:hAnsi="Courier New"/>
          <w:sz w:val="16"/>
          <w:szCs w:val="16"/>
          <w:color w:val="auto"/>
        </w:rPr>
        <w:t>The weighted average daily market price of our stock during the valuation period times the number of shares we initially purchased was approximately $18 million less than the approximately $300 million we paid for the repurchase.</w:t>
      </w:r>
    </w:p>
    <w:p>
      <w:pPr>
        <w:spacing w:after="0" w:line="1"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Pursuant to the terms of the agreement, the counterparty paid us this difference of approximately $18 million at the end of the valuation period, which occurred during the third quarter of 2002, to settle the agreement. We accounted for the cash receipt as an adjustment to the carrying value of treasury stock and have therefore included it in common stock repurchases within financing activities in the accompanying condensed consolidated statement of cash flows.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expect to enter into other such accelerated purchase programs similar to the program entered into in the first quarter of 2002. We have also engaged in open market purchases of our common stock during those periods when, according to Company policy, there is an open trading window. During 2002, excluding the transaction under the accelerated stock repurchase master agreement, we have repurchased approximately 10.4 million shares for a total of approximately $279 million. As previously announced, our intention is to repurchase up to $1 billion this year.</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November 2001, we announced that we had entered into an agreement to settle the consolidated class action lawsuit filed against us in July 1999 alleging violations of the federal securities laws by payment of $457 million to the class members. We expect our net cash outflow, after considering insurance, tax deductions and related settlement costs, to be approximately $230 to $240 million. The Court approved the settlement in April 2002; however, there is currently a motion to vacate pending before the Court. If the Court denies the motion, a thirty day appeal period will begin. If an appeal is filed, the judgment will not become final until all appeals are exhausted or dismissed. We do not have to pay the settlement until the judgment is final. However, our settlement fund began to accrue interest, at the Federal Funds rate, during the second quarter of 2002. We currently expect that we will fund the settlement in the first half of 2003.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SPECIAL PURPOSE ENTITIES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June 30, 2000, two limited liability companies ("LLCs") were established to purchase interests in existing leveraged lease financings at three waste-to-energy facilities that we operate under an agreement with the owner. John Hancock Life Insurance Company ("Hancock") has a 99.5% ownership in one of the LLCs.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23" w:right="1440" w:bottom="362" w:gutter="0" w:footer="0" w:header="0"/>
        </w:sectPr>
      </w:pPr>
    </w:p>
    <w:bookmarkStart w:id="55" w:name="page56"/>
    <w:bookmarkEnd w:id="55"/>
    <w:p>
      <w:pPr>
        <w:ind w:right="1779"/>
        <w:spacing w:after="0" w:line="269" w:lineRule="auto"/>
        <w:rPr>
          <w:sz w:val="20"/>
          <w:szCs w:val="20"/>
          <w:color w:val="auto"/>
        </w:rPr>
      </w:pPr>
      <w:r>
        <w:rPr>
          <w:rFonts w:ascii="Courier New" w:cs="Courier New" w:eastAsia="Courier New" w:hAnsi="Courier New"/>
          <w:sz w:val="16"/>
          <w:szCs w:val="16"/>
          <w:color w:val="auto"/>
        </w:rPr>
        <w:t>The second LLC is 99.5% collectively owned by Hancock and the CIT Group ("CIT"). We have a 0.5% interest in both LLCs. Hancock and CIT made an initial investment of approximately $167 million in the LLCs. The LLCs used these proceeds to purchase the three waste-to-energy facilities that we operate and assumed the seller's indebtedness related to these facilities. Under the LLC agreements the LLCs shall be dissolved upon the occurrence of any of the following events: (i) a written decision of all the members of the LLCs to dissolve the LLCs, (ii) December 31, 2063, (iii) the entry of a decree of judicial dissolution under the Delaware Limited Liability Company Act, or (iv) the LLCs cease to own any interest in these waste-to-energy facilities. Additionally, income, losses and cash flows are allocated to the members based on their initial capital account balances until Hancock and CIT achieve targeted returns; thereafter, the amounts will be allocated 20% to Hancock and CIT and 80% to us. We do not expect Hancock and CIT to achieve the targeted returns in 2002 or at any time during the initial base term of the lease. We account for the underlying leases as operating leases. As of September 30, 2002, the remaining aggregate lease commitments related to these waste-to-energy facilities are $374 million.</w:t>
      </w:r>
    </w:p>
    <w:p>
      <w:pPr>
        <w:spacing w:after="0" w:line="39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LLC agreements, if we exercise certain renewal options under the leases, we will be required to make capital contributions to the LLCs for the difference, if any, between fair market rents and the scheduled renewal rents. We are required under certain circumstances to make capital contributions to the LLCs in the amount of the difference between the stipulated loss amounts and termination values under the LLC agreements to the extent they are different from the underlying lease agreements. We believe that the occurrence of these circumstances is remote.</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the manager of the LLCs but there are significant limitations on the powers of the manager under the LLC agreements. Accordingly, we account for our interest in the LLCs under the equity method of accounting. These investments have a carrying value of approximately $1 million at both September 30, 2002 and December 31, 2001. If we were required to consolidate the LLCs, we would record approximately $418 million in assets, and $201 million of debt as of September 30, 2002. The remaining balance that would be recorded would primarily be minority interest. There would be no material net impact to our results of operations if we consolidated the LLCs instead of accounting for them under the equity method.</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FOR STOCK OPTIONS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account for our stock-based compensation using the intrinsic value method prescribed by Accounting Principles Board Opinion No. 25, "Accounting for Stock Issued to Employees," as amended, under which no compensation cost for stock options is recognized when granted with an exercise price equal to fair value. Statement of Financial Accounting Standards No. 123, Accounting for Stock-Based Compensation ("SFAS No. 123"), establishes accounting and annual disclosure requirements for options granted after 1995 using a fair-value-based method of accounting. As of September 30, 2002, we had approximately 47 million stock options and warrants outstanding. The weighted average fair value per share of stock options and warrants granted during the three and nine months ended September 30, 2002 was $8.35 and $9.22, respectively. This value is estimated using the Black-Scholes option-pricing model, a formula that calculates an assumed value of stock options based on appreciation and interest assumptions. The fair value calculation using Black-Scholes is not necessarily indicative of the actual value of a stock option.</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23" w:right="1440" w:bottom="1440" w:gutter="0" w:footer="0" w:header="0"/>
        </w:sectPr>
      </w:pPr>
    </w:p>
    <w:bookmarkStart w:id="56" w:name="page57"/>
    <w:bookmarkEnd w:id="56"/>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schedule reflects the impact of the recognition provisions of SFAS No. 123 on net income and earnings per common share for the three and nine months ended September 30, 2002 and 2001 (in millions, except per share amounts).</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THREE MONTHS NINE MONTHS ENDED ENDED SEPTEMBER</w:t>
      </w:r>
    </w:p>
    <w:p>
      <w:pPr>
        <w:ind w:left="100"/>
        <w:spacing w:after="0" w:line="238" w:lineRule="auto"/>
        <w:rPr>
          <w:sz w:val="20"/>
          <w:szCs w:val="20"/>
          <w:color w:val="auto"/>
        </w:rPr>
      </w:pPr>
      <w:r>
        <w:rPr>
          <w:rFonts w:ascii="Courier New" w:cs="Courier New" w:eastAsia="Courier New" w:hAnsi="Courier New"/>
          <w:sz w:val="18"/>
          <w:szCs w:val="18"/>
          <w:color w:val="auto"/>
        </w:rPr>
        <w:t>30, SEPTEMBER 30, ------------- -------------</w:t>
      </w:r>
    </w:p>
    <w:p>
      <w:pPr>
        <w:ind w:left="220"/>
        <w:spacing w:after="0"/>
        <w:rPr>
          <w:sz w:val="20"/>
          <w:szCs w:val="20"/>
          <w:color w:val="auto"/>
        </w:rPr>
      </w:pPr>
      <w:r>
        <w:rPr>
          <w:rFonts w:ascii="Courier New" w:cs="Courier New" w:eastAsia="Courier New" w:hAnsi="Courier New"/>
          <w:sz w:val="18"/>
          <w:szCs w:val="18"/>
          <w:color w:val="auto"/>
        </w:rPr>
        <w:t>2002 2001 2002 2001 ----- ----- ----- -----</w:t>
      </w:r>
    </w:p>
    <w:p>
      <w:pPr>
        <w:ind w:left="1840"/>
        <w:spacing w:after="0" w:line="237" w:lineRule="auto"/>
        <w:rPr>
          <w:sz w:val="20"/>
          <w:szCs w:val="20"/>
          <w:color w:val="auto"/>
        </w:rPr>
      </w:pPr>
      <w:r>
        <w:rPr>
          <w:rFonts w:ascii="Courier New" w:cs="Courier New" w:eastAsia="Courier New" w:hAnsi="Courier New"/>
          <w:sz w:val="18"/>
          <w:szCs w:val="18"/>
          <w:color w:val="auto"/>
        </w:rPr>
        <w:t>Reported net</w:t>
      </w:r>
    </w:p>
    <w:p>
      <w:pPr>
        <w:spacing w:after="0"/>
        <w:tabs>
          <w:tab w:leader="none" w:pos="620" w:val="left"/>
        </w:tabs>
        <w:rPr>
          <w:sz w:val="20"/>
          <w:szCs w:val="20"/>
          <w:color w:val="auto"/>
        </w:rPr>
      </w:pPr>
      <w:r>
        <w:rPr>
          <w:rFonts w:ascii="Courier New" w:cs="Courier New" w:eastAsia="Courier New" w:hAnsi="Courier New"/>
          <w:sz w:val="18"/>
          <w:szCs w:val="18"/>
          <w:color w:val="auto"/>
        </w:rPr>
        <w:t>income</w:t>
      </w:r>
      <w:r>
        <w:rPr>
          <w:sz w:val="20"/>
          <w:szCs w:val="20"/>
          <w:color w:val="auto"/>
        </w:rPr>
        <w:tab/>
      </w:r>
      <w:r>
        <w:rPr>
          <w:rFonts w:ascii="Courier New" w:cs="Courier New" w:eastAsia="Courier New" w:hAnsi="Courier New"/>
          <w:sz w:val="16"/>
          <w:szCs w:val="16"/>
          <w:color w:val="auto"/>
        </w:rPr>
        <w:t>.........................................</w:t>
      </w:r>
    </w:p>
    <w:p>
      <w:pPr>
        <w:ind w:left="320"/>
        <w:spacing w:after="0"/>
        <w:rPr>
          <w:sz w:val="20"/>
          <w:szCs w:val="20"/>
          <w:color w:val="auto"/>
        </w:rPr>
      </w:pPr>
      <w:r>
        <w:rPr>
          <w:rFonts w:ascii="Courier New" w:cs="Courier New" w:eastAsia="Courier New" w:hAnsi="Courier New"/>
          <w:sz w:val="18"/>
          <w:szCs w:val="18"/>
          <w:color w:val="auto"/>
        </w:rPr>
        <w:t>$ 231 $ 30 $ 586 $ 345 Less: compensation</w:t>
      </w:r>
    </w:p>
    <w:p>
      <w:pPr>
        <w:ind w:left="160"/>
        <w:spacing w:after="0" w:line="237" w:lineRule="auto"/>
        <w:tabs>
          <w:tab w:leader="dot" w:pos="4560" w:val="left"/>
        </w:tabs>
        <w:rPr>
          <w:sz w:val="20"/>
          <w:szCs w:val="20"/>
          <w:color w:val="auto"/>
        </w:rPr>
      </w:pPr>
      <w:r>
        <w:rPr>
          <w:rFonts w:ascii="Courier New" w:cs="Courier New" w:eastAsia="Courier New" w:hAnsi="Courier New"/>
          <w:sz w:val="18"/>
          <w:szCs w:val="18"/>
          <w:color w:val="auto"/>
        </w:rPr>
        <w:t>expense per SFAS No. 123, net of tax</w:t>
      </w:r>
      <w:r>
        <w:rPr>
          <w:sz w:val="20"/>
          <w:szCs w:val="20"/>
          <w:color w:val="auto"/>
        </w:rPr>
        <w:tab/>
      </w:r>
      <w:r>
        <w:rPr>
          <w:rFonts w:ascii="Courier New" w:cs="Courier New" w:eastAsia="Courier New" w:hAnsi="Courier New"/>
          <w:sz w:val="18"/>
          <w:szCs w:val="18"/>
          <w:color w:val="auto"/>
        </w:rPr>
        <w:t>20</w:t>
      </w:r>
    </w:p>
    <w:p>
      <w:pPr>
        <w:ind w:left="100"/>
        <w:spacing w:after="0"/>
        <w:rPr>
          <w:sz w:val="20"/>
          <w:szCs w:val="20"/>
          <w:color w:val="auto"/>
        </w:rPr>
      </w:pPr>
      <w:r>
        <w:rPr>
          <w:rFonts w:ascii="Courier New" w:cs="Courier New" w:eastAsia="Courier New" w:hAnsi="Courier New"/>
          <w:sz w:val="18"/>
          <w:szCs w:val="18"/>
          <w:color w:val="auto"/>
        </w:rPr>
        <w:t>21 56 63 ----- ----- ----- ----- Adjusted net</w:t>
      </w:r>
    </w:p>
    <w:p>
      <w:pPr>
        <w:spacing w:after="0"/>
        <w:tabs>
          <w:tab w:leader="none" w:pos="620" w:val="left"/>
        </w:tabs>
        <w:rPr>
          <w:sz w:val="20"/>
          <w:szCs w:val="20"/>
          <w:color w:val="auto"/>
        </w:rPr>
      </w:pPr>
      <w:r>
        <w:rPr>
          <w:rFonts w:ascii="Courier New" w:cs="Courier New" w:eastAsia="Courier New" w:hAnsi="Courier New"/>
          <w:sz w:val="18"/>
          <w:szCs w:val="18"/>
          <w:color w:val="auto"/>
        </w:rPr>
        <w:t>income</w:t>
      </w:r>
      <w:r>
        <w:rPr>
          <w:sz w:val="20"/>
          <w:szCs w:val="20"/>
          <w:color w:val="auto"/>
        </w:rPr>
        <w:tab/>
      </w:r>
      <w:r>
        <w:rPr>
          <w:rFonts w:ascii="Courier New" w:cs="Courier New" w:eastAsia="Courier New" w:hAnsi="Courier New"/>
          <w:sz w:val="16"/>
          <w:szCs w:val="16"/>
          <w:color w:val="auto"/>
        </w:rPr>
        <w:t>.........................................</w:t>
      </w:r>
    </w:p>
    <w:p>
      <w:pPr>
        <w:ind w:left="320" w:hanging="210"/>
        <w:spacing w:after="0"/>
        <w:tabs>
          <w:tab w:leader="none" w:pos="32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211 $ 9 $ 530 $ 282 ===== ===== =====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BASIC EARNINGS PER COMMON SHARE: Reported net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5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4"/>
              </w:rPr>
              <w:t>income.........................................</w:t>
            </w:r>
          </w:p>
        </w:tc>
        <w:tc>
          <w:tcPr>
            <w:tcW w:w="1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900" w:type="dxa"/>
            <w:vAlign w:val="bottom"/>
          </w:tcPr>
          <w:p>
            <w:pPr>
              <w:jc w:val="right"/>
              <w:ind w:right="31"/>
              <w:spacing w:after="0" w:line="203" w:lineRule="exact"/>
              <w:rPr>
                <w:sz w:val="20"/>
                <w:szCs w:val="20"/>
                <w:color w:val="auto"/>
              </w:rPr>
            </w:pPr>
            <w:r>
              <w:rPr>
                <w:rFonts w:ascii="Courier New" w:cs="Courier New" w:eastAsia="Courier New" w:hAnsi="Courier New"/>
                <w:sz w:val="18"/>
                <w:szCs w:val="18"/>
                <w:color w:val="auto"/>
              </w:rPr>
              <w:t>$0.38</w:t>
            </w:r>
          </w:p>
        </w:tc>
        <w:tc>
          <w:tcPr>
            <w:tcW w:w="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$0.05</w:t>
            </w:r>
          </w:p>
        </w:tc>
        <w:tc>
          <w:tcPr>
            <w:tcW w:w="12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$0.95 $0.55</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Less: compensation</w:t>
            </w:r>
          </w:p>
        </w:tc>
      </w:tr>
      <w:tr>
        <w:trPr>
          <w:trHeight w:val="203"/>
        </w:trPr>
        <w:tc>
          <w:tcPr>
            <w:tcW w:w="2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expense per SFAS No. 123,</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net of tax.....</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0.03</w:t>
            </w:r>
          </w:p>
        </w:tc>
      </w:tr>
      <w:tr>
        <w:trPr>
          <w:trHeight w:val="203"/>
        </w:trPr>
        <w:tc>
          <w:tcPr>
            <w:tcW w:w="1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0.03 0.09</w:t>
            </w:r>
          </w:p>
        </w:tc>
        <w:tc>
          <w:tcPr>
            <w:tcW w:w="29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0.10 ----- ----- ----- -----</w:t>
            </w:r>
          </w:p>
        </w:tc>
        <w:tc>
          <w:tcPr>
            <w:tcW w:w="42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Adjusted</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net</w:t>
            </w:r>
          </w:p>
        </w:tc>
        <w:tc>
          <w:tcPr>
            <w:tcW w:w="420" w:type="dxa"/>
            <w:vAlign w:val="bottom"/>
          </w:tcPr>
          <w:p>
            <w:pPr>
              <w:spacing w:after="0"/>
              <w:rPr>
                <w:sz w:val="17"/>
                <w:szCs w:val="17"/>
                <w:color w:val="auto"/>
              </w:rPr>
            </w:pPr>
          </w:p>
        </w:tc>
      </w:tr>
      <w:tr>
        <w:trPr>
          <w:trHeight w:val="203"/>
        </w:trPr>
        <w:tc>
          <w:tcPr>
            <w:tcW w:w="15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4"/>
              </w:rPr>
              <w:t>income.........................................</w:t>
            </w:r>
          </w:p>
        </w:tc>
        <w:tc>
          <w:tcPr>
            <w:tcW w:w="1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$0.35</w:t>
            </w:r>
          </w:p>
        </w:tc>
        <w:tc>
          <w:tcPr>
            <w:tcW w:w="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$0.02</w:t>
            </w:r>
          </w:p>
        </w:tc>
        <w:tc>
          <w:tcPr>
            <w:tcW w:w="340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$0.86 $0.45 ===== ===== =====</w:t>
            </w:r>
          </w:p>
        </w:tc>
      </w:tr>
    </w:tbl>
    <w:p>
      <w:pPr>
        <w:spacing w:after="0" w:line="4" w:lineRule="exact"/>
        <w:rPr>
          <w:sz w:val="20"/>
          <w:szCs w:val="20"/>
          <w:color w:val="auto"/>
        </w:rPr>
      </w:pPr>
    </w:p>
    <w:p>
      <w:pPr>
        <w:ind w:left="1840" w:right="5639" w:hanging="1468"/>
        <w:spacing w:after="0" w:line="235" w:lineRule="auto"/>
        <w:tabs>
          <w:tab w:leader="none" w:pos="997"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DILUTED EARNINGS PER COMMON SHARE: Reported net</w:t>
      </w:r>
    </w:p>
    <w:p>
      <w:pPr>
        <w:spacing w:after="0"/>
        <w:rPr>
          <w:sz w:val="20"/>
          <w:szCs w:val="20"/>
          <w:color w:val="auto"/>
        </w:rPr>
      </w:pPr>
      <w:r>
        <w:rPr>
          <w:rFonts w:ascii="Courier New" w:cs="Courier New" w:eastAsia="Courier New" w:hAnsi="Courier New"/>
          <w:sz w:val="18"/>
          <w:szCs w:val="18"/>
          <w:color w:val="auto"/>
        </w:rPr>
        <w:t>income.........................................</w:t>
      </w:r>
    </w:p>
    <w:p>
      <w:pPr>
        <w:ind w:left="260"/>
        <w:spacing w:after="0" w:line="238" w:lineRule="auto"/>
        <w:rPr>
          <w:sz w:val="20"/>
          <w:szCs w:val="20"/>
          <w:color w:val="auto"/>
        </w:rPr>
      </w:pPr>
      <w:r>
        <w:rPr>
          <w:rFonts w:ascii="Courier New" w:cs="Courier New" w:eastAsia="Courier New" w:hAnsi="Courier New"/>
          <w:sz w:val="18"/>
          <w:szCs w:val="18"/>
          <w:color w:val="auto"/>
        </w:rPr>
        <w:t>$0.38 $0.05 $0.94 $0.55 Less: compensation</w:t>
      </w:r>
    </w:p>
    <w:p>
      <w:pPr>
        <w:ind w:left="60"/>
        <w:spacing w:after="0"/>
        <w:rPr>
          <w:sz w:val="20"/>
          <w:szCs w:val="20"/>
          <w:color w:val="auto"/>
        </w:rPr>
      </w:pPr>
      <w:r>
        <w:rPr>
          <w:rFonts w:ascii="Courier New" w:cs="Courier New" w:eastAsia="Courier New" w:hAnsi="Courier New"/>
          <w:sz w:val="18"/>
          <w:szCs w:val="18"/>
          <w:color w:val="auto"/>
        </w:rPr>
        <w:t>expense per SFAS No. 123, net of tax..... 0.03</w:t>
      </w:r>
    </w:p>
    <w:p>
      <w:pPr>
        <w:ind w:left="480"/>
        <w:spacing w:after="0" w:line="237" w:lineRule="auto"/>
        <w:rPr>
          <w:sz w:val="20"/>
          <w:szCs w:val="20"/>
          <w:color w:val="auto"/>
        </w:rPr>
      </w:pPr>
      <w:r>
        <w:rPr>
          <w:rFonts w:ascii="Courier New" w:cs="Courier New" w:eastAsia="Courier New" w:hAnsi="Courier New"/>
          <w:sz w:val="18"/>
          <w:szCs w:val="18"/>
          <w:color w:val="auto"/>
        </w:rPr>
        <w:t>0.03 0.09 0.10 ----- ----- ----- -----</w:t>
      </w:r>
    </w:p>
    <w:p>
      <w:pPr>
        <w:ind w:left="1840"/>
        <w:spacing w:after="0" w:line="238" w:lineRule="auto"/>
        <w:rPr>
          <w:sz w:val="20"/>
          <w:szCs w:val="20"/>
          <w:color w:val="auto"/>
        </w:rPr>
      </w:pPr>
      <w:r>
        <w:rPr>
          <w:rFonts w:ascii="Courier New" w:cs="Courier New" w:eastAsia="Courier New" w:hAnsi="Courier New"/>
          <w:sz w:val="18"/>
          <w:szCs w:val="18"/>
          <w:color w:val="auto"/>
        </w:rPr>
        <w:t>Adjusted net</w:t>
      </w:r>
    </w:p>
    <w:p>
      <w:pPr>
        <w:spacing w:after="0"/>
        <w:rPr>
          <w:sz w:val="20"/>
          <w:szCs w:val="20"/>
          <w:color w:val="auto"/>
        </w:rPr>
      </w:pPr>
      <w:r>
        <w:rPr>
          <w:rFonts w:ascii="Courier New" w:cs="Courier New" w:eastAsia="Courier New" w:hAnsi="Courier New"/>
          <w:sz w:val="18"/>
          <w:szCs w:val="18"/>
          <w:color w:val="auto"/>
        </w:rPr>
        <w:t>income.........................................</w:t>
      </w:r>
    </w:p>
    <w:p>
      <w:pPr>
        <w:ind w:left="320"/>
        <w:spacing w:after="0" w:line="237" w:lineRule="auto"/>
        <w:rPr>
          <w:sz w:val="20"/>
          <w:szCs w:val="20"/>
          <w:color w:val="auto"/>
        </w:rPr>
      </w:pPr>
      <w:r>
        <w:rPr>
          <w:rFonts w:ascii="Courier New" w:cs="Courier New" w:eastAsia="Courier New" w:hAnsi="Courier New"/>
          <w:sz w:val="18"/>
          <w:szCs w:val="18"/>
          <w:color w:val="auto"/>
        </w:rPr>
        <w:t>$0.35 $0.02 $0.85 $0.45 ===== ===== =====</w:t>
      </w:r>
    </w:p>
    <w:p>
      <w:pPr>
        <w:ind w:left="22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DEVELOPMENTS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August 2002, DLJ Brand Services, Inc. ("DLJ Brand"), a holding company whose wholly owned subsidiary Brand Services, Inc. provides scaffolding services in North America, entered into a plan and agreement of merger pursuant to which DLJ Brand would be merged into an entity owned by J.P. Morgan Partners, LLC. We owned approximately 17% of the shares of DLJ Brand before the merger. In October 2002, the merger was completed, and we received approximately $33 million in cash, a note receivable of approximately $4 million and warrants to purchase securities in the merged entity. We also received approximately $21 million for the repayment of a subordinated note that came due upon the change of control of DLJ Brand. We expect to record a pre-tax gain of approximately $40 million in the fourth quarter of 2002 related to this transaction.</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 AND INFLATION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operating revenues tend to be somewhat lower in the winter months, primarily due to the lower volume of construction and demolition waste. The volumes of industrial and residential waste in certain regions where we operate also tend to decrease during the winter months. Our first and fourth quarter results of operations typically reflect this seasonality. In addition, particularly harsh weather conditions may result in the temporary suspension of certain of our operations.</w:t>
      </w:r>
    </w:p>
    <w:p>
      <w:pPr>
        <w:spacing w:after="0" w:line="211" w:lineRule="exact"/>
        <w:rPr>
          <w:sz w:val="20"/>
          <w:szCs w:val="20"/>
          <w:color w:val="auto"/>
        </w:rPr>
      </w:pPr>
    </w:p>
    <w:p>
      <w:pPr>
        <w:jc w:val="both"/>
        <w:ind w:right="2199" w:firstLine="527"/>
        <w:spacing w:after="0" w:line="290" w:lineRule="auto"/>
        <w:rPr>
          <w:sz w:val="20"/>
          <w:szCs w:val="20"/>
          <w:color w:val="auto"/>
        </w:rPr>
      </w:pPr>
      <w:r>
        <w:rPr>
          <w:rFonts w:ascii="Courier New" w:cs="Courier New" w:eastAsia="Courier New" w:hAnsi="Courier New"/>
          <w:sz w:val="16"/>
          <w:szCs w:val="16"/>
          <w:color w:val="auto"/>
        </w:rPr>
        <w:t>We believe that inflation has not had, and is not expected to have, any material adverse effect on the results of our operations in the near future.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ACCOUNTING PRONOUNCEMENTS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SFAS NO. 141 AND SFAS NO. 142</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June 2001, the Financial Accounting Standards Board issued Statement of Financial Accounting Standards No. 141, Accounting for Business Combinations ("SFAS No. 141"), and SFAS No. 142. SFAS No. 141 requires that all business combinations be accounted for using the purchase method of accounting and prohibits the pooling-of-interests method for business combinations initiated after June 30, 2001. According to SFAS No. 142, goodwill that arose from purchases after June 30, 2001 cannot be amortized. In addition, SFAS No. 142 required the continuation of the amortization of goodwill and all intangible assets through</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23" w:right="1440" w:bottom="159" w:gutter="0" w:footer="0" w:header="0"/>
        </w:sectPr>
      </w:pPr>
    </w:p>
    <w:bookmarkStart w:id="57" w:name="page58"/>
    <w:bookmarkEnd w:id="57"/>
    <w:p>
      <w:pPr>
        <w:ind w:right="1779"/>
        <w:spacing w:after="0" w:line="238" w:lineRule="auto"/>
        <w:rPr>
          <w:sz w:val="20"/>
          <w:szCs w:val="20"/>
          <w:color w:val="auto"/>
        </w:rPr>
      </w:pPr>
      <w:r>
        <w:rPr>
          <w:rFonts w:ascii="Courier New" w:cs="Courier New" w:eastAsia="Courier New" w:hAnsi="Courier New"/>
          <w:sz w:val="18"/>
          <w:szCs w:val="18"/>
          <w:color w:val="auto"/>
        </w:rPr>
        <w:t>December 31, 2001. The amortization of existing goodwill ceased on January 1, 2002. After January 1, 2002, SFAS No. 142 requires a two-step impairment approach for goodwill. Companies must first determine whether goodwill is impaired and if so, they must value that impairment based on the amount by which the book value exceeds the estimated fair value. Companies have six months from the date they initially apply SFAS No. 142 to test goodwill for impairment and any impairment charge resulting from the initial application of the new accounting pronouncement must be classified as the cumulative effect of a change in accounting principle. Thereafter, goodwill must be tested for impairment annually and impairment losses must be presented in the operating section of the income statement unless they are associated with a discontinued operation. In those cases, any impairment losses will be included, net of tax, within the results of discontinued operations.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accordance with our adoption of SFAS No. 141, we will continue to use the purchase method of accounting for our business combinations. In accordance with our adoption of SFAS No. 142, we have not amortized goodwill from any acquisitions that occurred after June 30, 2001. We have no intangible assets, other than goodwill, that have ceased being amortized upon adoption of SFAS No. 142.</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Adopting SFAS No. 141 required us to write-off net negative goodwill of approximately $2 million, which was recorded as a credit to cumulative effect of change in accounting principle in the first quarter of 2002. In accordance with SFAS No. 142, goodwill is required to be tested for impairment at the reporting unit, which is generally defined as an operating segment or a component of an operating segment in certain circumstances. For the purposes of applying SFAS No. 142, we have identified seven reporting units, which are the six components of our NASW (excluding WTI) and WTI, as described in Note 9, "Segment and Related Information" to the financial statements included herein. We incurred no impairment of goodwill upon our initial adoption of SFAS No. 142. However, there can be no assurance that goodwill will not be impaired at any time in the future.</w:t>
      </w:r>
    </w:p>
    <w:p>
      <w:pPr>
        <w:spacing w:after="0" w:line="207"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The following schedule reflects the three and nine months ended September 30, 2001 adjusted net income (excluding goodwill and negative goodwill amortization) as compared to the results of operations for the three and nine months ended September 30, 2002 (in millions, except per share amounts).</w:t>
      </w:r>
    </w:p>
    <w:p>
      <w:pPr>
        <w:spacing w:after="0" w:line="177"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THREE MONTHS NINE MONTHS ENDED ENDED</w:t>
      </w:r>
    </w:p>
    <w:p>
      <w:pPr>
        <w:ind w:left="60"/>
        <w:spacing w:after="0" w:line="238" w:lineRule="auto"/>
        <w:rPr>
          <w:sz w:val="20"/>
          <w:szCs w:val="20"/>
          <w:color w:val="auto"/>
        </w:rPr>
      </w:pPr>
      <w:r>
        <w:rPr>
          <w:rFonts w:ascii="Courier New" w:cs="Courier New" w:eastAsia="Courier New" w:hAnsi="Courier New"/>
          <w:sz w:val="18"/>
          <w:szCs w:val="18"/>
          <w:color w:val="auto"/>
        </w:rPr>
        <w:t>SEPTEMBER 30, SEPTEMBER 30, -------------</w:t>
      </w:r>
    </w:p>
    <w:p>
      <w:pPr>
        <w:spacing w:after="0" w:line="5"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------------- 2002 2001 2002 2001 ----- -</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 ----- ----- Reported net</w:t>
      </w:r>
    </w:p>
    <w:p>
      <w:pPr>
        <w:spacing w:after="0" w:line="4"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6"/>
          <w:szCs w:val="16"/>
          <w:color w:val="auto"/>
        </w:rPr>
        <w:t>income....................................</w:t>
      </w:r>
    </w:p>
    <w:p>
      <w:pPr>
        <w:spacing w:after="0" w:line="21"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$ 231 $ 30 $ 586 $ 345 Add back: goodwill</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amortization, net of taxes.......... --</w:t>
      </w:r>
    </w:p>
    <w:p>
      <w:pPr>
        <w:ind w:left="60"/>
        <w:spacing w:after="0" w:line="238" w:lineRule="auto"/>
        <w:rPr>
          <w:sz w:val="20"/>
          <w:szCs w:val="20"/>
          <w:color w:val="auto"/>
        </w:rPr>
      </w:pPr>
      <w:r>
        <w:rPr>
          <w:rFonts w:ascii="Courier New" w:cs="Courier New" w:eastAsia="Courier New" w:hAnsi="Courier New"/>
          <w:sz w:val="18"/>
          <w:szCs w:val="18"/>
          <w:color w:val="auto"/>
        </w:rPr>
        <w:t>31 -- 93 ----- ----- ----- ----- Adjusted</w:t>
      </w:r>
    </w:p>
    <w:p>
      <w:pPr>
        <w:jc w:val="center"/>
        <w:ind w:right="5799"/>
        <w:spacing w:after="0"/>
        <w:rPr>
          <w:sz w:val="20"/>
          <w:szCs w:val="20"/>
          <w:color w:val="auto"/>
        </w:rPr>
      </w:pPr>
      <w:r>
        <w:rPr>
          <w:rFonts w:ascii="Courier New" w:cs="Courier New" w:eastAsia="Courier New" w:hAnsi="Courier New"/>
          <w:sz w:val="18"/>
          <w:szCs w:val="18"/>
          <w:color w:val="auto"/>
        </w:rPr>
        <w:t>net</w:t>
      </w:r>
    </w:p>
    <w:p>
      <w:pPr>
        <w:spacing w:after="0" w:line="237" w:lineRule="auto"/>
        <w:rPr>
          <w:sz w:val="20"/>
          <w:szCs w:val="20"/>
          <w:color w:val="auto"/>
        </w:rPr>
      </w:pPr>
      <w:r>
        <w:rPr>
          <w:rFonts w:ascii="Courier New" w:cs="Courier New" w:eastAsia="Courier New" w:hAnsi="Courier New"/>
          <w:sz w:val="18"/>
          <w:szCs w:val="18"/>
          <w:color w:val="auto"/>
        </w:rPr>
        <w:t>income....................................</w:t>
      </w:r>
    </w:p>
    <w:p>
      <w:pPr>
        <w:ind w:left="320" w:hanging="210"/>
        <w:spacing w:after="0" w:line="238" w:lineRule="auto"/>
        <w:tabs>
          <w:tab w:leader="none" w:pos="32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231 $ 61 $ 586 $ 438 ===== ===== =====</w:t>
      </w:r>
    </w:p>
    <w:p>
      <w:pPr>
        <w:ind w:left="840" w:hanging="626"/>
        <w:spacing w:after="0" w:line="238" w:lineRule="auto"/>
        <w:tabs>
          <w:tab w:leader="none" w:pos="840"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BASIC EARNINGS PER COMMON SHARE:</w:t>
      </w:r>
    </w:p>
    <w:p>
      <w:pPr>
        <w:jc w:val="center"/>
        <w:ind w:right="5799"/>
        <w:spacing w:after="0"/>
        <w:rPr>
          <w:sz w:val="20"/>
          <w:szCs w:val="20"/>
          <w:color w:val="auto"/>
        </w:rPr>
      </w:pPr>
      <w:r>
        <w:rPr>
          <w:rFonts w:ascii="Courier New" w:cs="Courier New" w:eastAsia="Courier New" w:hAnsi="Courier New"/>
          <w:sz w:val="18"/>
          <w:szCs w:val="18"/>
          <w:color w:val="auto"/>
        </w:rPr>
        <w:t>Reported net</w:t>
      </w:r>
    </w:p>
    <w:p>
      <w:pPr>
        <w:spacing w:after="0" w:line="3"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6"/>
          <w:szCs w:val="16"/>
          <w:color w:val="auto"/>
        </w:rPr>
        <w:t>income....................................</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$0.38 $0.05 $0.95 $0.55 Goodwill</w:t>
      </w:r>
    </w:p>
    <w:p>
      <w:pPr>
        <w:jc w:val="center"/>
        <w:ind w:right="5799"/>
        <w:spacing w:after="0" w:line="238" w:lineRule="auto"/>
        <w:rPr>
          <w:sz w:val="20"/>
          <w:szCs w:val="20"/>
          <w:color w:val="auto"/>
        </w:rPr>
      </w:pPr>
      <w:r>
        <w:rPr>
          <w:rFonts w:ascii="Courier New" w:cs="Courier New" w:eastAsia="Courier New" w:hAnsi="Courier New"/>
          <w:sz w:val="18"/>
          <w:szCs w:val="18"/>
          <w:color w:val="auto"/>
        </w:rPr>
        <w:t>amortization, net of</w:t>
      </w:r>
    </w:p>
    <w:p>
      <w:pPr>
        <w:spacing w:after="0" w:line="5"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taxes.................... -- 0.05 -- 0.15</w:t>
      </w:r>
    </w:p>
    <w:p>
      <w:pPr>
        <w:spacing w:after="0" w:line="21" w:lineRule="exact"/>
        <w:rPr>
          <w:sz w:val="20"/>
          <w:szCs w:val="20"/>
          <w:color w:val="auto"/>
        </w:rPr>
      </w:pPr>
    </w:p>
    <w:p>
      <w:pPr>
        <w:ind w:right="5779" w:firstLine="320"/>
        <w:spacing w:after="0" w:line="268" w:lineRule="auto"/>
        <w:tabs>
          <w:tab w:leader="none" w:pos="944"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Adjusted net income....................................</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$0.38 $0.10 $0.95 $0.70 ===== ===== =====</w:t>
      </w:r>
    </w:p>
    <w:p>
      <w:pPr>
        <w:ind w:left="740" w:hanging="631"/>
        <w:spacing w:after="0" w:line="238" w:lineRule="auto"/>
        <w:tabs>
          <w:tab w:leader="none" w:pos="74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DILUTED EARNINGS PER COMMON SHARE:</w:t>
      </w:r>
    </w:p>
    <w:p>
      <w:pPr>
        <w:jc w:val="center"/>
        <w:ind w:right="5799"/>
        <w:spacing w:after="0"/>
        <w:rPr>
          <w:sz w:val="20"/>
          <w:szCs w:val="20"/>
          <w:color w:val="auto"/>
        </w:rPr>
      </w:pPr>
      <w:r>
        <w:rPr>
          <w:rFonts w:ascii="Courier New" w:cs="Courier New" w:eastAsia="Courier New" w:hAnsi="Courier New"/>
          <w:sz w:val="18"/>
          <w:szCs w:val="18"/>
          <w:color w:val="auto"/>
        </w:rPr>
        <w:t>Reported net</w:t>
      </w:r>
    </w:p>
    <w:p>
      <w:pPr>
        <w:spacing w:after="0" w:line="3"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6"/>
          <w:szCs w:val="16"/>
          <w:color w:val="auto"/>
        </w:rPr>
        <w:t>income....................................</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$0.38 $0.05 $0.94 $0.55 Goodwill</w:t>
      </w:r>
    </w:p>
    <w:p>
      <w:pPr>
        <w:jc w:val="center"/>
        <w:ind w:right="5799"/>
        <w:spacing w:after="0" w:line="238" w:lineRule="auto"/>
        <w:rPr>
          <w:sz w:val="20"/>
          <w:szCs w:val="20"/>
          <w:color w:val="auto"/>
        </w:rPr>
      </w:pPr>
      <w:r>
        <w:rPr>
          <w:rFonts w:ascii="Courier New" w:cs="Courier New" w:eastAsia="Courier New" w:hAnsi="Courier New"/>
          <w:sz w:val="18"/>
          <w:szCs w:val="18"/>
          <w:color w:val="auto"/>
        </w:rPr>
        <w:t>amortization, net of</w:t>
      </w:r>
    </w:p>
    <w:p>
      <w:pPr>
        <w:spacing w:after="0" w:line="5"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taxes.................... -- 0.05 -- 0.15</w:t>
      </w:r>
    </w:p>
    <w:p>
      <w:pPr>
        <w:spacing w:after="0" w:line="21" w:lineRule="exact"/>
        <w:rPr>
          <w:sz w:val="20"/>
          <w:szCs w:val="20"/>
          <w:color w:val="auto"/>
        </w:rPr>
      </w:pPr>
    </w:p>
    <w:p>
      <w:pPr>
        <w:ind w:right="5779" w:firstLine="320"/>
        <w:spacing w:after="0" w:line="268" w:lineRule="auto"/>
        <w:tabs>
          <w:tab w:leader="none" w:pos="944"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Adjusted net income....................................</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$0.38 $0.10 $0.94 $0.70 ===== ===== =====</w:t>
      </w:r>
    </w:p>
    <w:p>
      <w:pPr>
        <w:ind w:left="1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23" w:right="1440" w:bottom="969" w:gutter="0" w:footer="0" w:header="0"/>
        </w:sectPr>
      </w:pPr>
    </w:p>
    <w:bookmarkStart w:id="58" w:name="page59"/>
    <w:bookmarkEnd w:id="58"/>
    <w:p>
      <w:pPr>
        <w:ind w:right="2519" w:firstLine="527"/>
        <w:spacing w:after="0" w:line="235" w:lineRule="auto"/>
        <w:rPr>
          <w:sz w:val="20"/>
          <w:szCs w:val="20"/>
          <w:color w:val="auto"/>
        </w:rPr>
      </w:pPr>
      <w:r>
        <w:rPr>
          <w:rFonts w:ascii="Courier New" w:cs="Courier New" w:eastAsia="Courier New" w:hAnsi="Courier New"/>
          <w:sz w:val="18"/>
          <w:szCs w:val="18"/>
          <w:color w:val="auto"/>
        </w:rPr>
        <w:t>Our intangible assets as of September 30, 2002 were comprised of the following (in millions):</w:t>
      </w:r>
    </w:p>
    <w:p>
      <w:pPr>
        <w:spacing w:after="0" w:line="203"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COVENANTS LICENSES, CUSTOMER NOT-</w:t>
      </w:r>
    </w:p>
    <w:p>
      <w:pPr>
        <w:spacing w:after="0" w:line="4"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TO- PERMITS LISTS COMPETE AND OTHER</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TOTAL -------- --------- ----------</w:t>
      </w:r>
    </w:p>
    <w:p>
      <w:pPr>
        <w:ind w:left="1060"/>
        <w:spacing w:after="0" w:line="238" w:lineRule="auto"/>
        <w:rPr>
          <w:sz w:val="20"/>
          <w:szCs w:val="20"/>
          <w:color w:val="auto"/>
        </w:rPr>
      </w:pPr>
      <w:r>
        <w:rPr>
          <w:rFonts w:ascii="Courier New" w:cs="Courier New" w:eastAsia="Courier New" w:hAnsi="Courier New"/>
          <w:sz w:val="18"/>
          <w:szCs w:val="18"/>
          <w:color w:val="auto"/>
        </w:rPr>
        <w:t>----- Intangible</w:t>
      </w:r>
    </w:p>
    <w:p>
      <w:pPr>
        <w:spacing w:after="0"/>
        <w:rPr>
          <w:sz w:val="20"/>
          <w:szCs w:val="20"/>
          <w:color w:val="auto"/>
        </w:rPr>
      </w:pPr>
      <w:r>
        <w:rPr>
          <w:rFonts w:ascii="Courier New" w:cs="Courier New" w:eastAsia="Courier New" w:hAnsi="Courier New"/>
          <w:sz w:val="18"/>
          <w:szCs w:val="18"/>
          <w:color w:val="auto"/>
        </w:rPr>
        <w:t>assets..............................</w:t>
      </w:r>
    </w:p>
    <w:p>
      <w:pPr>
        <w:ind w:left="640"/>
        <w:spacing w:after="0" w:line="237" w:lineRule="auto"/>
        <w:rPr>
          <w:sz w:val="20"/>
          <w:szCs w:val="20"/>
          <w:color w:val="auto"/>
        </w:rPr>
      </w:pPr>
      <w:r>
        <w:rPr>
          <w:rFonts w:ascii="Courier New" w:cs="Courier New" w:eastAsia="Courier New" w:hAnsi="Courier New"/>
          <w:sz w:val="18"/>
          <w:szCs w:val="18"/>
          <w:color w:val="auto"/>
        </w:rPr>
        <w:t>$128 $ 97 $21 $ 246 Less</w:t>
      </w:r>
    </w:p>
    <w:p>
      <w:pPr>
        <w:ind w:left="1320"/>
        <w:spacing w:after="0" w:line="238" w:lineRule="auto"/>
        <w:rPr>
          <w:sz w:val="20"/>
          <w:szCs w:val="20"/>
          <w:color w:val="auto"/>
        </w:rPr>
      </w:pPr>
      <w:r>
        <w:rPr>
          <w:rFonts w:ascii="Courier New" w:cs="Courier New" w:eastAsia="Courier New" w:hAnsi="Courier New"/>
          <w:sz w:val="18"/>
          <w:szCs w:val="18"/>
          <w:color w:val="auto"/>
        </w:rPr>
        <w:t>accumulated</w:t>
      </w:r>
    </w:p>
    <w:p>
      <w:pPr>
        <w:ind w:left="60"/>
        <w:spacing w:after="0"/>
        <w:rPr>
          <w:sz w:val="20"/>
          <w:szCs w:val="20"/>
          <w:color w:val="auto"/>
        </w:rPr>
      </w:pPr>
      <w:r>
        <w:rPr>
          <w:rFonts w:ascii="Courier New" w:cs="Courier New" w:eastAsia="Courier New" w:hAnsi="Courier New"/>
          <w:sz w:val="18"/>
          <w:szCs w:val="18"/>
          <w:color w:val="auto"/>
        </w:rPr>
        <w:t>amortization.................. (74)</w:t>
      </w:r>
    </w:p>
    <w:p>
      <w:pPr>
        <w:ind w:left="640" w:hanging="532"/>
        <w:spacing w:after="0" w:line="237" w:lineRule="auto"/>
        <w:tabs>
          <w:tab w:leader="none" w:pos="64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(137) ---- ---- ---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$ 54 $ 41 $14 $ 109 ==== ==== ===</w:t>
      </w:r>
    </w:p>
    <w:p>
      <w:pPr>
        <w:ind w:left="1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Intangible assets are recorded at cost and amortized on a straight-line basis. Customer lists are generally amortized over five to seven years. Covenants not-to-compete are amortized over the term of the agreement, which is generally three to five years. Licenses, permits and other intangible assets are amortized over the terms of the related agreement or the Company's estimate of the useful life if there are no definite terms. Landfill operating permits are not presented above and are recognized on a combined basis with other landfill assets and amortized using our landfill amortization method. The intangible asset amortization expense estimated as of December 31, 2001, for the five years following 2001 is as follows (in millions):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2002</w:t>
      </w:r>
    </w:p>
    <w:p>
      <w:pPr>
        <w:spacing w:after="0" w:line="238" w:lineRule="auto"/>
        <w:rPr>
          <w:sz w:val="20"/>
          <w:szCs w:val="20"/>
          <w:color w:val="auto"/>
        </w:rPr>
      </w:pPr>
      <w:r>
        <w:rPr>
          <w:rFonts w:ascii="Courier New" w:cs="Courier New" w:eastAsia="Courier New" w:hAnsi="Courier New"/>
          <w:sz w:val="18"/>
          <w:szCs w:val="18"/>
          <w:color w:val="auto"/>
        </w:rPr>
        <w:t>2003</w:t>
      </w:r>
    </w:p>
    <w:p>
      <w:pPr>
        <w:spacing w:after="0"/>
        <w:rPr>
          <w:sz w:val="20"/>
          <w:szCs w:val="20"/>
          <w:color w:val="auto"/>
        </w:rPr>
      </w:pPr>
      <w:r>
        <w:rPr>
          <w:rFonts w:ascii="Courier New" w:cs="Courier New" w:eastAsia="Courier New" w:hAnsi="Courier New"/>
          <w:sz w:val="18"/>
          <w:szCs w:val="18"/>
          <w:color w:val="auto"/>
        </w:rPr>
        <w:t>2004</w:t>
      </w:r>
    </w:p>
    <w:p>
      <w:pPr>
        <w:spacing w:after="0" w:line="237" w:lineRule="auto"/>
        <w:rPr>
          <w:sz w:val="20"/>
          <w:szCs w:val="20"/>
          <w:color w:val="auto"/>
        </w:rPr>
      </w:pPr>
      <w:r>
        <w:rPr>
          <w:rFonts w:ascii="Courier New" w:cs="Courier New" w:eastAsia="Courier New" w:hAnsi="Courier New"/>
          <w:sz w:val="18"/>
          <w:szCs w:val="18"/>
          <w:color w:val="auto"/>
        </w:rPr>
        <w:t>2005</w:t>
      </w:r>
    </w:p>
    <w:p>
      <w:pPr>
        <w:spacing w:after="0" w:line="238" w:lineRule="auto"/>
        <w:rPr>
          <w:sz w:val="20"/>
          <w:szCs w:val="20"/>
          <w:color w:val="auto"/>
        </w:rPr>
      </w:pPr>
      <w:r>
        <w:rPr>
          <w:rFonts w:ascii="Courier New" w:cs="Courier New" w:eastAsia="Courier New" w:hAnsi="Courier New"/>
          <w:sz w:val="18"/>
          <w:szCs w:val="18"/>
          <w:color w:val="auto"/>
        </w:rPr>
        <w:t>2006</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$34</w:t>
      </w:r>
    </w:p>
    <w:p>
      <w:pPr>
        <w:ind w:left="60"/>
        <w:spacing w:after="0"/>
        <w:rPr>
          <w:sz w:val="20"/>
          <w:szCs w:val="20"/>
          <w:color w:val="auto"/>
        </w:rPr>
      </w:pPr>
      <w:r>
        <w:rPr>
          <w:rFonts w:ascii="Courier New" w:cs="Courier New" w:eastAsia="Courier New" w:hAnsi="Courier New"/>
          <w:sz w:val="18"/>
          <w:szCs w:val="18"/>
          <w:color w:val="auto"/>
        </w:rPr>
        <w:t>$30</w:t>
      </w:r>
    </w:p>
    <w:p>
      <w:pPr>
        <w:ind w:left="60"/>
        <w:spacing w:after="0" w:line="237" w:lineRule="auto"/>
        <w:rPr>
          <w:sz w:val="20"/>
          <w:szCs w:val="20"/>
          <w:color w:val="auto"/>
        </w:rPr>
      </w:pPr>
      <w:r>
        <w:rPr>
          <w:rFonts w:ascii="Courier New" w:cs="Courier New" w:eastAsia="Courier New" w:hAnsi="Courier New"/>
          <w:sz w:val="18"/>
          <w:szCs w:val="18"/>
          <w:color w:val="auto"/>
        </w:rPr>
        <w:t>$22</w:t>
      </w:r>
    </w:p>
    <w:p>
      <w:pPr>
        <w:ind w:left="60"/>
        <w:spacing w:after="0"/>
        <w:rPr>
          <w:sz w:val="20"/>
          <w:szCs w:val="20"/>
          <w:color w:val="auto"/>
        </w:rPr>
      </w:pPr>
      <w:r>
        <w:rPr>
          <w:rFonts w:ascii="Courier New" w:cs="Courier New" w:eastAsia="Courier New" w:hAnsi="Courier New"/>
          <w:sz w:val="18"/>
          <w:szCs w:val="18"/>
          <w:color w:val="auto"/>
        </w:rPr>
        <w:t>$13</w:t>
      </w:r>
    </w:p>
    <w:p>
      <w:pPr>
        <w:ind w:left="120"/>
        <w:spacing w:after="0" w:line="237" w:lineRule="auto"/>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10"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As of September 30, 2002, the amount of goodwill attributable to WTI was approximately $783 million. The remaining goodwill balance of approximately $4,264 million was attributable to NASW (excluding WTI).</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SFAS NO. 143</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June 2001, the Financial Accounting Standards Board issued Statement of Financial Accounting Standards No. 143, Accounting for Asset Retirement Obligations ("SFAS No. 143"). SFAS No. 143 applies to all legally enforceable obligations associated with the retirement of tangible long-lived assets and provides the accounting and reporting requirements for such obligations. SFAS No. 143 requires amounts initially recognized as an asset retirement obligation to be measured at fair value. The recognized asset retirement cost is capitalized as part of the cost of the asset and is depreciated over the useful life of the asset. We expect to adopt SFAS No. 143 beginning January 1, 2003 and to record a cumulative effect of a change in accounting principle.</w:t>
      </w: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SFAS No. 143 will impact our accounting for our landfill operations. Costs associated with future capping activities that occur during the operating life of a landfill, which are currently recognized on an undiscounted basis over the operating life of the landfill as airspace is consumed, will be accounted for as an asset retirement obligation under SFAS No. 143, on a discounted basis. We expect to recognize landfill retirement obligations, which relate to capping and other closure and post-closure activities, over the operating life of a landfill as landfill airspace is consumed and the obligation is incurred. These obligations will be initially measured at estimated fair value. Fair value will be measured on a present value basis, using a credit-adjusted, risk-free rate, which will be a higher rate than the risk-free rate we currently use for discounting final closure and post-closure obligations. Interest will be accreted on landfill retirement obligations using the effective interest method. Landfill retirement costs, which will be capitalized as part of the landfill</w:t>
      </w:r>
    </w:p>
    <w:p>
      <w:pPr>
        <w:sectPr>
          <w:pgSz w:w="11900" w:h="16838" w:orient="portrait"/>
          <w:cols w:equalWidth="0" w:num="1">
            <w:col w:w="10219"/>
          </w:cols>
          <w:pgMar w:left="240" w:top="723" w:right="1440" w:bottom="0" w:gutter="0" w:footer="0" w:header="0"/>
        </w:sectPr>
      </w:pPr>
    </w:p>
    <w:bookmarkStart w:id="59" w:name="page60"/>
    <w:bookmarkEnd w:id="59"/>
    <w:p>
      <w:pPr>
        <w:ind w:right="1779"/>
        <w:spacing w:after="0" w:line="237" w:lineRule="auto"/>
        <w:rPr>
          <w:sz w:val="20"/>
          <w:szCs w:val="20"/>
          <w:color w:val="auto"/>
        </w:rPr>
      </w:pPr>
      <w:r>
        <w:rPr>
          <w:rFonts w:ascii="Courier New" w:cs="Courier New" w:eastAsia="Courier New" w:hAnsi="Courier New"/>
          <w:sz w:val="18"/>
          <w:szCs w:val="18"/>
          <w:color w:val="auto"/>
        </w:rPr>
        <w:t>asset, will be amortized using our existing landfill accounting practices. We are addressing which of our other assets may be affected by the provisions of SFAS No. 143. Our management has not yet determined the pro forma, cumulative or future effects of the adoption of SFAS No. 143 on our results of operations or financial position. The adoption of SFAS No. 143 will have no effect on our cash flow.</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SFAS NO. 144</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August 2001, the Financial Accounting Standards Board issued Statement of Financial Accounting Standards No. 144, Accounting for the Impairment or Disposal of Long-Lived Asset ("SFAS No. 144"), which supersedes Statement of Financial Accounting Standards No. 121. SFAS No. 144 establishes a single accounting method for long-lived assets to be disposed of by sale, whether previously held and used or newly</w:t>
      </w:r>
    </w:p>
    <w:p>
      <w:pPr>
        <w:spacing w:after="0" w:line="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142" w:right="1440" w:bottom="1440" w:gutter="0" w:footer="0" w:header="0"/>
        </w:sectPr>
      </w:pPr>
    </w:p>
    <w:bookmarkStart w:id="60" w:name="page61"/>
    <w:bookmarkEnd w:id="60"/>
    <w:p>
      <w:pPr>
        <w:ind w:right="1779"/>
        <w:spacing w:after="0" w:line="269" w:lineRule="auto"/>
        <w:rPr>
          <w:sz w:val="20"/>
          <w:szCs w:val="20"/>
          <w:color w:val="auto"/>
        </w:rPr>
      </w:pPr>
      <w:r>
        <w:rPr>
          <w:rFonts w:ascii="Courier New" w:cs="Courier New" w:eastAsia="Courier New" w:hAnsi="Courier New"/>
          <w:sz w:val="16"/>
          <w:szCs w:val="16"/>
          <w:color w:val="auto"/>
        </w:rPr>
        <w:t>acquired, and extends the presentation of discontinued operations to include more divestiture transactions. SFAS No. 144 also requires that an impairment loss be recognized for assets held-for-use when the carrying amount of an asset, or group of assets if the cash flows from those assets cannot be independently and separately identified, is not recoverable. The carrying amount of an asset or asset group is not recoverable if it exceeds the sum of the undiscounted cash flows expected to result from the use and eventual disposition of the asset or asset group, excluding interest charges. Estimates of future cash flows used to test the recoverability of a long-lived asset or asset group must incorporate the entity's own assumptions about its use of the asset or asset group and must factor in all available evidence. We adopted SFAS No. 144 on January 1, 2002. Upon initial application of SFAS No. 144, certain previously held-for-sale assets did not meet SFAS No. 144 criteria to be held-for-sale because their anticipated sale is in 2003. However, under the transition provisions of SFAS No. 144, we have until December 31, 2002 to either sell these assets or meet the new held-for-sale criteria to avoid reclassifying the assets to held-for-use.</w:t>
      </w:r>
    </w:p>
    <w:p>
      <w:pPr>
        <w:spacing w:after="0" w:line="39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SFAS NO. 145</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April 2002, the Financial Accounting Standards Board issued Statement of Financial Accounting Standards No. 145, Rescission of FASB Statements No. 4, 44, and 64, Amendment of FASB Statement No. 13, and Technical Corrections ("SFAS No. 145"). SFAS No. 145 requires that gains and losses from extinguishment of debt be classified as extraordinary items only if they meet the criteria in Accounting Principles Board Opinion No. 30 ("Opinion No. 30"). Applying the provisions of Opinion No. 30 will distinguish transactions that are part of an entity's recurring operations from those that are unusual and infrequent and meet the criteria for classification as an extraordinary item. SFAS No. 145 is effective for us beginning January 1, 2003. Upon the adoption of SFAS No. 145, we will reclassify certain items in our prior period statements of operations to conform to the presentation required by SFAS No. 145. Under SFAS No. 145, we will report gains and losses on the extinguishment of debt in pre-tax earnings rather than in extraordinary items.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SFAS NO. 146</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July 2002, the Financial Accounting Standards Board issued Statement of Financial Accounting Standards No. 146, Accounting for Costs Associated with Exit or Disposal Activities ("SFAS No. 146"). SFAS No. 146 addresses financial accounting and reporting for costs associated with exit or disposal activities, such as restructurings, involuntarily terminating employees, and consolidating facilities initiated after December 31, 2002. The implementation of SFAS No. 146 will not require the restatement of previously issued financial statements. Implementation of the pronouncement will therefore have no impact on our current year financial statements. See Note 3 to the condensed consolidated financial statements for discussion on the restructuring we initiated in March 2002.</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CONTROLS AND PROCEDURES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Within the 90 days prior to the date of this Form 10-Q, an evaluation was performed under the supervision and with the participation of our management, including the Chief Executive Officer, Chief Administrative Officer and Chief Accounting Officer, of the effectiveness of the design and operation of our disclosure controls and procedures. Based on that evaluation, our management, including the Chief Executive Officer, Chief Administrative Officer and Chief Accounting Officer, concluded that our disclosure controls and procedures were effective. There have been no significant changes in our internal controls and procedures or in other factors that could significantly affect internal controls subsequent to the date the Company carried out its evaluation.</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23" w:right="1440" w:bottom="1440" w:gutter="0" w:footer="0" w:header="0"/>
        </w:sectPr>
      </w:pPr>
    </w:p>
    <w:bookmarkStart w:id="61" w:name="page62"/>
    <w:bookmarkEnd w:id="61"/>
    <w:p>
      <w:pPr>
        <w:ind w:left="38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LEGAL PROCEEDINGS.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Information regarding our legal proceedings can be found under the "Litigation" section of Note 8, Commitments and Contingencies, to the condensed consolidated financial statements.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SUBMISSION OF MATTERS TO A VOTE OF SECURITY HOLDERS.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OTHER INFORMATION.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EXHIBITS AND REPORTS ON FORM 8-K.</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Exhibits:</w:t>
      </w:r>
    </w:p>
    <w:p>
      <w:pPr>
        <w:spacing w:after="0" w:line="201"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EXHIBIT</w:t>
      </w:r>
    </w:p>
    <w:p>
      <w:pPr>
        <w:jc w:val="center"/>
        <w:ind w:right="9059"/>
        <w:spacing w:after="0" w:line="238" w:lineRule="auto"/>
        <w:rPr>
          <w:sz w:val="20"/>
          <w:szCs w:val="20"/>
          <w:color w:val="auto"/>
        </w:rPr>
      </w:pPr>
      <w:r>
        <w:rPr>
          <w:rFonts w:ascii="Courier New" w:cs="Courier New" w:eastAsia="Courier New" w:hAnsi="Courier New"/>
          <w:sz w:val="18"/>
          <w:szCs w:val="18"/>
          <w:color w:val="auto"/>
        </w:rPr>
        <w:t>NO.</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DESCRIPTION</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t>
      </w:r>
    </w:p>
    <w:p>
      <w:pPr>
        <w:ind w:left="260" w:hanging="205"/>
        <w:spacing w:after="0" w:line="238" w:lineRule="auto"/>
        <w:tabs>
          <w:tab w:leader="none" w:pos="26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20" w:hanging="412"/>
        <w:spacing w:after="0" w:line="238" w:lineRule="auto"/>
        <w:tabs>
          <w:tab w:leader="none" w:pos="520" w:val="left"/>
        </w:tabs>
        <w:numPr>
          <w:ilvl w:val="1"/>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12 --</w:t>
      </w:r>
    </w:p>
    <w:p>
      <w:pPr>
        <w:spacing w:after="0" w:line="4" w:lineRule="exact"/>
        <w:rPr>
          <w:rFonts w:ascii="Courier New" w:cs="Courier New" w:eastAsia="Courier New" w:hAnsi="Courier New"/>
          <w:sz w:val="18"/>
          <w:szCs w:val="18"/>
          <w:color w:val="auto"/>
        </w:rPr>
      </w:pPr>
    </w:p>
    <w:p>
      <w:pPr>
        <w:jc w:val="center"/>
        <w:ind w:left="160" w:right="9059" w:hanging="153"/>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Computation of Ratio of Earnings to Fixed Charges.</w:t>
      </w:r>
    </w:p>
    <w:p>
      <w:pPr>
        <w:spacing w:after="0" w:line="3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Reports on Form 8-K: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August 13, 2002, the Company filed a Current Report on Form 8-K, to state that the Company submitted to the Securities and Exchange Commission the Statements under Oath of Principal Executive Officer and Principal Financial Officer in accordance with the Commission's June 27, 2002 Order (File No. 4-460) requiring the filing of sworn statements pursuant to Section 21(a)(1) of the Securities and Exchange Act of 1934, as amended.</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717" w:right="1440" w:bottom="1440" w:gutter="0" w:footer="0" w:header="0"/>
        </w:sectPr>
      </w:pPr>
    </w:p>
    <w:bookmarkStart w:id="62" w:name="page63"/>
    <w:bookmarkEnd w:id="62"/>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WILLIAM L. TRUBECK</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1660"/>
        <w:spacing w:after="0"/>
        <w:rPr>
          <w:sz w:val="20"/>
          <w:szCs w:val="20"/>
          <w:color w:val="auto"/>
        </w:rPr>
      </w:pPr>
      <w:r>
        <w:rPr>
          <w:rFonts w:ascii="Courier New" w:cs="Courier New" w:eastAsia="Courier New" w:hAnsi="Courier New"/>
          <w:sz w:val="18"/>
          <w:szCs w:val="18"/>
          <w:color w:val="auto"/>
        </w:rPr>
        <w:t>William L. Trubeck</w:t>
      </w:r>
    </w:p>
    <w:p>
      <w:pPr>
        <w:jc w:val="center"/>
        <w:ind w:left="1660"/>
        <w:spacing w:after="0" w:line="238" w:lineRule="auto"/>
        <w:rPr>
          <w:sz w:val="20"/>
          <w:szCs w:val="20"/>
          <w:color w:val="auto"/>
        </w:rPr>
      </w:pPr>
      <w:r>
        <w:rPr>
          <w:rFonts w:ascii="Courier New" w:cs="Courier New" w:eastAsia="Courier New" w:hAnsi="Courier New"/>
          <w:sz w:val="18"/>
          <w:szCs w:val="18"/>
          <w:color w:val="auto"/>
        </w:rPr>
        <w:t>Executive Vice President and</w:t>
      </w:r>
    </w:p>
    <w:p>
      <w:pPr>
        <w:jc w:val="center"/>
        <w:ind w:left="1660"/>
        <w:spacing w:after="0"/>
        <w:rPr>
          <w:sz w:val="20"/>
          <w:szCs w:val="20"/>
          <w:color w:val="auto"/>
        </w:rPr>
      </w:pPr>
      <w:r>
        <w:rPr>
          <w:rFonts w:ascii="Courier New" w:cs="Courier New" w:eastAsia="Courier New" w:hAnsi="Courier New"/>
          <w:sz w:val="18"/>
          <w:szCs w:val="18"/>
          <w:color w:val="auto"/>
        </w:rPr>
        <w:t>Chief Administrative Officer</w:t>
      </w:r>
    </w:p>
    <w:p>
      <w:pPr>
        <w:jc w:val="center"/>
        <w:ind w:left="1560"/>
        <w:spacing w:after="0" w:line="237" w:lineRule="auto"/>
        <w:rPr>
          <w:sz w:val="20"/>
          <w:szCs w:val="20"/>
          <w:color w:val="auto"/>
        </w:rPr>
      </w:pPr>
      <w:r>
        <w:rPr>
          <w:rFonts w:ascii="Courier New" w:cs="Courier New" w:eastAsia="Courier New" w:hAnsi="Courier New"/>
          <w:sz w:val="18"/>
          <w:szCs w:val="18"/>
          <w:color w:val="auto"/>
        </w:rPr>
        <w:t>(Principal Financial Officer)</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44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ROBERT G. SIMPSON</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Robert G. Simpson</w:t>
      </w:r>
    </w:p>
    <w:p>
      <w:pPr>
        <w:ind w:left="5600"/>
        <w:spacing w:after="0" w:line="238" w:lineRule="auto"/>
        <w:rPr>
          <w:sz w:val="20"/>
          <w:szCs w:val="20"/>
          <w:color w:val="auto"/>
        </w:rPr>
      </w:pPr>
      <w:r>
        <w:rPr>
          <w:rFonts w:ascii="Courier New" w:cs="Courier New" w:eastAsia="Courier New" w:hAnsi="Courier New"/>
          <w:sz w:val="18"/>
          <w:szCs w:val="18"/>
          <w:color w:val="auto"/>
        </w:rPr>
        <w:t>Vice President and</w:t>
      </w:r>
    </w:p>
    <w:p>
      <w:pPr>
        <w:ind w:left="5280"/>
        <w:spacing w:after="0"/>
        <w:rPr>
          <w:sz w:val="20"/>
          <w:szCs w:val="20"/>
          <w:color w:val="auto"/>
        </w:rPr>
      </w:pPr>
      <w:r>
        <w:rPr>
          <w:rFonts w:ascii="Courier New" w:cs="Courier New" w:eastAsia="Courier New" w:hAnsi="Courier New"/>
          <w:sz w:val="18"/>
          <w:szCs w:val="18"/>
          <w:color w:val="auto"/>
        </w:rPr>
        <w:t>Chief Accounting Officer</w:t>
      </w:r>
    </w:p>
    <w:p>
      <w:pPr>
        <w:ind w:left="4960"/>
        <w:spacing w:after="0" w:line="237" w:lineRule="auto"/>
        <w:rPr>
          <w:sz w:val="20"/>
          <w:szCs w:val="20"/>
          <w:color w:val="auto"/>
        </w:rPr>
      </w:pPr>
      <w:r>
        <w:rPr>
          <w:rFonts w:ascii="Courier New" w:cs="Courier New" w:eastAsia="Courier New" w:hAnsi="Courier New"/>
          <w:sz w:val="18"/>
          <w:szCs w:val="18"/>
          <w:color w:val="auto"/>
        </w:rPr>
        <w:t>(Principal Accounting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November 1, 2002</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17" w:right="1440" w:bottom="1440" w:gutter="0" w:footer="0" w:header="0"/>
        </w:sectPr>
      </w:pPr>
    </w:p>
    <w:bookmarkStart w:id="63" w:name="page64"/>
    <w:bookmarkEnd w:id="63"/>
    <w:p>
      <w:pPr>
        <w:ind w:left="3480"/>
        <w:spacing w:after="0"/>
        <w:rPr>
          <w:sz w:val="20"/>
          <w:szCs w:val="20"/>
          <w:color w:val="auto"/>
        </w:rPr>
      </w:pPr>
      <w:r>
        <w:rPr>
          <w:rFonts w:ascii="Courier New" w:cs="Courier New" w:eastAsia="Courier New" w:hAnsi="Courier New"/>
          <w:sz w:val="18"/>
          <w:szCs w:val="18"/>
          <w:color w:val="auto"/>
        </w:rPr>
        <w:t>CERTIFICATIONS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 A. Maurice Myers, certify that:</w:t>
      </w:r>
    </w:p>
    <w:p>
      <w:pPr>
        <w:spacing w:after="0" w:line="207" w:lineRule="exact"/>
        <w:rPr>
          <w:sz w:val="20"/>
          <w:szCs w:val="20"/>
          <w:color w:val="auto"/>
        </w:rPr>
      </w:pPr>
    </w:p>
    <w:p>
      <w:pPr>
        <w:ind w:left="540" w:right="2619" w:firstLine="521"/>
        <w:spacing w:after="0" w:line="235" w:lineRule="auto"/>
        <w:tabs>
          <w:tab w:leader="none" w:pos="1383"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Waste Management, Inc.;</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383"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3" w:lineRule="exact"/>
        <w:rPr>
          <w:rFonts w:ascii="Courier New" w:cs="Courier New" w:eastAsia="Courier New" w:hAnsi="Courier New"/>
          <w:sz w:val="18"/>
          <w:szCs w:val="18"/>
          <w:color w:val="auto"/>
        </w:rPr>
      </w:pPr>
    </w:p>
    <w:p>
      <w:pPr>
        <w:ind w:left="1380" w:hanging="319"/>
        <w:spacing w:after="0"/>
        <w:tabs>
          <w:tab w:leader="none" w:pos="138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w:t>
      </w:r>
    </w:p>
    <w:p>
      <w:pPr>
        <w:spacing w:after="0" w:line="4" w:lineRule="exact"/>
        <w:rPr>
          <w:rFonts w:ascii="Courier New" w:cs="Courier New" w:eastAsia="Courier New" w:hAnsi="Courier New"/>
          <w:sz w:val="18"/>
          <w:szCs w:val="18"/>
          <w:color w:val="auto"/>
        </w:rPr>
      </w:pPr>
    </w:p>
    <w:p>
      <w:pPr>
        <w:ind w:left="54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information included in this quarterly report, fairly present in all material respects the financial condition, results of operations and cash flows of the registrant as of, and for, the periods presented in this quarterly report;</w:t>
      </w:r>
    </w:p>
    <w:p>
      <w:pPr>
        <w:spacing w:after="0" w:line="207" w:lineRule="exact"/>
        <w:rPr>
          <w:rFonts w:ascii="Courier New" w:cs="Courier New" w:eastAsia="Courier New" w:hAnsi="Courier New"/>
          <w:sz w:val="18"/>
          <w:szCs w:val="18"/>
          <w:color w:val="auto"/>
        </w:rPr>
      </w:pPr>
    </w:p>
    <w:p>
      <w:pPr>
        <w:ind w:left="540" w:right="1999" w:firstLine="521"/>
        <w:spacing w:after="0" w:line="237" w:lineRule="auto"/>
        <w:tabs>
          <w:tab w:leader="none" w:pos="1383"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 -- 14 and 15d -- 14) for the registrant and have:</w:t>
      </w:r>
    </w:p>
    <w:p>
      <w:pPr>
        <w:spacing w:after="0" w:line="207" w:lineRule="exact"/>
        <w:rPr>
          <w:rFonts w:ascii="Courier New" w:cs="Courier New" w:eastAsia="Courier New" w:hAnsi="Courier New"/>
          <w:sz w:val="18"/>
          <w:szCs w:val="18"/>
          <w:color w:val="auto"/>
        </w:rPr>
      </w:pPr>
    </w:p>
    <w:p>
      <w:pPr>
        <w:ind w:left="860" w:right="1879" w:firstLine="517"/>
        <w:spacing w:after="0" w:line="237" w:lineRule="auto"/>
        <w:tabs>
          <w:tab w:leader="none" w:pos="1703"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208" w:lineRule="exact"/>
        <w:rPr>
          <w:rFonts w:ascii="Courier New" w:cs="Courier New" w:eastAsia="Courier New" w:hAnsi="Courier New"/>
          <w:sz w:val="18"/>
          <w:szCs w:val="18"/>
          <w:color w:val="auto"/>
        </w:rPr>
      </w:pPr>
    </w:p>
    <w:p>
      <w:pPr>
        <w:ind w:left="860" w:right="1879" w:firstLine="517"/>
        <w:spacing w:after="0" w:line="236" w:lineRule="auto"/>
        <w:tabs>
          <w:tab w:leader="none" w:pos="1703"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as of a date within 90 days prior to the filing date of this quarterly report (the "Evaluation Date"); and</w:t>
      </w:r>
    </w:p>
    <w:p>
      <w:pPr>
        <w:spacing w:after="0" w:line="208" w:lineRule="exact"/>
        <w:rPr>
          <w:rFonts w:ascii="Courier New" w:cs="Courier New" w:eastAsia="Courier New" w:hAnsi="Courier New"/>
          <w:sz w:val="18"/>
          <w:szCs w:val="18"/>
          <w:color w:val="auto"/>
        </w:rPr>
      </w:pPr>
    </w:p>
    <w:p>
      <w:pPr>
        <w:jc w:val="both"/>
        <w:ind w:left="860" w:right="2199" w:firstLine="517"/>
        <w:spacing w:after="0" w:line="236" w:lineRule="auto"/>
        <w:tabs>
          <w:tab w:leader="none" w:pos="1703"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presented in this quarterly report our conclusions about the effectiveness of the disclosure controls and procedures based on our evaluation as of the Evaluation Date;</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383"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207" w:lineRule="exact"/>
        <w:rPr>
          <w:rFonts w:ascii="Courier New" w:cs="Courier New" w:eastAsia="Courier New" w:hAnsi="Courier New"/>
          <w:sz w:val="18"/>
          <w:szCs w:val="18"/>
          <w:color w:val="auto"/>
        </w:rPr>
      </w:pPr>
    </w:p>
    <w:p>
      <w:pPr>
        <w:ind w:left="860" w:right="1879" w:firstLine="517"/>
        <w:spacing w:after="0" w:line="237" w:lineRule="auto"/>
        <w:tabs>
          <w:tab w:leader="none" w:pos="1703"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208" w:lineRule="exact"/>
        <w:rPr>
          <w:rFonts w:ascii="Courier New" w:cs="Courier New" w:eastAsia="Courier New" w:hAnsi="Courier New"/>
          <w:sz w:val="18"/>
          <w:szCs w:val="18"/>
          <w:color w:val="auto"/>
        </w:rPr>
      </w:pPr>
    </w:p>
    <w:p>
      <w:pPr>
        <w:ind w:left="860" w:right="1779" w:firstLine="517"/>
        <w:spacing w:after="0" w:line="236" w:lineRule="auto"/>
        <w:tabs>
          <w:tab w:leader="none" w:pos="1703"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controls; and</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383"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indicated in this quarterly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4" w:lineRule="exact"/>
        <w:rPr>
          <w:sz w:val="20"/>
          <w:szCs w:val="20"/>
          <w:color w:val="auto"/>
        </w:rPr>
      </w:pPr>
    </w:p>
    <w:p>
      <w:pPr>
        <w:ind w:left="44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A. MAURICE MYERS</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A. Maurice Myers</w:t>
      </w:r>
    </w:p>
    <w:p>
      <w:pPr>
        <w:ind w:left="4960"/>
        <w:spacing w:after="0" w:line="238" w:lineRule="auto"/>
        <w:rPr>
          <w:sz w:val="20"/>
          <w:szCs w:val="20"/>
          <w:color w:val="auto"/>
        </w:rPr>
      </w:pPr>
      <w:r>
        <w:rPr>
          <w:rFonts w:ascii="Courier New" w:cs="Courier New" w:eastAsia="Courier New" w:hAnsi="Courier New"/>
          <w:sz w:val="18"/>
          <w:szCs w:val="18"/>
          <w:color w:val="auto"/>
        </w:rPr>
        <w:t>President and Chief Executive</w:t>
      </w:r>
    </w:p>
    <w:p>
      <w:pPr>
        <w:ind w:left="622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November 1, 2002</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717" w:right="1440" w:bottom="1440" w:gutter="0" w:footer="0" w:header="0"/>
        </w:sectPr>
      </w:pPr>
    </w:p>
    <w:bookmarkStart w:id="64" w:name="page65"/>
    <w:bookmarkEnd w:id="64"/>
    <w:p>
      <w:pPr>
        <w:ind w:left="540"/>
        <w:spacing w:after="0"/>
        <w:rPr>
          <w:sz w:val="20"/>
          <w:szCs w:val="20"/>
          <w:color w:val="auto"/>
        </w:rPr>
      </w:pPr>
      <w:r>
        <w:rPr>
          <w:rFonts w:ascii="Courier New" w:cs="Courier New" w:eastAsia="Courier New" w:hAnsi="Courier New"/>
          <w:sz w:val="18"/>
          <w:szCs w:val="18"/>
          <w:color w:val="auto"/>
        </w:rPr>
        <w:t>I, William L. Trubeck, certify that:</w:t>
      </w:r>
    </w:p>
    <w:p>
      <w:pPr>
        <w:spacing w:after="0" w:line="207" w:lineRule="exact"/>
        <w:rPr>
          <w:sz w:val="20"/>
          <w:szCs w:val="20"/>
          <w:color w:val="auto"/>
        </w:rPr>
      </w:pPr>
    </w:p>
    <w:p>
      <w:pPr>
        <w:ind w:left="540" w:right="2619" w:firstLine="521"/>
        <w:spacing w:after="0" w:line="235" w:lineRule="auto"/>
        <w:tabs>
          <w:tab w:leader="none" w:pos="1383"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Waste Management, Inc.;</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383"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3" w:lineRule="exact"/>
        <w:rPr>
          <w:rFonts w:ascii="Courier New" w:cs="Courier New" w:eastAsia="Courier New" w:hAnsi="Courier New"/>
          <w:sz w:val="18"/>
          <w:szCs w:val="18"/>
          <w:color w:val="auto"/>
        </w:rPr>
      </w:pPr>
    </w:p>
    <w:p>
      <w:pPr>
        <w:ind w:left="1380" w:hanging="319"/>
        <w:spacing w:after="0"/>
        <w:tabs>
          <w:tab w:leader="none" w:pos="138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w:t>
      </w:r>
    </w:p>
    <w:p>
      <w:pPr>
        <w:spacing w:after="0" w:line="4" w:lineRule="exact"/>
        <w:rPr>
          <w:rFonts w:ascii="Courier New" w:cs="Courier New" w:eastAsia="Courier New" w:hAnsi="Courier New"/>
          <w:sz w:val="18"/>
          <w:szCs w:val="18"/>
          <w:color w:val="auto"/>
        </w:rPr>
      </w:pPr>
    </w:p>
    <w:p>
      <w:pPr>
        <w:ind w:left="54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information included in this quarterly report, fairly present in all material respects the financial condition, results of operations and cash flows of the registrant as of, and for, the periods presented in this quarterly report;</w:t>
      </w:r>
    </w:p>
    <w:p>
      <w:pPr>
        <w:spacing w:after="0" w:line="207" w:lineRule="exact"/>
        <w:rPr>
          <w:rFonts w:ascii="Courier New" w:cs="Courier New" w:eastAsia="Courier New" w:hAnsi="Courier New"/>
          <w:sz w:val="18"/>
          <w:szCs w:val="18"/>
          <w:color w:val="auto"/>
        </w:rPr>
      </w:pPr>
    </w:p>
    <w:p>
      <w:pPr>
        <w:ind w:left="540" w:right="1999" w:firstLine="521"/>
        <w:spacing w:after="0" w:line="237" w:lineRule="auto"/>
        <w:tabs>
          <w:tab w:leader="none" w:pos="1383"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 -- 14 and 15d -- 14) for the registrant and have:</w:t>
      </w:r>
    </w:p>
    <w:p>
      <w:pPr>
        <w:spacing w:after="0" w:line="207" w:lineRule="exact"/>
        <w:rPr>
          <w:rFonts w:ascii="Courier New" w:cs="Courier New" w:eastAsia="Courier New" w:hAnsi="Courier New"/>
          <w:sz w:val="18"/>
          <w:szCs w:val="18"/>
          <w:color w:val="auto"/>
        </w:rPr>
      </w:pPr>
    </w:p>
    <w:p>
      <w:pPr>
        <w:ind w:left="860" w:right="1879" w:firstLine="517"/>
        <w:spacing w:after="0" w:line="237" w:lineRule="auto"/>
        <w:tabs>
          <w:tab w:leader="none" w:pos="1703"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208" w:lineRule="exact"/>
        <w:rPr>
          <w:rFonts w:ascii="Courier New" w:cs="Courier New" w:eastAsia="Courier New" w:hAnsi="Courier New"/>
          <w:sz w:val="18"/>
          <w:szCs w:val="18"/>
          <w:color w:val="auto"/>
        </w:rPr>
      </w:pPr>
    </w:p>
    <w:p>
      <w:pPr>
        <w:ind w:left="860" w:right="1879" w:firstLine="517"/>
        <w:spacing w:after="0" w:line="236" w:lineRule="auto"/>
        <w:tabs>
          <w:tab w:leader="none" w:pos="1703"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as of a date within 90 days prior to the filing date of this quarterly report (the "Evaluation Date"); and</w:t>
      </w:r>
    </w:p>
    <w:p>
      <w:pPr>
        <w:spacing w:after="0" w:line="208" w:lineRule="exact"/>
        <w:rPr>
          <w:rFonts w:ascii="Courier New" w:cs="Courier New" w:eastAsia="Courier New" w:hAnsi="Courier New"/>
          <w:sz w:val="18"/>
          <w:szCs w:val="18"/>
          <w:color w:val="auto"/>
        </w:rPr>
      </w:pPr>
    </w:p>
    <w:p>
      <w:pPr>
        <w:jc w:val="both"/>
        <w:ind w:left="860" w:right="2199" w:firstLine="517"/>
        <w:spacing w:after="0" w:line="236" w:lineRule="auto"/>
        <w:tabs>
          <w:tab w:leader="none" w:pos="1703"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presented in this quarterly report our conclusions about the effectiveness of the disclosure controls and procedures based on our evaluation as of the Evaluation Date;</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383"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207" w:lineRule="exact"/>
        <w:rPr>
          <w:rFonts w:ascii="Courier New" w:cs="Courier New" w:eastAsia="Courier New" w:hAnsi="Courier New"/>
          <w:sz w:val="18"/>
          <w:szCs w:val="18"/>
          <w:color w:val="auto"/>
        </w:rPr>
      </w:pPr>
    </w:p>
    <w:p>
      <w:pPr>
        <w:ind w:left="860" w:right="1879" w:firstLine="517"/>
        <w:spacing w:after="0" w:line="237" w:lineRule="auto"/>
        <w:tabs>
          <w:tab w:leader="none" w:pos="1703"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208" w:lineRule="exact"/>
        <w:rPr>
          <w:rFonts w:ascii="Courier New" w:cs="Courier New" w:eastAsia="Courier New" w:hAnsi="Courier New"/>
          <w:sz w:val="18"/>
          <w:szCs w:val="18"/>
          <w:color w:val="auto"/>
        </w:rPr>
      </w:pPr>
    </w:p>
    <w:p>
      <w:pPr>
        <w:ind w:left="860" w:right="1779" w:firstLine="517"/>
        <w:spacing w:after="0" w:line="236" w:lineRule="auto"/>
        <w:tabs>
          <w:tab w:leader="none" w:pos="1703"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controls; and</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383"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indicated in this quarterly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4" w:lineRule="exact"/>
        <w:rPr>
          <w:sz w:val="20"/>
          <w:szCs w:val="20"/>
          <w:color w:val="auto"/>
        </w:rPr>
      </w:pP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WILLIAM L. TRUBECK</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1660"/>
        <w:spacing w:after="0"/>
        <w:rPr>
          <w:sz w:val="20"/>
          <w:szCs w:val="20"/>
          <w:color w:val="auto"/>
        </w:rPr>
      </w:pPr>
      <w:r>
        <w:rPr>
          <w:rFonts w:ascii="Courier New" w:cs="Courier New" w:eastAsia="Courier New" w:hAnsi="Courier New"/>
          <w:sz w:val="18"/>
          <w:szCs w:val="18"/>
          <w:color w:val="auto"/>
        </w:rPr>
        <w:t>William L. Trubeck</w:t>
      </w:r>
    </w:p>
    <w:p>
      <w:pPr>
        <w:jc w:val="center"/>
        <w:ind w:left="1660"/>
        <w:spacing w:after="0" w:line="238" w:lineRule="auto"/>
        <w:rPr>
          <w:sz w:val="20"/>
          <w:szCs w:val="20"/>
          <w:color w:val="auto"/>
        </w:rPr>
      </w:pPr>
      <w:r>
        <w:rPr>
          <w:rFonts w:ascii="Courier New" w:cs="Courier New" w:eastAsia="Courier New" w:hAnsi="Courier New"/>
          <w:sz w:val="18"/>
          <w:szCs w:val="18"/>
          <w:color w:val="auto"/>
        </w:rPr>
        <w:t>Executive Vice President and</w:t>
      </w:r>
    </w:p>
    <w:p>
      <w:pPr>
        <w:jc w:val="center"/>
        <w:ind w:left="1660"/>
        <w:spacing w:after="0"/>
        <w:rPr>
          <w:sz w:val="20"/>
          <w:szCs w:val="20"/>
          <w:color w:val="auto"/>
        </w:rPr>
      </w:pPr>
      <w:r>
        <w:rPr>
          <w:rFonts w:ascii="Courier New" w:cs="Courier New" w:eastAsia="Courier New" w:hAnsi="Courier New"/>
          <w:sz w:val="18"/>
          <w:szCs w:val="18"/>
          <w:color w:val="auto"/>
        </w:rPr>
        <w:t>Chief Administrative Officer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November 1, 2002</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717" w:right="1440" w:bottom="1440" w:gutter="0" w:footer="0" w:header="0"/>
        </w:sectPr>
      </w:pPr>
    </w:p>
    <w:bookmarkStart w:id="65" w:name="page66"/>
    <w:bookmarkEnd w:id="65"/>
    <w:p>
      <w:pPr>
        <w:jc w:val="center"/>
        <w:ind w:right="9059"/>
        <w:spacing w:after="0"/>
        <w:rPr>
          <w:sz w:val="20"/>
          <w:szCs w:val="20"/>
          <w:color w:val="auto"/>
        </w:rPr>
      </w:pPr>
      <w:r>
        <w:rPr>
          <w:rFonts w:ascii="Courier New" w:cs="Courier New" w:eastAsia="Courier New" w:hAnsi="Courier New"/>
          <w:sz w:val="18"/>
          <w:szCs w:val="18"/>
          <w:color w:val="auto"/>
        </w:rPr>
        <w:t>EXHIBIT</w:t>
      </w:r>
    </w:p>
    <w:p>
      <w:pPr>
        <w:jc w:val="center"/>
        <w:ind w:right="9059"/>
        <w:spacing w:after="0" w:line="238" w:lineRule="auto"/>
        <w:rPr>
          <w:sz w:val="20"/>
          <w:szCs w:val="20"/>
          <w:color w:val="auto"/>
        </w:rPr>
      </w:pPr>
      <w:r>
        <w:rPr>
          <w:rFonts w:ascii="Courier New" w:cs="Courier New" w:eastAsia="Courier New" w:hAnsi="Courier New"/>
          <w:sz w:val="18"/>
          <w:szCs w:val="18"/>
          <w:color w:val="auto"/>
        </w:rPr>
        <w:t>NO.</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DESCRIPTION</w:t>
      </w:r>
    </w:p>
    <w:p>
      <w:pPr>
        <w:spacing w:after="0" w:line="16" w:lineRule="exact"/>
        <w:rPr>
          <w:sz w:val="20"/>
          <w:szCs w:val="20"/>
          <w:color w:val="auto"/>
        </w:rPr>
      </w:pPr>
    </w:p>
    <w:p>
      <w:pPr>
        <w:ind w:left="260" w:hanging="205"/>
        <w:spacing w:after="0"/>
        <w:tabs>
          <w:tab w:leader="none" w:pos="26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----- 12 -</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160" w:right="9059" w:hanging="153"/>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Computation of Ratio of Earnings to Fixed Charges.</w:t>
      </w:r>
    </w:p>
    <w:p>
      <w:pPr>
        <w:sectPr>
          <w:pgSz w:w="11900" w:h="16838" w:orient="portrait"/>
          <w:cols w:equalWidth="0" w:num="1">
            <w:col w:w="10219"/>
          </w:cols>
          <w:pgMar w:left="240" w:top="717" w:right="1440" w:bottom="1440" w:gutter="0" w:footer="0" w:header="0"/>
        </w:sectPr>
      </w:pPr>
    </w:p>
    <w:bookmarkStart w:id="66" w:name="page67"/>
    <w:bookmarkEnd w:id="66"/>
    <w:p>
      <w:pPr>
        <w:jc w:val="right"/>
        <w:ind w:right="1779"/>
        <w:spacing w:after="0"/>
        <w:rPr>
          <w:sz w:val="20"/>
          <w:szCs w:val="20"/>
          <w:color w:val="auto"/>
        </w:rPr>
      </w:pPr>
      <w:r>
        <w:rPr>
          <w:rFonts w:ascii="Courier New" w:cs="Courier New" w:eastAsia="Courier New" w:hAnsi="Courier New"/>
          <w:sz w:val="18"/>
          <w:szCs w:val="18"/>
          <w:color w:val="auto"/>
        </w:rPr>
        <w:t>EXHIBIT 12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COMPUTATION OF RATIO OF EARNINGS TO FIXED CHARGES</w:t>
      </w:r>
    </w:p>
    <w:p>
      <w:pPr>
        <w:ind w:left="2740"/>
        <w:spacing w:after="0"/>
        <w:rPr>
          <w:sz w:val="20"/>
          <w:szCs w:val="20"/>
          <w:color w:val="auto"/>
        </w:rPr>
      </w:pPr>
      <w:r>
        <w:rPr>
          <w:rFonts w:ascii="Courier New" w:cs="Courier New" w:eastAsia="Courier New" w:hAnsi="Courier New"/>
          <w:sz w:val="18"/>
          <w:szCs w:val="18"/>
          <w:color w:val="auto"/>
        </w:rPr>
        <w:t>(IN MILLIONS, EXCEPT RATIOS)</w:t>
      </w:r>
    </w:p>
    <w:p>
      <w:pPr>
        <w:ind w:left="3580"/>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NINE MONTHS ENDED SEPTEMBER 30, ----------------- 2002</w:t>
      </w:r>
    </w:p>
    <w:p>
      <w:pPr>
        <w:ind w:left="640"/>
        <w:spacing w:after="0" w:line="238" w:lineRule="auto"/>
        <w:rPr>
          <w:sz w:val="20"/>
          <w:szCs w:val="20"/>
          <w:color w:val="auto"/>
        </w:rPr>
      </w:pPr>
      <w:r>
        <w:rPr>
          <w:rFonts w:ascii="Courier New" w:cs="Courier New" w:eastAsia="Courier New" w:hAnsi="Courier New"/>
          <w:sz w:val="18"/>
          <w:szCs w:val="18"/>
          <w:color w:val="auto"/>
        </w:rPr>
        <w:t>2001 ------- ----- Income before income taxes,</w:t>
      </w:r>
    </w:p>
    <w:p>
      <w:pPr>
        <w:spacing w:after="0" w:line="5" w:lineRule="exact"/>
        <w:rPr>
          <w:sz w:val="20"/>
          <w:szCs w:val="20"/>
          <w:color w:val="auto"/>
        </w:rPr>
      </w:pPr>
    </w:p>
    <w:p>
      <w:pPr>
        <w:jc w:val="center"/>
        <w:ind w:right="4099"/>
        <w:spacing w:after="0" w:line="236" w:lineRule="auto"/>
        <w:rPr>
          <w:sz w:val="20"/>
          <w:szCs w:val="20"/>
          <w:color w:val="auto"/>
        </w:rPr>
      </w:pPr>
      <w:r>
        <w:rPr>
          <w:rFonts w:ascii="Courier New" w:cs="Courier New" w:eastAsia="Courier New" w:hAnsi="Courier New"/>
          <w:sz w:val="18"/>
          <w:szCs w:val="18"/>
          <w:color w:val="auto"/>
        </w:rPr>
        <w:t>extraordinary items, cumulative effect of changes in accounting principle, undistributed earnings from equity method investees and minority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interests.................................................</w:t>
      </w:r>
    </w:p>
    <w:p>
      <w:pPr>
        <w:ind w:left="420"/>
        <w:spacing w:after="0" w:line="238" w:lineRule="auto"/>
        <w:rPr>
          <w:sz w:val="20"/>
          <w:szCs w:val="20"/>
          <w:color w:val="auto"/>
        </w:rPr>
      </w:pPr>
      <w:r>
        <w:rPr>
          <w:rFonts w:ascii="Courier New" w:cs="Courier New" w:eastAsia="Courier New" w:hAnsi="Courier New"/>
          <w:sz w:val="18"/>
          <w:szCs w:val="18"/>
          <w:color w:val="auto"/>
        </w:rPr>
        <w:t>$ 929 $518 ------ ---- Fixed charges deducted from</w:t>
      </w:r>
    </w:p>
    <w:p>
      <w:pPr>
        <w:ind w:left="2220"/>
        <w:spacing w:after="0"/>
        <w:rPr>
          <w:sz w:val="20"/>
          <w:szCs w:val="20"/>
          <w:color w:val="auto"/>
        </w:rPr>
      </w:pPr>
      <w:r>
        <w:rPr>
          <w:rFonts w:ascii="Courier New" w:cs="Courier New" w:eastAsia="Courier New" w:hAnsi="Courier New"/>
          <w:sz w:val="18"/>
          <w:szCs w:val="18"/>
          <w:color w:val="auto"/>
        </w:rPr>
        <w:t>income: Interest</w:t>
      </w:r>
    </w:p>
    <w:p>
      <w:pPr>
        <w:ind w:left="60"/>
        <w:spacing w:after="0" w:line="237" w:lineRule="auto"/>
        <w:rPr>
          <w:sz w:val="20"/>
          <w:szCs w:val="20"/>
          <w:color w:val="auto"/>
        </w:rPr>
      </w:pPr>
      <w:r>
        <w:rPr>
          <w:rFonts w:ascii="Courier New" w:cs="Courier New" w:eastAsia="Courier New" w:hAnsi="Courier New"/>
          <w:sz w:val="18"/>
          <w:szCs w:val="18"/>
          <w:color w:val="auto"/>
        </w:rPr>
        <w:t>expense.......................................... 350 425</w:t>
      </w:r>
    </w:p>
    <w:p>
      <w:pPr>
        <w:ind w:left="2000"/>
        <w:spacing w:after="0" w:line="238" w:lineRule="auto"/>
        <w:rPr>
          <w:sz w:val="20"/>
          <w:szCs w:val="20"/>
          <w:color w:val="auto"/>
        </w:rPr>
      </w:pPr>
      <w:r>
        <w:rPr>
          <w:rFonts w:ascii="Courier New" w:cs="Courier New" w:eastAsia="Courier New" w:hAnsi="Courier New"/>
          <w:sz w:val="18"/>
          <w:szCs w:val="18"/>
          <w:color w:val="auto"/>
        </w:rPr>
        <w:t>Implicit interest in</w:t>
      </w:r>
    </w:p>
    <w:p>
      <w:pPr>
        <w:ind w:left="160"/>
        <w:spacing w:after="0"/>
        <w:rPr>
          <w:sz w:val="20"/>
          <w:szCs w:val="20"/>
          <w:color w:val="auto"/>
        </w:rPr>
      </w:pPr>
      <w:r>
        <w:rPr>
          <w:rFonts w:ascii="Courier New" w:cs="Courier New" w:eastAsia="Courier New" w:hAnsi="Courier New"/>
          <w:sz w:val="18"/>
          <w:szCs w:val="18"/>
          <w:color w:val="auto"/>
        </w:rPr>
        <w:t>rents................................ 45 47 ------ ----</w:t>
      </w:r>
    </w:p>
    <w:p>
      <w:pPr>
        <w:ind w:left="540"/>
        <w:spacing w:after="0" w:line="237" w:lineRule="auto"/>
        <w:rPr>
          <w:sz w:val="20"/>
          <w:szCs w:val="20"/>
          <w:color w:val="auto"/>
        </w:rPr>
      </w:pPr>
      <w:r>
        <w:rPr>
          <w:rFonts w:ascii="Courier New" w:cs="Courier New" w:eastAsia="Courier New" w:hAnsi="Courier New"/>
          <w:sz w:val="18"/>
          <w:szCs w:val="18"/>
          <w:color w:val="auto"/>
        </w:rPr>
        <w:t>395 472 ------ ---- Earnings available for fixed</w:t>
      </w:r>
    </w:p>
    <w:p>
      <w:pPr>
        <w:ind w:left="420"/>
        <w:spacing w:after="0"/>
        <w:rPr>
          <w:sz w:val="20"/>
          <w:szCs w:val="20"/>
          <w:color w:val="auto"/>
        </w:rPr>
      </w:pPr>
      <w:r>
        <w:rPr>
          <w:rFonts w:ascii="Courier New" w:cs="Courier New" w:eastAsia="Courier New" w:hAnsi="Courier New"/>
          <w:sz w:val="18"/>
          <w:szCs w:val="18"/>
          <w:color w:val="auto"/>
        </w:rPr>
        <w:t>charges................... $1,324 $990 ====== ====</w:t>
      </w:r>
    </w:p>
    <w:p>
      <w:pPr>
        <w:ind w:left="2640"/>
        <w:spacing w:after="0" w:line="237" w:lineRule="auto"/>
        <w:rPr>
          <w:sz w:val="20"/>
          <w:szCs w:val="20"/>
          <w:color w:val="auto"/>
        </w:rPr>
      </w:pPr>
      <w:r>
        <w:rPr>
          <w:rFonts w:ascii="Courier New" w:cs="Courier New" w:eastAsia="Courier New" w:hAnsi="Courier New"/>
          <w:sz w:val="18"/>
          <w:szCs w:val="18"/>
          <w:color w:val="auto"/>
        </w:rPr>
        <w:t>Interest</w:t>
      </w:r>
    </w:p>
    <w:p>
      <w:pPr>
        <w:ind w:left="60"/>
        <w:spacing w:after="0"/>
        <w:rPr>
          <w:sz w:val="20"/>
          <w:szCs w:val="20"/>
          <w:color w:val="auto"/>
        </w:rPr>
      </w:pPr>
      <w:r>
        <w:rPr>
          <w:rFonts w:ascii="Courier New" w:cs="Courier New" w:eastAsia="Courier New" w:hAnsi="Courier New"/>
          <w:sz w:val="18"/>
          <w:szCs w:val="18"/>
          <w:color w:val="auto"/>
        </w:rPr>
        <w:t>expense............................................ $ 350</w:t>
      </w:r>
    </w:p>
    <w:p>
      <w:pPr>
        <w:ind w:left="2220"/>
        <w:spacing w:after="0" w:line="237" w:lineRule="auto"/>
        <w:rPr>
          <w:sz w:val="20"/>
          <w:szCs w:val="20"/>
          <w:color w:val="auto"/>
        </w:rPr>
      </w:pPr>
      <w:r>
        <w:rPr>
          <w:rFonts w:ascii="Courier New" w:cs="Courier New" w:eastAsia="Courier New" w:hAnsi="Courier New"/>
          <w:sz w:val="18"/>
          <w:szCs w:val="18"/>
          <w:color w:val="auto"/>
        </w:rPr>
        <w:t>$425 Capitalized</w:t>
      </w:r>
    </w:p>
    <w:p>
      <w:pPr>
        <w:ind w:left="220"/>
        <w:spacing w:after="0" w:line="238" w:lineRule="auto"/>
        <w:rPr>
          <w:sz w:val="20"/>
          <w:szCs w:val="20"/>
          <w:color w:val="auto"/>
        </w:rPr>
      </w:pPr>
      <w:r>
        <w:rPr>
          <w:rFonts w:ascii="Courier New" w:cs="Courier New" w:eastAsia="Courier New" w:hAnsi="Courier New"/>
          <w:sz w:val="18"/>
          <w:szCs w:val="18"/>
          <w:color w:val="auto"/>
        </w:rPr>
        <w:t>interest........................................ 14 13</w:t>
      </w:r>
    </w:p>
    <w:p>
      <w:pPr>
        <w:ind w:left="2000"/>
        <w:spacing w:after="0"/>
        <w:rPr>
          <w:sz w:val="20"/>
          <w:szCs w:val="20"/>
          <w:color w:val="auto"/>
        </w:rPr>
      </w:pPr>
      <w:r>
        <w:rPr>
          <w:rFonts w:ascii="Courier New" w:cs="Courier New" w:eastAsia="Courier New" w:hAnsi="Courier New"/>
          <w:sz w:val="18"/>
          <w:szCs w:val="18"/>
          <w:color w:val="auto"/>
        </w:rPr>
        <w:t>Implicit interest in</w:t>
      </w:r>
    </w:p>
    <w:p>
      <w:pPr>
        <w:ind w:left="60"/>
        <w:spacing w:after="0" w:line="237" w:lineRule="auto"/>
        <w:rPr>
          <w:sz w:val="20"/>
          <w:szCs w:val="20"/>
          <w:color w:val="auto"/>
        </w:rPr>
      </w:pPr>
      <w:r>
        <w:rPr>
          <w:rFonts w:ascii="Courier New" w:cs="Courier New" w:eastAsia="Courier New" w:hAnsi="Courier New"/>
          <w:sz w:val="18"/>
          <w:szCs w:val="18"/>
          <w:color w:val="auto"/>
        </w:rPr>
        <w:t>rents.................................. 45 47 ------ ----</w:t>
      </w:r>
    </w:p>
    <w:p>
      <w:pPr>
        <w:ind w:left="60"/>
        <w:spacing w:after="0"/>
        <w:rPr>
          <w:sz w:val="20"/>
          <w:szCs w:val="20"/>
          <w:color w:val="auto"/>
        </w:rPr>
      </w:pPr>
      <w:r>
        <w:rPr>
          <w:rFonts w:ascii="Courier New" w:cs="Courier New" w:eastAsia="Courier New" w:hAnsi="Courier New"/>
          <w:sz w:val="18"/>
          <w:szCs w:val="18"/>
          <w:color w:val="auto"/>
        </w:rPr>
        <w:t>Total fixed charges.................................... $</w:t>
      </w:r>
    </w:p>
    <w:p>
      <w:pPr>
        <w:ind w:left="580"/>
        <w:spacing w:after="0" w:line="237" w:lineRule="auto"/>
        <w:rPr>
          <w:sz w:val="20"/>
          <w:szCs w:val="20"/>
          <w:color w:val="auto"/>
        </w:rPr>
      </w:pPr>
      <w:r>
        <w:rPr>
          <w:rFonts w:ascii="Courier New" w:cs="Courier New" w:eastAsia="Courier New" w:hAnsi="Courier New"/>
          <w:sz w:val="18"/>
          <w:szCs w:val="18"/>
          <w:color w:val="auto"/>
        </w:rPr>
        <w:t>409 $485 ====== ==== Ratio of earnings to fixed</w:t>
      </w:r>
    </w:p>
    <w:p>
      <w:pPr>
        <w:ind w:left="540"/>
        <w:spacing w:after="0"/>
        <w:rPr>
          <w:sz w:val="20"/>
          <w:szCs w:val="20"/>
          <w:color w:val="auto"/>
        </w:rPr>
      </w:pPr>
      <w:r>
        <w:rPr>
          <w:rFonts w:ascii="Courier New" w:cs="Courier New" w:eastAsia="Courier New" w:hAnsi="Courier New"/>
          <w:sz w:val="18"/>
          <w:szCs w:val="18"/>
          <w:color w:val="auto"/>
        </w:rPr>
        <w:t>charges..................... 3.2 2.0 ====== ====</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1]"/>
      <w:numFmt w:val="upperLetter"/>
      <w:start w:val="24"/>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1)"/>
      <w:numFmt w:val="decimal"/>
      <w:start w:val="843"/>
    </w:lvl>
  </w:abstractNum>
  <w:abstractNum w:abstractNumId="10">
    <w:nsid w:val="1CF10FD8"/>
    <w:multiLevelType w:val="hybridMultilevel"/>
    <w:lvl w:ilvl="0">
      <w:lvlJc w:val="left"/>
      <w:lvlText w:val="--"/>
      <w:numFmt w:val="bullet"/>
      <w:start w:val="1"/>
    </w:lvl>
  </w:abstractNum>
  <w:abstractNum w:abstractNumId="11">
    <w:nsid w:val="180115BE"/>
    <w:multiLevelType w:val="hybridMultilevel"/>
    <w:lvl w:ilvl="0">
      <w:lvlJc w:val="left"/>
      <w:lvlText w:val="--"/>
      <w:numFmt w:val="bullet"/>
      <w:start w:val="1"/>
    </w:lvl>
  </w:abstractNum>
  <w:abstractNum w:abstractNumId="12">
    <w:nsid w:val="235BA861"/>
    <w:multiLevelType w:val="hybridMultilevel"/>
    <w:lvl w:ilvl="0">
      <w:lvlJc w:val="left"/>
      <w:lvlText w:val="--"/>
      <w:numFmt w:val="bullet"/>
      <w:start w:val="1"/>
    </w:lvl>
    <w:lvl w:ilvl="1">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5">
    <w:nsid w:val="15B5AF5C"/>
    <w:multiLevelType w:val="hybridMultilevel"/>
    <w:lvl w:ilvl="0">
      <w:lvlJc w:val="left"/>
      <w:lvlText w:val="(%1)"/>
      <w:numFmt w:val="decimal"/>
      <w:start w:val="12"/>
    </w:lvl>
    <w:lvl w:ilvl="1">
      <w:lvlJc w:val="left"/>
      <w:lvlText w:val="-----"/>
      <w:numFmt w:val="bullet"/>
      <w:start w:val="1"/>
    </w:lvl>
  </w:abstractNum>
  <w:abstractNum w:abstractNumId="16">
    <w:nsid w:val="741226BB"/>
    <w:multiLevelType w:val="hybridMultilevel"/>
    <w:lvl w:ilvl="0">
      <w:lvlJc w:val="left"/>
      <w:lvlText w:val="%1."/>
      <w:numFmt w:val="decimal"/>
      <w:start w:val="1"/>
    </w:lvl>
  </w:abstractNum>
  <w:abstractNum w:abstractNumId="17">
    <w:nsid w:val="D34B6A8"/>
    <w:multiLevelType w:val="hybridMultilevel"/>
    <w:lvl w:ilvl="0">
      <w:lvlJc w:val="left"/>
      <w:lvlText w:val="----"/>
      <w:numFmt w:val="bullet"/>
      <w:start w:val="1"/>
    </w:lvl>
    <w:lvl w:ilvl="1">
      <w:lvlJc w:val="left"/>
      <w:lvlText w:val="----"/>
      <w:numFmt w:val="bullet"/>
      <w:start w:val="1"/>
    </w:lvl>
  </w:abstractNum>
  <w:abstractNum w:abstractNumId="18">
    <w:nsid w:val="10233C99"/>
    <w:multiLevelType w:val="hybridMultilevel"/>
    <w:lvl w:ilvl="0">
      <w:lvlJc w:val="left"/>
      <w:lvlText w:val="-"/>
      <w:numFmt w:val="bullet"/>
      <w:start w:val="1"/>
    </w:lvl>
    <w:lvl w:ilvl="1">
      <w:lvlJc w:val="left"/>
      <w:lvlText w:val="-"/>
      <w:numFmt w:val="bullet"/>
      <w:start w:val="1"/>
    </w:lvl>
  </w:abstractNum>
  <w:abstractNum w:abstractNumId="19">
    <w:nsid w:val="3F6AB60F"/>
    <w:multiLevelType w:val="hybridMultilevel"/>
    <w:lvl w:ilvl="0">
      <w:lvlJc w:val="left"/>
      <w:lvlText w:val="$"/>
      <w:numFmt w:val="bullet"/>
      <w:start w:val="1"/>
    </w:lvl>
  </w:abstractNum>
  <w:abstractNum w:abstractNumId="20">
    <w:nsid w:val="61574095"/>
    <w:multiLevelType w:val="hybridMultilevel"/>
    <w:lvl w:ilvl="0">
      <w:lvlJc w:val="left"/>
      <w:lvlText w:val="-"/>
      <w:numFmt w:val="bullet"/>
      <w:start w:val="1"/>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
      <w:numFmt w:val="bullet"/>
      <w:start w:val="1"/>
    </w:lvl>
  </w:abstractNum>
  <w:abstractNum w:abstractNumId="23">
    <w:nsid w:val="579BE4F1"/>
    <w:multiLevelType w:val="hybridMultilevel"/>
    <w:lvl w:ilvl="0">
      <w:lvlJc w:val="left"/>
      <w:lvlText w:val="(%1)"/>
      <w:numFmt w:val="lowerLetter"/>
      <w:start w:val="1"/>
    </w:lvl>
  </w:abstractNum>
  <w:abstractNum w:abstractNumId="24">
    <w:nsid w:val="310C50B3"/>
    <w:multiLevelType w:val="hybridMultilevel"/>
    <w:lvl w:ilvl="0">
      <w:lvlJc w:val="left"/>
      <w:lvlText w:val="%1."/>
      <w:numFmt w:val="decimal"/>
      <w:start w:val="2"/>
    </w:lvl>
  </w:abstractNum>
  <w:abstractNum w:abstractNumId="25">
    <w:nsid w:val="5FF87E05"/>
    <w:multiLevelType w:val="hybridMultilevel"/>
    <w:lvl w:ilvl="0">
      <w:lvlJc w:val="left"/>
      <w:lvlText w:val="%1."/>
      <w:numFmt w:val="decimal"/>
      <w:start w:val="3"/>
    </w:lvl>
  </w:abstractNum>
  <w:abstractNum w:abstractNumId="26">
    <w:nsid w:val="2F305DEF"/>
    <w:multiLevelType w:val="hybridMultilevel"/>
    <w:lvl w:ilvl="0">
      <w:lvlJc w:val="left"/>
      <w:lvlText w:val="%1."/>
      <w:numFmt w:val="decimal"/>
      <w:start w:val="4"/>
    </w:lvl>
  </w:abstractNum>
  <w:abstractNum w:abstractNumId="27">
    <w:nsid w:val="25A70BF7"/>
    <w:multiLevelType w:val="hybridMultilevel"/>
    <w:lvl w:ilvl="0">
      <w:lvlJc w:val="left"/>
      <w:lvlText w:val="--"/>
      <w:numFmt w:val="bullet"/>
      <w:start w:val="1"/>
    </w:lvl>
  </w:abstractNum>
  <w:abstractNum w:abstractNumId="28">
    <w:nsid w:val="1DBABF00"/>
    <w:multiLevelType w:val="hybridMultilevel"/>
    <w:lvl w:ilvl="0">
      <w:lvlJc w:val="left"/>
      <w:lvlText w:val="%1."/>
      <w:numFmt w:val="decimal"/>
      <w:start w:val="5"/>
    </w:lvl>
  </w:abstractNum>
  <w:abstractNum w:abstractNumId="29">
    <w:nsid w:val="4AD084E9"/>
    <w:multiLevelType w:val="hybridMultilevel"/>
    <w:lvl w:ilvl="0">
      <w:lvlJc w:val="left"/>
      <w:lvlText w:val="%1."/>
      <w:numFmt w:val="decimal"/>
      <w:start w:val="6"/>
    </w:lvl>
  </w:abstractNum>
  <w:abstractNum w:abstractNumId="30">
    <w:nsid w:val="1F48EAA1"/>
    <w:multiLevelType w:val="hybridMultilevel"/>
    <w:lvl w:ilvl="0">
      <w:lvlJc w:val="left"/>
      <w:lvlText w:val="%1."/>
      <w:numFmt w:val="decimal"/>
      <w:start w:val="7"/>
    </w:lvl>
  </w:abstractNum>
  <w:abstractNum w:abstractNumId="31">
    <w:nsid w:val="1381823A"/>
    <w:multiLevelType w:val="hybridMultilevel"/>
    <w:lvl w:ilvl="0">
      <w:lvlJc w:val="left"/>
      <w:lvlText w:val="-"/>
      <w:numFmt w:val="bullet"/>
      <w:start w:val="1"/>
    </w:lvl>
    <w:lvl w:ilvl="1">
      <w:lvlJc w:val="left"/>
      <w:lvlText w:val="--"/>
      <w:numFmt w:val="bullet"/>
      <w:start w:val="1"/>
    </w:lvl>
  </w:abstractNum>
  <w:abstractNum w:abstractNumId="32">
    <w:nsid w:val="5DB70AE5"/>
    <w:multiLevelType w:val="hybridMultilevel"/>
    <w:lvl w:ilvl="0">
      <w:lvlJc w:val="left"/>
      <w:lvlText w:val="(%1)"/>
      <w:numFmt w:val="lowerLetter"/>
      <w:start w:val="1"/>
    </w:lvl>
  </w:abstractNum>
  <w:abstractNum w:abstractNumId="33">
    <w:nsid w:val="100F8FCA"/>
    <w:multiLevelType w:val="hybridMultilevel"/>
    <w:lvl w:ilvl="0">
      <w:lvlJc w:val="left"/>
      <w:lvlText w:val="%1."/>
      <w:numFmt w:val="decimal"/>
      <w:start w:val="8"/>
    </w:lvl>
  </w:abstractNum>
  <w:abstractNum w:abstractNumId="34">
    <w:nsid w:val="6590700B"/>
    <w:multiLevelType w:val="hybridMultilevel"/>
    <w:lvl w:ilvl="0">
      <w:lvlJc w:val="left"/>
      <w:lvlText w:val="%1."/>
      <w:numFmt w:val="decimal"/>
      <w:start w:val="9"/>
    </w:lvl>
  </w:abstractNum>
  <w:abstractNum w:abstractNumId="35">
    <w:nsid w:val="15014ACB"/>
    <w:multiLevelType w:val="hybridMultilevel"/>
    <w:lvl w:ilvl="0">
      <w:lvlJc w:val="left"/>
      <w:lvlText w:val="-"/>
      <w:numFmt w:val="bullet"/>
      <w:start w:val="1"/>
    </w:lvl>
    <w:lvl w:ilvl="1">
      <w:lvlJc w:val="left"/>
      <w:lvlText w:val="--"/>
      <w:numFmt w:val="bullet"/>
      <w:start w:val="1"/>
    </w:lvl>
    <w:lvl w:ilvl="2">
      <w:lvlJc w:val="left"/>
      <w:lvlText w:val="(%3)"/>
      <w:numFmt w:val="decimal"/>
      <w:start w:val="756"/>
    </w:lvl>
  </w:abstractNum>
  <w:abstractNum w:abstractNumId="36">
    <w:nsid w:val="5F5E7FD0"/>
    <w:multiLevelType w:val="hybridMultilevel"/>
    <w:lvl w:ilvl="0">
      <w:lvlJc w:val="left"/>
      <w:lvlText w:val="(%1)"/>
      <w:numFmt w:val="lowerLetter"/>
      <w:start w:val="1"/>
    </w:lvl>
  </w:abstractNum>
  <w:abstractNum w:abstractNumId="37">
    <w:nsid w:val="98A3148"/>
    <w:multiLevelType w:val="hybridMultilevel"/>
    <w:lvl w:ilvl="0">
      <w:lvlJc w:val="left"/>
      <w:lvlText w:val="(%1)"/>
      <w:numFmt w:val="lowerLetter"/>
      <w:start w:val="3"/>
    </w:lvl>
  </w:abstractNum>
  <w:abstractNum w:abstractNumId="38">
    <w:nsid w:val="799D0247"/>
    <w:multiLevelType w:val="hybridMultilevel"/>
    <w:lvl w:ilvl="0">
      <w:lvlJc w:val="left"/>
      <w:lvlText w:val="(%1)"/>
      <w:numFmt w:val="lowerLetter"/>
      <w:start w:val="1"/>
    </w:lvl>
  </w:abstractNum>
  <w:abstractNum w:abstractNumId="39">
    <w:nsid w:val="6B94764"/>
    <w:multiLevelType w:val="hybridMultilevel"/>
    <w:lvl w:ilvl="0">
      <w:lvlJc w:val="left"/>
      <w:lvlText w:val="%1."/>
      <w:numFmt w:val="decimal"/>
      <w:start w:val="10"/>
    </w:lvl>
  </w:abstractNum>
  <w:abstractNum w:abstractNumId="40">
    <w:nsid w:val="42C296BD"/>
    <w:multiLevelType w:val="hybridMultilevel"/>
    <w:lvl w:ilvl="0">
      <w:lvlJc w:val="left"/>
      <w:lvlText w:val="%1."/>
      <w:numFmt w:val="decimal"/>
      <w:start w:val="11"/>
    </w:lvl>
  </w:abstractNum>
  <w:abstractNum w:abstractNumId="41">
    <w:nsid w:val="168E121F"/>
    <w:multiLevelType w:val="hybridMultilevel"/>
    <w:lvl w:ilvl="0">
      <w:lvlJc w:val="left"/>
      <w:lvlText w:val="-----"/>
      <w:numFmt w:val="bullet"/>
      <w:start w:val="1"/>
    </w:lvl>
  </w:abstractNum>
  <w:abstractNum w:abstractNumId="42">
    <w:nsid w:val="1EBA5D23"/>
    <w:multiLevelType w:val="hybridMultilevel"/>
    <w:lvl w:ilvl="0">
      <w:lvlJc w:val="left"/>
      <w:lvlText w:val="-"/>
      <w:numFmt w:val="bullet"/>
      <w:start w:val="1"/>
    </w:lvl>
  </w:abstractNum>
  <w:abstractNum w:abstractNumId="43">
    <w:nsid w:val="661E3F1E"/>
    <w:multiLevelType w:val="hybridMultilevel"/>
    <w:lvl w:ilvl="0">
      <w:lvlJc w:val="left"/>
      <w:lvlText w:val="-"/>
      <w:numFmt w:val="bullet"/>
      <w:start w:val="1"/>
    </w:lvl>
  </w:abstractNum>
  <w:abstractNum w:abstractNumId="44">
    <w:nsid w:val="5DC79EA8"/>
    <w:multiLevelType w:val="hybridMultilevel"/>
    <w:lvl w:ilvl="0">
      <w:lvlJc w:val="left"/>
      <w:lvlText w:val="--"/>
      <w:numFmt w:val="bullet"/>
      <w:start w:val="1"/>
    </w:lvl>
  </w:abstractNum>
  <w:abstractNum w:abstractNumId="45">
    <w:nsid w:val="540A471C"/>
    <w:multiLevelType w:val="hybridMultilevel"/>
    <w:lvl w:ilvl="0">
      <w:lvlJc w:val="left"/>
      <w:lvlText w:val="--"/>
      <w:numFmt w:val="bullet"/>
      <w:start w:val="1"/>
    </w:lvl>
  </w:abstractNum>
  <w:abstractNum w:abstractNumId="46">
    <w:nsid w:val="7BD3EE7B"/>
    <w:multiLevelType w:val="hybridMultilevel"/>
    <w:lvl w:ilvl="0">
      <w:lvlJc w:val="left"/>
      <w:lvlText w:val="--"/>
      <w:numFmt w:val="bullet"/>
      <w:start w:val="1"/>
    </w:lvl>
  </w:abstractNum>
  <w:abstractNum w:abstractNumId="47">
    <w:nsid w:val="51D9C564"/>
    <w:multiLevelType w:val="hybridMultilevel"/>
    <w:lvl w:ilvl="0">
      <w:lvlJc w:val="left"/>
      <w:lvlText w:val="--"/>
      <w:numFmt w:val="bullet"/>
      <w:start w:val="1"/>
    </w:lvl>
  </w:abstractNum>
  <w:abstractNum w:abstractNumId="48">
    <w:nsid w:val="613EFDC5"/>
    <w:multiLevelType w:val="hybridMultilevel"/>
    <w:lvl w:ilvl="0">
      <w:lvlJc w:val="left"/>
      <w:lvlText w:val="--"/>
      <w:numFmt w:val="bullet"/>
      <w:start w:val="1"/>
    </w:lvl>
    <w:lvl w:ilvl="1">
      <w:lvlJc w:val="left"/>
      <w:lvlText w:val="(%2)"/>
      <w:numFmt w:val="decimal"/>
      <w:start w:val="1"/>
    </w:lvl>
  </w:abstractNum>
  <w:abstractNum w:abstractNumId="49">
    <w:nsid w:val="BF72B14"/>
    <w:multiLevelType w:val="hybridMultilevel"/>
    <w:lvl w:ilvl="0">
      <w:lvlJc w:val="left"/>
      <w:lvlText w:val="(%1)"/>
      <w:numFmt w:val="decimal"/>
      <w:start w:val="173"/>
    </w:lvl>
  </w:abstractNum>
  <w:abstractNum w:abstractNumId="50">
    <w:nsid w:val="11447B73"/>
    <w:multiLevelType w:val="hybridMultilevel"/>
    <w:lvl w:ilvl="0">
      <w:lvlJc w:val="left"/>
      <w:lvlText w:val="(%1)"/>
      <w:numFmt w:val="decimal"/>
      <w:start w:val="25"/>
    </w:lvl>
    <w:lvl w:ilvl="1">
      <w:lvlJc w:val="left"/>
      <w:lvlText w:val="--"/>
      <w:numFmt w:val="bullet"/>
      <w:start w:val="1"/>
    </w:lvl>
  </w:abstractNum>
  <w:abstractNum w:abstractNumId="51">
    <w:nsid w:val="42963E5A"/>
    <w:multiLevelType w:val="hybridMultilevel"/>
    <w:lvl w:ilvl="0">
      <w:lvlJc w:val="left"/>
      <w:lvlText w:val="--"/>
      <w:numFmt w:val="bullet"/>
      <w:start w:val="1"/>
    </w:lvl>
    <w:lvl w:ilvl="1">
      <w:lvlJc w:val="left"/>
      <w:lvlText w:val="--"/>
      <w:numFmt w:val="bullet"/>
      <w:start w:val="1"/>
    </w:lvl>
  </w:abstractNum>
  <w:abstractNum w:abstractNumId="52">
    <w:nsid w:val="A0382C5"/>
    <w:multiLevelType w:val="hybridMultilevel"/>
    <w:lvl w:ilvl="0">
      <w:lvlJc w:val="left"/>
      <w:lvlText w:val="$"/>
      <w:numFmt w:val="bullet"/>
      <w:start w:val="1"/>
    </w:lvl>
    <w:lvl w:ilvl="1">
      <w:lvlJc w:val="left"/>
      <w:lvlText w:val="===="/>
      <w:numFmt w:val="bullet"/>
      <w:start w:val="1"/>
    </w:lvl>
  </w:abstractNum>
  <w:abstractNum w:abstractNumId="53">
    <w:nsid w:val="8F2B15E"/>
    <w:multiLevelType w:val="hybridMultilevel"/>
    <w:lvl w:ilvl="0">
      <w:lvlJc w:val="left"/>
      <w:lvlText w:val="(%1)"/>
      <w:numFmt w:val="decimal"/>
      <w:start w:val="41"/>
    </w:lvl>
  </w:abstractNum>
  <w:abstractNum w:abstractNumId="54">
    <w:nsid w:val="1A32234B"/>
    <w:multiLevelType w:val="hybridMultilevel"/>
    <w:lvl w:ilvl="0">
      <w:lvlJc w:val="left"/>
      <w:lvlText w:val="----"/>
      <w:numFmt w:val="bullet"/>
      <w:start w:val="1"/>
    </w:lvl>
    <w:lvl w:ilvl="1">
      <w:lvlJc w:val="left"/>
      <w:lvlText w:val="---"/>
      <w:numFmt w:val="bullet"/>
      <w:start w:val="1"/>
    </w:lvl>
  </w:abstractNum>
  <w:abstractNum w:abstractNumId="55">
    <w:nsid w:val="3B0FD379"/>
    <w:multiLevelType w:val="hybridMultilevel"/>
    <w:lvl w:ilvl="0">
      <w:lvlJc w:val="left"/>
      <w:lvlText w:val="(%1)"/>
      <w:numFmt w:val="decimal"/>
      <w:start w:val="66"/>
    </w:lvl>
  </w:abstractNum>
  <w:abstractNum w:abstractNumId="56">
    <w:nsid w:val="68EB2F63"/>
    <w:multiLevelType w:val="hybridMultilevel"/>
    <w:lvl w:ilvl="0">
      <w:lvlJc w:val="left"/>
      <w:lvlText w:val="-"/>
      <w:numFmt w:val="bullet"/>
      <w:start w:val="1"/>
    </w:lvl>
    <w:lvl w:ilvl="1">
      <w:lvlJc w:val="left"/>
      <w:lvlText w:val="---"/>
      <w:numFmt w:val="bullet"/>
      <w:start w:val="1"/>
    </w:lvl>
  </w:abstractNum>
  <w:abstractNum w:abstractNumId="57">
    <w:nsid w:val="4962813B"/>
    <w:multiLevelType w:val="hybridMultilevel"/>
    <w:lvl w:ilvl="0">
      <w:lvlJc w:val="left"/>
      <w:lvlText w:val="$"/>
      <w:numFmt w:val="bullet"/>
      <w:start w:val="1"/>
    </w:lvl>
  </w:abstractNum>
  <w:abstractNum w:abstractNumId="58">
    <w:nsid w:val="60B6DF70"/>
    <w:multiLevelType w:val="hybridMultilevel"/>
    <w:lvl w:ilvl="0">
      <w:lvlJc w:val="left"/>
      <w:lvlText w:val="-----"/>
      <w:numFmt w:val="bullet"/>
      <w:start w:val="1"/>
    </w:lvl>
  </w:abstractNum>
  <w:abstractNum w:abstractNumId="59">
    <w:nsid w:val="6A5EE64"/>
    <w:multiLevelType w:val="hybridMultilevel"/>
    <w:lvl w:ilvl="0">
      <w:lvlJc w:val="left"/>
      <w:lvlText w:val="(%1)"/>
      <w:numFmt w:val="decimal"/>
      <w:start w:val="80"/>
    </w:lvl>
  </w:abstractNum>
  <w:abstractNum w:abstractNumId="60">
    <w:nsid w:val="14330624"/>
    <w:multiLevelType w:val="hybridMultilevel"/>
    <w:lvl w:ilvl="0">
      <w:lvlJc w:val="left"/>
      <w:lvlText w:val="--"/>
      <w:numFmt w:val="bullet"/>
      <w:start w:val="1"/>
    </w:lvl>
  </w:abstractNum>
  <w:abstractNum w:abstractNumId="61">
    <w:nsid w:val="7FFFCA11"/>
    <w:multiLevelType w:val="hybridMultilevel"/>
    <w:lvl w:ilvl="0">
      <w:lvlJc w:val="left"/>
      <w:lvlText w:val="$"/>
      <w:numFmt w:val="bullet"/>
      <w:start w:val="1"/>
    </w:lvl>
  </w:abstractNum>
  <w:abstractNum w:abstractNumId="62">
    <w:nsid w:val="1A27709E"/>
    <w:multiLevelType w:val="hybridMultilevel"/>
    <w:lvl w:ilvl="0">
      <w:lvlJc w:val="left"/>
      <w:lvlText w:val="-----"/>
      <w:numFmt w:val="bullet"/>
      <w:start w:val="1"/>
    </w:lvl>
  </w:abstractNum>
  <w:abstractNum w:abstractNumId="63">
    <w:nsid w:val="71EA1109"/>
    <w:multiLevelType w:val="hybridMultilevel"/>
    <w:lvl w:ilvl="0">
      <w:lvlJc w:val="left"/>
      <w:lvlText w:val="(%1)"/>
      <w:numFmt w:val="decimal"/>
      <w:start w:val="914"/>
    </w:lvl>
  </w:abstractNum>
  <w:abstractNum w:abstractNumId="64">
    <w:nsid w:val="100F59DC"/>
    <w:multiLevelType w:val="hybridMultilevel"/>
    <w:lvl w:ilvl="0">
      <w:lvlJc w:val="left"/>
      <w:lvlText w:val="--"/>
      <w:numFmt w:val="bullet"/>
      <w:start w:val="1"/>
    </w:lvl>
  </w:abstractNum>
  <w:abstractNum w:abstractNumId="65">
    <w:nsid w:val="7FB7E0AA"/>
    <w:multiLevelType w:val="hybridMultilevel"/>
    <w:lvl w:ilvl="0">
      <w:lvlJc w:val="left"/>
      <w:lvlText w:val="--"/>
      <w:numFmt w:val="bullet"/>
      <w:start w:val="1"/>
    </w:lvl>
  </w:abstractNum>
  <w:abstractNum w:abstractNumId="66">
    <w:nsid w:val="6EB5BD4"/>
    <w:multiLevelType w:val="hybridMultilevel"/>
    <w:lvl w:ilvl="0">
      <w:lvlJc w:val="left"/>
      <w:lvlText w:val="-----"/>
      <w:numFmt w:val="bullet"/>
      <w:start w:val="1"/>
    </w:lvl>
  </w:abstractNum>
  <w:abstractNum w:abstractNumId="67">
    <w:nsid w:val="6F6DD9AC"/>
    <w:multiLevelType w:val="hybridMultilevel"/>
    <w:lvl w:ilvl="0">
      <w:lvlJc w:val="left"/>
      <w:lvlText w:val="(%1)"/>
      <w:numFmt w:val="decimal"/>
      <w:start w:val="843"/>
    </w:lvl>
  </w:abstractNum>
  <w:abstractNum w:abstractNumId="68">
    <w:nsid w:val="94211F2"/>
    <w:multiLevelType w:val="hybridMultilevel"/>
    <w:lvl w:ilvl="0">
      <w:lvlJc w:val="left"/>
      <w:lvlText w:val="-----"/>
      <w:numFmt w:val="bullet"/>
      <w:start w:val="1"/>
    </w:lvl>
  </w:abstractNum>
  <w:abstractNum w:abstractNumId="69">
    <w:nsid w:val="885E1B"/>
    <w:multiLevelType w:val="hybridMultilevel"/>
    <w:lvl w:ilvl="0">
      <w:lvlJc w:val="left"/>
      <w:lvlText w:val="--"/>
      <w:numFmt w:val="bullet"/>
      <w:start w:val="1"/>
    </w:lvl>
  </w:abstractNum>
  <w:abstractNum w:abstractNumId="70">
    <w:nsid w:val="76272110"/>
    <w:multiLevelType w:val="hybridMultilevel"/>
    <w:lvl w:ilvl="0">
      <w:lvlJc w:val="left"/>
      <w:lvlText w:val="----"/>
      <w:numFmt w:val="bullet"/>
      <w:start w:val="1"/>
    </w:lvl>
  </w:abstractNum>
  <w:abstractNum w:abstractNumId="71">
    <w:nsid w:val="4C04A8AF"/>
    <w:multiLevelType w:val="hybridMultilevel"/>
    <w:lvl w:ilvl="0">
      <w:lvlJc w:val="left"/>
      <w:lvlText w:val="%1."/>
      <w:numFmt w:val="decimal"/>
      <w:start w:val="12"/>
    </w:lvl>
  </w:abstractNum>
  <w:abstractNum w:abstractNumId="72">
    <w:nsid w:val="1716703B"/>
    <w:multiLevelType w:val="hybridMultilevel"/>
    <w:lvl w:ilvl="0">
      <w:lvlJc w:val="left"/>
      <w:lvlText w:val="$"/>
      <w:numFmt w:val="bullet"/>
      <w:start w:val="1"/>
    </w:lvl>
    <w:lvl w:ilvl="1">
      <w:lvlJc w:val="left"/>
      <w:lvlText w:val="====="/>
      <w:numFmt w:val="bullet"/>
      <w:start w:val="1"/>
    </w:lvl>
  </w:abstractNum>
  <w:abstractNum w:abstractNumId="73">
    <w:nsid w:val="14E17E33"/>
    <w:multiLevelType w:val="hybridMultilevel"/>
    <w:lvl w:ilvl="0">
      <w:lvlJc w:val="left"/>
      <w:lvlText w:val="====="/>
      <w:numFmt w:val="bullet"/>
      <w:start w:val="1"/>
    </w:lvl>
    <w:lvl w:ilvl="1">
      <w:lvlJc w:val="left"/>
      <w:lvlText w:val="-----"/>
      <w:numFmt w:val="bullet"/>
      <w:start w:val="1"/>
    </w:lvl>
  </w:abstractNum>
  <w:abstractNum w:abstractNumId="74">
    <w:nsid w:val="3222E7CD"/>
    <w:multiLevelType w:val="hybridMultilevel"/>
    <w:lvl w:ilvl="0">
      <w:lvlJc w:val="left"/>
      <w:lvlText w:val="-----"/>
      <w:numFmt w:val="bullet"/>
      <w:start w:val="1"/>
    </w:lvl>
  </w:abstractNum>
  <w:abstractNum w:abstractNumId="75">
    <w:nsid w:val="74DE0EE3"/>
    <w:multiLevelType w:val="hybridMultilevel"/>
    <w:lvl w:ilvl="0">
      <w:lvlJc w:val="left"/>
      <w:lvlText w:val="----"/>
      <w:numFmt w:val="bullet"/>
      <w:start w:val="1"/>
    </w:lvl>
  </w:abstractNum>
  <w:abstractNum w:abstractNumId="76">
    <w:nsid w:val="68EBC550"/>
    <w:multiLevelType w:val="hybridMultilevel"/>
    <w:lvl w:ilvl="0">
      <w:lvlJc w:val="left"/>
      <w:lvlText w:val="(%1)"/>
      <w:numFmt w:val="decimal"/>
      <w:start w:val="56"/>
    </w:lvl>
    <w:lvl w:ilvl="1">
      <w:lvlJc w:val="left"/>
      <w:lvlText w:val="==="/>
      <w:numFmt w:val="bullet"/>
      <w:start w:val="1"/>
    </w:lvl>
  </w:abstractNum>
  <w:abstractNum w:abstractNumId="77">
    <w:nsid w:val="2DF6D648"/>
    <w:multiLevelType w:val="hybridMultilevel"/>
    <w:lvl w:ilvl="0">
      <w:lvlJc w:val="left"/>
      <w:lvlText w:val="%1."/>
      <w:numFmt w:val="decimal"/>
      <w:start w:val="13"/>
    </w:lvl>
  </w:abstractNum>
  <w:abstractNum w:abstractNumId="78">
    <w:nsid w:val="46B7D447"/>
    <w:multiLevelType w:val="hybridMultilevel"/>
    <w:lvl w:ilvl="0">
      <w:lvlJc w:val="left"/>
      <w:lvlText w:val="-"/>
      <w:numFmt w:val="bullet"/>
      <w:start w:val="1"/>
    </w:lvl>
  </w:abstractNum>
  <w:abstractNum w:abstractNumId="79">
    <w:nsid w:val="4A2AC315"/>
    <w:multiLevelType w:val="hybridMultilevel"/>
    <w:lvl w:ilvl="0">
      <w:lvlJc w:val="left"/>
      <w:lvlText w:val="-"/>
      <w:numFmt w:val="bullet"/>
      <w:start w:val="1"/>
    </w:lvl>
  </w:abstractNum>
  <w:abstractNum w:abstractNumId="80">
    <w:nsid w:val="39EE015C"/>
    <w:multiLevelType w:val="hybridMultilevel"/>
    <w:lvl w:ilvl="0">
      <w:lvlJc w:val="left"/>
      <w:lvlText w:val="-"/>
      <w:numFmt w:val="bullet"/>
      <w:start w:val="1"/>
    </w:lvl>
  </w:abstractNum>
  <w:abstractNum w:abstractNumId="81">
    <w:nsid w:val="57FC4FBB"/>
    <w:multiLevelType w:val="hybridMultilevel"/>
    <w:lvl w:ilvl="0">
      <w:lvlJc w:val="left"/>
      <w:lvlText w:val="-"/>
      <w:numFmt w:val="bullet"/>
      <w:start w:val="1"/>
    </w:lvl>
  </w:abstractNum>
  <w:abstractNum w:abstractNumId="82">
    <w:nsid w:val="CC1016F"/>
    <w:multiLevelType w:val="hybridMultilevel"/>
    <w:lvl w:ilvl="0">
      <w:lvlJc w:val="left"/>
      <w:lvlText w:val="-"/>
      <w:numFmt w:val="bullet"/>
      <w:start w:val="1"/>
    </w:lvl>
  </w:abstractNum>
  <w:abstractNum w:abstractNumId="83">
    <w:nsid w:val="43F18422"/>
    <w:multiLevelType w:val="hybridMultilevel"/>
    <w:lvl w:ilvl="0">
      <w:lvlJc w:val="left"/>
      <w:lvlText w:val="-----"/>
      <w:numFmt w:val="bullet"/>
      <w:start w:val="1"/>
    </w:lvl>
    <w:lvl w:ilvl="1">
      <w:lvlJc w:val="left"/>
      <w:lvlText w:val="----"/>
      <w:numFmt w:val="bullet"/>
      <w:start w:val="1"/>
    </w:lvl>
  </w:abstractNum>
  <w:abstractNum w:abstractNumId="84">
    <w:nsid w:val="60EF0119"/>
    <w:multiLevelType w:val="hybridMultilevel"/>
    <w:lvl w:ilvl="0">
      <w:lvlJc w:val="left"/>
      <w:lvlText w:val="-"/>
      <w:numFmt w:val="bullet"/>
      <w:start w:val="1"/>
    </w:lvl>
  </w:abstractNum>
  <w:abstractNum w:abstractNumId="85">
    <w:nsid w:val="26F324BA"/>
    <w:multiLevelType w:val="hybridMultilevel"/>
    <w:lvl w:ilvl="0">
      <w:lvlJc w:val="left"/>
      <w:lvlText w:val="----"/>
      <w:numFmt w:val="bullet"/>
      <w:start w:val="1"/>
    </w:lvl>
  </w:abstractNum>
  <w:abstractNum w:abstractNumId="86">
    <w:nsid w:val="7F01579B"/>
    <w:multiLevelType w:val="hybridMultilevel"/>
    <w:lvl w:ilvl="0">
      <w:lvlJc w:val="left"/>
      <w:lvlText w:val="--"/>
      <w:numFmt w:val="bullet"/>
      <w:start w:val="1"/>
    </w:lvl>
  </w:abstractNum>
  <w:abstractNum w:abstractNumId="87">
    <w:nsid w:val="49DA307D"/>
    <w:multiLevelType w:val="hybridMultilevel"/>
    <w:lvl w:ilvl="0">
      <w:lvlJc w:val="left"/>
      <w:lvlText w:val="$"/>
      <w:numFmt w:val="bullet"/>
      <w:start w:val="1"/>
    </w:lvl>
  </w:abstractNum>
  <w:abstractNum w:abstractNumId="88">
    <w:nsid w:val="7055A5F5"/>
    <w:multiLevelType w:val="hybridMultilevel"/>
    <w:lvl w:ilvl="0">
      <w:lvlJc w:val="left"/>
      <w:lvlText w:val="----"/>
      <w:numFmt w:val="bullet"/>
      <w:start w:val="1"/>
    </w:lvl>
    <w:lvl w:ilvl="1">
      <w:lvlJc w:val="left"/>
      <w:lvlText w:val="----"/>
      <w:numFmt w:val="bullet"/>
      <w:start w:val="1"/>
    </w:lvl>
  </w:abstractNum>
  <w:abstractNum w:abstractNumId="89">
    <w:nsid w:val="5FB8370B"/>
    <w:multiLevelType w:val="hybridMultilevel"/>
    <w:lvl w:ilvl="0">
      <w:lvlJc w:val="left"/>
      <w:lvlText w:val="(%1)"/>
      <w:numFmt w:val="lowerLetter"/>
      <w:start w:val="1"/>
    </w:lvl>
  </w:abstractNum>
  <w:abstractNum w:abstractNumId="90">
    <w:nsid w:val="50801EE1"/>
    <w:multiLevelType w:val="hybridMultilevel"/>
    <w:lvl w:ilvl="0">
      <w:lvlJc w:val="left"/>
      <w:lvlText w:val="$"/>
      <w:numFmt w:val="bullet"/>
      <w:start w:val="1"/>
    </w:lvl>
  </w:abstractNum>
  <w:abstractNum w:abstractNumId="91">
    <w:nsid w:val="488AC1A"/>
    <w:multiLevelType w:val="hybridMultilevel"/>
    <w:lvl w:ilvl="0">
      <w:lvlJc w:val="left"/>
      <w:lvlText w:val="-"/>
      <w:numFmt w:val="bullet"/>
      <w:start w:val="1"/>
    </w:lvl>
  </w:abstractNum>
  <w:abstractNum w:abstractNumId="92">
    <w:nsid w:val="5FB8011C"/>
    <w:multiLevelType w:val="hybridMultilevel"/>
    <w:lvl w:ilvl="0">
      <w:lvlJc w:val="left"/>
      <w:lvlText w:val="-"/>
      <w:numFmt w:val="bullet"/>
      <w:start w:val="1"/>
    </w:lvl>
  </w:abstractNum>
  <w:abstractNum w:abstractNumId="93">
    <w:nsid w:val="6AA78F7F"/>
    <w:multiLevelType w:val="hybridMultilevel"/>
    <w:lvl w:ilvl="0">
      <w:lvlJc w:val="left"/>
      <w:lvlText w:val="$"/>
      <w:numFmt w:val="bullet"/>
      <w:start w:val="1"/>
    </w:lvl>
  </w:abstractNum>
  <w:abstractNum w:abstractNumId="94">
    <w:nsid w:val="7672BD23"/>
    <w:multiLevelType w:val="hybridMultilevel"/>
    <w:lvl w:ilvl="0">
      <w:lvlJc w:val="left"/>
      <w:lvlText w:val="====="/>
      <w:numFmt w:val="bullet"/>
      <w:start w:val="1"/>
    </w:lvl>
  </w:abstractNum>
  <w:abstractNum w:abstractNumId="95">
    <w:nsid w:val="6FC75AF8"/>
    <w:multiLevelType w:val="hybridMultilevel"/>
    <w:lvl w:ilvl="0">
      <w:lvlJc w:val="left"/>
      <w:lvlText w:val="$"/>
      <w:numFmt w:val="bullet"/>
      <w:start w:val="1"/>
    </w:lvl>
    <w:lvl w:ilvl="1">
      <w:lvlJc w:val="left"/>
      <w:lvlText w:val="====="/>
      <w:numFmt w:val="bullet"/>
      <w:start w:val="1"/>
    </w:lvl>
  </w:abstractNum>
  <w:abstractNum w:abstractNumId="96">
    <w:nsid w:val="6A5F7029"/>
    <w:multiLevelType w:val="hybridMultilevel"/>
    <w:lvl w:ilvl="0">
      <w:lvlJc w:val="left"/>
      <w:lvlText w:val="====="/>
      <w:numFmt w:val="bullet"/>
      <w:start w:val="1"/>
    </w:lvl>
    <w:lvl w:ilvl="1">
      <w:lvlJc w:val="left"/>
      <w:lvlText w:val="-----"/>
      <w:numFmt w:val="bullet"/>
      <w:start w:val="1"/>
    </w:lvl>
  </w:abstractNum>
  <w:abstractNum w:abstractNumId="97">
    <w:nsid w:val="7D5E18F8"/>
    <w:multiLevelType w:val="hybridMultilevel"/>
    <w:lvl w:ilvl="0">
      <w:lvlJc w:val="left"/>
      <w:lvlText w:val="-----"/>
      <w:numFmt w:val="bullet"/>
      <w:start w:val="1"/>
    </w:lvl>
  </w:abstractNum>
  <w:abstractNum w:abstractNumId="98">
    <w:nsid w:val="5F3534A4"/>
    <w:multiLevelType w:val="hybridMultilevel"/>
    <w:lvl w:ilvl="0">
      <w:lvlJc w:val="left"/>
      <w:lvlText w:val="(%1)"/>
      <w:numFmt w:val="decimal"/>
      <w:start w:val="56"/>
    </w:lvl>
  </w:abstractNum>
  <w:abstractNum w:abstractNumId="99">
    <w:nsid w:val="73A1821B"/>
    <w:multiLevelType w:val="hybridMultilevel"/>
    <w:lvl w:ilvl="0">
      <w:lvlJc w:val="left"/>
      <w:lvlText w:val="-"/>
      <w:numFmt w:val="bullet"/>
      <w:start w:val="1"/>
    </w:lvl>
    <w:lvl w:ilvl="1">
      <w:lvlJc w:val="left"/>
      <w:lvlText w:val="---"/>
      <w:numFmt w:val="bullet"/>
      <w:start w:val="1"/>
    </w:lvl>
  </w:abstractNum>
  <w:abstractNum w:abstractNumId="100">
    <w:nsid w:val="7DE67713"/>
    <w:multiLevelType w:val="hybridMultilevel"/>
    <w:lvl w:ilvl="0">
      <w:lvlJc w:val="left"/>
      <w:lvlText w:val="%1."/>
      <w:numFmt w:val="decimal"/>
      <w:start w:val="1"/>
    </w:lvl>
    <w:lvl w:ilvl="1">
      <w:lvlJc w:val="left"/>
      <w:lvlText w:val="%2)"/>
      <w:numFmt w:val="lowerLetter"/>
      <w:start w:val="1"/>
    </w:lvl>
  </w:abstractNum>
  <w:abstractNum w:abstractNumId="101">
    <w:nsid w:val="555C55B5"/>
    <w:multiLevelType w:val="hybridMultilevel"/>
    <w:lvl w:ilvl="0">
      <w:lvlJc w:val="left"/>
      <w:lvlText w:val="%1."/>
      <w:numFmt w:val="decimal"/>
      <w:start w:val="1"/>
    </w:lvl>
    <w:lvl w:ilvl="1">
      <w:lvlJc w:val="left"/>
      <w:lvlText w:val="%2."/>
      <w:numFmt w:val="lowerLetter"/>
      <w:start w:val="1"/>
    </w:lvl>
  </w:abstractNum>
  <w:abstractNum w:abstractNumId="102">
    <w:nsid w:val="3FA62AC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2019-12-11T21:27:41Z</dcterms:created>
  <dcterms:modified xsi:type="dcterms:W3CDTF">2019-12-11T21:27:41Z</dcterms:modified>
</cp:coreProperties>
</file>