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8-K/A</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 (date of earliest event reported): September 12, 1996</w:t>
      </w:r>
    </w:p>
    <w:p>
      <w:pPr>
        <w:spacing w:after="0" w:line="200" w:lineRule="exact"/>
        <w:rPr>
          <w:sz w:val="24"/>
          <w:szCs w:val="24"/>
          <w:color w:val="auto"/>
        </w:rPr>
      </w:pPr>
    </w:p>
    <w:p>
      <w:pPr>
        <w:spacing w:after="0" w:line="303"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5"/>
          <w:szCs w:val="15"/>
          <w:color w:val="auto"/>
        </w:rPr>
        <w:t>USA WASTE SERVICES, INC.</w:t>
      </w:r>
    </w:p>
    <w:p>
      <w:pPr>
        <w:jc w:val="center"/>
        <w:ind w:right="355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jc w:val="right"/>
        <w:ind w:right="5599"/>
        <w:spacing w:after="0"/>
        <w:rPr>
          <w:sz w:val="20"/>
          <w:szCs w:val="20"/>
          <w:color w:val="auto"/>
        </w:rPr>
      </w:pPr>
      <w:r>
        <w:rPr>
          <w:rFonts w:ascii="Courier New" w:cs="Courier New" w:eastAsia="Courier New" w:hAnsi="Courier New"/>
          <w:sz w:val="15"/>
          <w:szCs w:val="15"/>
          <w:color w:val="auto"/>
        </w:rPr>
        <w:t>Commission file number 1-12154</w:t>
      </w:r>
    </w:p>
    <w:p>
      <w:pPr>
        <w:jc w:val="right"/>
        <w:ind w:right="5599"/>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1440" w:gutter="0" w:footer="0" w:header="0"/>
        </w:sectPr>
      </w:pPr>
    </w:p>
    <w:p>
      <w:pPr>
        <w:spacing w:after="0" w:line="335"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620" w:space="720"/>
            <w:col w:w="4899"/>
          </w:cols>
          <w:pgMar w:left="220" w:top="225" w:right="1440" w:bottom="1440" w:gutter="0" w:footer="0" w:header="0"/>
          <w:type w:val="continuous"/>
        </w:sectPr>
      </w:pPr>
    </w:p>
    <w:p>
      <w:pPr>
        <w:spacing w:after="0" w:line="146"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5400 LBJ FREEWAY, SUITE 300 - TOWER ONE</w:t>
      </w:r>
    </w:p>
    <w:p>
      <w:pPr>
        <w:spacing w:after="0" w:line="3"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DALLAS, TEXAS</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75240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980" w:space="720"/>
            <w:col w:w="4539"/>
          </w:cols>
          <w:pgMar w:left="220" w:top="225" w:right="1440" w:bottom="1440" w:gutter="0" w:footer="0" w:header="0"/>
          <w:type w:val="continuous"/>
        </w:sectPr>
      </w:pPr>
    </w:p>
    <w:p>
      <w:pPr>
        <w:spacing w:after="0" w:line="31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(972) 383-7900</w:t>
      </w:r>
    </w:p>
    <w:p>
      <w:pPr>
        <w:sectPr>
          <w:pgSz w:w="11900" w:h="16838" w:orient="portrait"/>
          <w:cols w:equalWidth="0" w:num="2">
            <w:col w:w="4480" w:space="160"/>
            <w:col w:w="559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Pro Forma Condensed Consolidated Financial Statements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pro forma condensed consolidated financial statements of USA Waste Services, Inc. and subsidiaries (the "Company") listed below present the pro forma balance sheet as if the acquisitions which occurred after June 30, 1996 were consummated as of that date, and pro forma results of operations as if 1996 acquisitions had occured on January 1, 1995. The pro forma condensed consolidated balance sheet is as of June 30, 1996. The pro forma condensed consolidated statements of operations are for the six months ended June 30, 1996 and for the year ended December 31, 1995.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Exhibits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Independent Accountants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Consent of Independent Auditors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Consent of Independent Public Accountants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4"/>
          <w:szCs w:val="14"/>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2500" w:type="dxa"/>
            <w:vAlign w:val="bottom"/>
          </w:tcPr>
          <w:p>
            <w:pPr>
              <w:jc w:val="right"/>
              <w:ind w:right="2067"/>
              <w:spacing w:after="0"/>
              <w:rPr>
                <w:sz w:val="20"/>
                <w:szCs w:val="20"/>
                <w:color w:val="auto"/>
              </w:rPr>
            </w:pPr>
            <w:r>
              <w:rPr>
                <w:rFonts w:ascii="Courier New" w:cs="Courier New" w:eastAsia="Courier New" w:hAnsi="Courier New"/>
                <w:sz w:val="15"/>
                <w:szCs w:val="15"/>
                <w:color w:val="auto"/>
              </w:rPr>
              <w:t>3</w:t>
            </w:r>
          </w:p>
        </w:tc>
        <w:tc>
          <w:tcPr>
            <w:tcW w:w="76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0120" w:type="dxa"/>
            <w:vAlign w:val="bottom"/>
            <w:gridSpan w:val="2"/>
          </w:tcPr>
          <w:p>
            <w:pPr>
              <w:jc w:val="right"/>
              <w:ind w:right="4007"/>
              <w:spacing w:after="0" w:line="168" w:lineRule="exact"/>
              <w:rPr>
                <w:sz w:val="20"/>
                <w:szCs w:val="20"/>
                <w:color w:val="auto"/>
              </w:rPr>
            </w:pPr>
            <w:r>
              <w:rPr>
                <w:rFonts w:ascii="Courier New" w:cs="Courier New" w:eastAsia="Courier New" w:hAnsi="Courier New"/>
                <w:sz w:val="15"/>
                <w:szCs w:val="15"/>
                <w:color w:val="auto"/>
              </w:rPr>
              <w:t>INDEX TO PRO FORMA CONDENSED CONSOLIDATED FINANCIAL STATEMENTS</w:t>
            </w:r>
          </w:p>
        </w:tc>
        <w:tc>
          <w:tcPr>
            <w:tcW w:w="380" w:type="dxa"/>
            <w:vAlign w:val="bottom"/>
          </w:tcPr>
          <w:p>
            <w:pPr>
              <w:spacing w:after="0"/>
              <w:rPr>
                <w:sz w:val="14"/>
                <w:szCs w:val="14"/>
                <w:color w:val="auto"/>
              </w:rPr>
            </w:pPr>
          </w:p>
        </w:tc>
      </w:tr>
      <w:tr>
        <w:trPr>
          <w:trHeight w:val="673"/>
        </w:trPr>
        <w:tc>
          <w:tcPr>
            <w:tcW w:w="25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168"/>
        </w:trPr>
        <w:tc>
          <w:tcPr>
            <w:tcW w:w="25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0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Item 7.  Financial Statements and Exhibits  . . . . . . . . . . . . . . . . . . . . . .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 Forma Condensed</w:t>
            </w:r>
          </w:p>
        </w:tc>
        <w:tc>
          <w:tcPr>
            <w:tcW w:w="7620" w:type="dxa"/>
            <w:vAlign w:val="bottom"/>
          </w:tcPr>
          <w:p>
            <w:pPr>
              <w:jc w:val="right"/>
              <w:spacing w:after="0"/>
              <w:rPr>
                <w:sz w:val="20"/>
                <w:szCs w:val="20"/>
                <w:color w:val="auto"/>
              </w:rPr>
            </w:pPr>
            <w:r>
              <w:rPr>
                <w:rFonts w:ascii="Courier New" w:cs="Courier New" w:eastAsia="Courier New" w:hAnsi="Courier New"/>
                <w:sz w:val="15"/>
                <w:szCs w:val="15"/>
                <w:color w:val="auto"/>
                <w:w w:val="97"/>
              </w:rPr>
              <w:t>Consolidated Balance Sheet (unaudited) as of June 30, 1996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 Forma Condensed</w:t>
            </w:r>
          </w:p>
        </w:tc>
        <w:tc>
          <w:tcPr>
            <w:tcW w:w="7620" w:type="dxa"/>
            <w:vAlign w:val="bottom"/>
          </w:tcPr>
          <w:p>
            <w:pPr>
              <w:jc w:val="right"/>
              <w:ind w:right="4347"/>
              <w:spacing w:after="0"/>
              <w:rPr>
                <w:sz w:val="20"/>
                <w:szCs w:val="20"/>
                <w:color w:val="auto"/>
              </w:rPr>
            </w:pPr>
            <w:r>
              <w:rPr>
                <w:rFonts w:ascii="Courier New" w:cs="Courier New" w:eastAsia="Courier New" w:hAnsi="Courier New"/>
                <w:sz w:val="15"/>
                <w:szCs w:val="15"/>
                <w:color w:val="auto"/>
                <w:w w:val="98"/>
              </w:rPr>
              <w:t>Consolidated Statement of Operations</w:t>
            </w:r>
          </w:p>
        </w:tc>
        <w:tc>
          <w:tcPr>
            <w:tcW w:w="380" w:type="dxa"/>
            <w:vAlign w:val="bottom"/>
          </w:tcPr>
          <w:p>
            <w:pPr>
              <w:spacing w:after="0"/>
              <w:rPr>
                <w:sz w:val="24"/>
                <w:szCs w:val="2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for the six months ended June 30, 1996 . . . . . . . . . . . . . . . . . . . . . . .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 Forma Condensed</w:t>
            </w:r>
          </w:p>
        </w:tc>
        <w:tc>
          <w:tcPr>
            <w:tcW w:w="7620" w:type="dxa"/>
            <w:vAlign w:val="bottom"/>
          </w:tcPr>
          <w:p>
            <w:pPr>
              <w:jc w:val="right"/>
              <w:ind w:right="4347"/>
              <w:spacing w:after="0"/>
              <w:rPr>
                <w:sz w:val="20"/>
                <w:szCs w:val="20"/>
                <w:color w:val="auto"/>
              </w:rPr>
            </w:pPr>
            <w:r>
              <w:rPr>
                <w:rFonts w:ascii="Courier New" w:cs="Courier New" w:eastAsia="Courier New" w:hAnsi="Courier New"/>
                <w:sz w:val="15"/>
                <w:szCs w:val="15"/>
                <w:color w:val="auto"/>
                <w:w w:val="98"/>
              </w:rPr>
              <w:t>Consolidated Statement of Operations</w:t>
            </w:r>
          </w:p>
        </w:tc>
        <w:tc>
          <w:tcPr>
            <w:tcW w:w="380" w:type="dxa"/>
            <w:vAlign w:val="bottom"/>
          </w:tcPr>
          <w:p>
            <w:pPr>
              <w:spacing w:after="0"/>
              <w:rPr>
                <w:sz w:val="24"/>
                <w:szCs w:val="2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for the year ended December 31, 1995 . . . . . . . . . . . . . . . . . . . . . . . .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10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Pro Forma Condensed Consolidated Financial Statements (unaudited) . .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r>
      <w:tr>
        <w:trPr>
          <w:trHeight w:val="336"/>
        </w:trPr>
        <w:tc>
          <w:tcPr>
            <w:tcW w:w="10120" w:type="dxa"/>
            <w:vAlign w:val="bottom"/>
            <w:gridSpan w:val="2"/>
          </w:tcPr>
          <w:p>
            <w:pPr>
              <w:jc w:val="right"/>
              <w:ind w:right="5407"/>
              <w:spacing w:after="0"/>
              <w:rPr>
                <w:sz w:val="20"/>
                <w:szCs w:val="20"/>
                <w:color w:val="auto"/>
              </w:rPr>
            </w:pPr>
            <w:r>
              <w:rPr>
                <w:rFonts w:ascii="Courier New" w:cs="Courier New" w:eastAsia="Courier New" w:hAnsi="Courier New"/>
                <w:sz w:val="15"/>
                <w:szCs w:val="15"/>
                <w:color w:val="auto"/>
              </w:rPr>
              <w:t>Financial Statements of Businesses Acquired:</w:t>
            </w:r>
          </w:p>
        </w:tc>
        <w:tc>
          <w:tcPr>
            <w:tcW w:w="380" w:type="dxa"/>
            <w:vAlign w:val="bottom"/>
          </w:tcPr>
          <w:p>
            <w:pPr>
              <w:spacing w:after="0"/>
              <w:rPr>
                <w:sz w:val="24"/>
                <w:szCs w:val="24"/>
                <w:color w:val="auto"/>
              </w:rPr>
            </w:pPr>
          </w:p>
        </w:tc>
      </w:tr>
      <w:tr>
        <w:trPr>
          <w:trHeight w:val="336"/>
        </w:trPr>
        <w:tc>
          <w:tcPr>
            <w:tcW w:w="10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Acquired Quebec Solid Waste Companies . . . . . . . . . . . . . . . . . . . . . . . . . . . . .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68"/>
        </w:trPr>
        <w:tc>
          <w:tcPr>
            <w:tcW w:w="10120" w:type="dxa"/>
            <w:vAlign w:val="bottom"/>
            <w:gridSpan w:val="2"/>
          </w:tcPr>
          <w:p>
            <w:pPr>
              <w:jc w:val="right"/>
              <w:ind w:right="5747"/>
              <w:spacing w:after="0" w:line="168" w:lineRule="exact"/>
              <w:rPr>
                <w:sz w:val="20"/>
                <w:szCs w:val="20"/>
                <w:color w:val="auto"/>
              </w:rPr>
            </w:pPr>
            <w:r>
              <w:rPr>
                <w:rFonts w:ascii="Courier New" w:cs="Courier New" w:eastAsia="Courier New" w:hAnsi="Courier New"/>
                <w:sz w:val="15"/>
                <w:szCs w:val="15"/>
                <w:color w:val="auto"/>
              </w:rPr>
              <w:t>Transport Sanico Lte'e:</w:t>
            </w:r>
          </w:p>
        </w:tc>
        <w:tc>
          <w:tcPr>
            <w:tcW w:w="380" w:type="dxa"/>
            <w:vAlign w:val="bottom"/>
          </w:tcPr>
          <w:p>
            <w:pPr>
              <w:spacing w:after="0"/>
              <w:rPr>
                <w:sz w:val="14"/>
                <w:szCs w:val="14"/>
                <w:color w:val="auto"/>
              </w:rPr>
            </w:pPr>
          </w:p>
        </w:tc>
      </w:tr>
    </w:tbl>
    <w:p>
      <w:pPr>
        <w:ind w:left="2460"/>
        <w:spacing w:after="0" w:line="237" w:lineRule="auto"/>
        <w:rPr>
          <w:sz w:val="20"/>
          <w:szCs w:val="20"/>
          <w:color w:val="auto"/>
        </w:rPr>
      </w:pPr>
      <w:r>
        <w:rPr>
          <w:rFonts w:ascii="Courier New" w:cs="Courier New" w:eastAsia="Courier New" w:hAnsi="Courier New"/>
          <w:sz w:val="15"/>
          <w:szCs w:val="15"/>
          <w:color w:val="auto"/>
        </w:rPr>
        <w:t>Auditors' Report</w:t>
      </w:r>
    </w:p>
    <w:p>
      <w:pPr>
        <w:ind w:left="2460"/>
        <w:spacing w:after="0" w:line="238" w:lineRule="auto"/>
        <w:rPr>
          <w:sz w:val="20"/>
          <w:szCs w:val="20"/>
          <w:color w:val="auto"/>
        </w:rPr>
      </w:pPr>
      <w:r>
        <w:rPr>
          <w:rFonts w:ascii="Courier New" w:cs="Courier New" w:eastAsia="Courier New" w:hAnsi="Courier New"/>
          <w:sz w:val="15"/>
          <w:szCs w:val="15"/>
          <w:color w:val="auto"/>
        </w:rPr>
        <w:t>Statement of Earnings and Retained Earnings for the Year ended December 31, 1995</w:t>
      </w:r>
    </w:p>
    <w:p>
      <w:pPr>
        <w:ind w:left="2460"/>
        <w:spacing w:after="0" w:line="237" w:lineRule="auto"/>
        <w:rPr>
          <w:sz w:val="20"/>
          <w:szCs w:val="20"/>
          <w:color w:val="auto"/>
        </w:rPr>
      </w:pPr>
      <w:r>
        <w:rPr>
          <w:rFonts w:ascii="Courier New" w:cs="Courier New" w:eastAsia="Courier New" w:hAnsi="Courier New"/>
          <w:sz w:val="15"/>
          <w:szCs w:val="15"/>
          <w:color w:val="auto"/>
        </w:rPr>
        <w:t>Balance Sheet as of December 31, 1995</w:t>
      </w:r>
    </w:p>
    <w:p>
      <w:pPr>
        <w:ind w:left="2460"/>
        <w:spacing w:after="0" w:line="238" w:lineRule="auto"/>
        <w:rPr>
          <w:sz w:val="20"/>
          <w:szCs w:val="20"/>
          <w:color w:val="auto"/>
        </w:rPr>
      </w:pPr>
      <w:r>
        <w:rPr>
          <w:rFonts w:ascii="Courier New" w:cs="Courier New" w:eastAsia="Courier New" w:hAnsi="Courier New"/>
          <w:sz w:val="15"/>
          <w:szCs w:val="15"/>
          <w:color w:val="auto"/>
        </w:rPr>
        <w:t>Statement of Changes in Financial Position for the Year Ended December 31, 1995</w:t>
      </w:r>
    </w:p>
    <w:p>
      <w:pPr>
        <w:ind w:left="246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280"/>
        <w:spacing w:after="0" w:line="238" w:lineRule="auto"/>
        <w:rPr>
          <w:sz w:val="20"/>
          <w:szCs w:val="20"/>
          <w:color w:val="auto"/>
        </w:rPr>
      </w:pPr>
      <w:r>
        <w:rPr>
          <w:rFonts w:ascii="Courier New" w:cs="Courier New" w:eastAsia="Courier New" w:hAnsi="Courier New"/>
          <w:sz w:val="15"/>
          <w:szCs w:val="15"/>
          <w:color w:val="auto"/>
        </w:rPr>
        <w:t>Les Entreprises De Rebuts Sanipan Inc.:</w:t>
      </w:r>
    </w:p>
    <w:p>
      <w:pPr>
        <w:ind w:left="2460"/>
        <w:spacing w:after="0" w:line="237" w:lineRule="auto"/>
        <w:rPr>
          <w:sz w:val="20"/>
          <w:szCs w:val="20"/>
          <w:color w:val="auto"/>
        </w:rPr>
      </w:pPr>
      <w:r>
        <w:rPr>
          <w:rFonts w:ascii="Courier New" w:cs="Courier New" w:eastAsia="Courier New" w:hAnsi="Courier New"/>
          <w:sz w:val="15"/>
          <w:szCs w:val="15"/>
          <w:color w:val="auto"/>
        </w:rPr>
        <w:t>Auditors' Report</w:t>
      </w:r>
    </w:p>
    <w:p>
      <w:pPr>
        <w:ind w:left="2460"/>
        <w:spacing w:after="0" w:line="238" w:lineRule="auto"/>
        <w:rPr>
          <w:sz w:val="20"/>
          <w:szCs w:val="20"/>
          <w:color w:val="auto"/>
        </w:rPr>
      </w:pPr>
      <w:r>
        <w:rPr>
          <w:rFonts w:ascii="Courier New" w:cs="Courier New" w:eastAsia="Courier New" w:hAnsi="Courier New"/>
          <w:sz w:val="15"/>
          <w:szCs w:val="15"/>
          <w:color w:val="auto"/>
        </w:rPr>
        <w:t>Statement of Earnings and Retained Earnings for the Year ended December 31, 1995</w:t>
      </w:r>
    </w:p>
    <w:p>
      <w:pPr>
        <w:ind w:left="2460"/>
        <w:spacing w:after="0" w:line="238" w:lineRule="auto"/>
        <w:rPr>
          <w:sz w:val="20"/>
          <w:szCs w:val="20"/>
          <w:color w:val="auto"/>
        </w:rPr>
      </w:pPr>
      <w:r>
        <w:rPr>
          <w:rFonts w:ascii="Courier New" w:cs="Courier New" w:eastAsia="Courier New" w:hAnsi="Courier New"/>
          <w:sz w:val="15"/>
          <w:szCs w:val="15"/>
          <w:color w:val="auto"/>
        </w:rPr>
        <w:t>Balance Sheet as of December 31, 1995</w:t>
      </w:r>
    </w:p>
    <w:p>
      <w:pPr>
        <w:ind w:left="2460"/>
        <w:spacing w:after="0" w:line="237" w:lineRule="auto"/>
        <w:rPr>
          <w:sz w:val="20"/>
          <w:szCs w:val="20"/>
          <w:color w:val="auto"/>
        </w:rPr>
      </w:pPr>
      <w:r>
        <w:rPr>
          <w:rFonts w:ascii="Courier New" w:cs="Courier New" w:eastAsia="Courier New" w:hAnsi="Courier New"/>
          <w:sz w:val="15"/>
          <w:szCs w:val="15"/>
          <w:color w:val="auto"/>
        </w:rPr>
        <w:t>Statement of Changes in Financial Position for the Year Ended December 31, 1995</w:t>
      </w:r>
    </w:p>
    <w:p>
      <w:pPr>
        <w:ind w:left="2460"/>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Acquired Michigan and Ontario Solid Waste Companies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Accountants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Historical Summary of Revenues and Direct Expenses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Historical Summary of Revenues and Direct Expenses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Accountants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Historical Summary of Net Book Value of Property, Plant and Equipment</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Historical Summary of Net Book Value of Property, Plant and Equipment</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Kasper Brothers, Inc. Financial Statements.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Accountants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Balance Sheet as of September 30,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Operations and Retained Earnings for the year ended September 30,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Cash Flows for the year ended September 30,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Arnoni Group Financial Statements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Report of Independent Auditors</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Balance Sheet as of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Combined Statement of Income and Retained Earnings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Combined Financial Statements</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Jennings Environmental Services, Inc. Financial Statements.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Independent Auditors' Report</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Balance Sheet as of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Income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Changes in Stockholders' Equity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Statement of Cash Flows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300" w:type="dxa"/>
            <w:vAlign w:val="bottom"/>
          </w:tcPr>
          <w:p>
            <w:pPr>
              <w:spacing w:after="0"/>
              <w:rPr>
                <w:sz w:val="14"/>
                <w:szCs w:val="14"/>
                <w:color w:val="auto"/>
              </w:rPr>
            </w:pPr>
          </w:p>
        </w:tc>
      </w:tr>
      <w:tr>
        <w:trPr>
          <w:trHeight w:val="336"/>
        </w:trPr>
        <w:tc>
          <w:tcPr>
            <w:tcW w:w="8620" w:type="dxa"/>
            <w:vAlign w:val="bottom"/>
          </w:tcPr>
          <w:p>
            <w:pPr>
              <w:spacing w:after="0"/>
              <w:rPr>
                <w:sz w:val="20"/>
                <w:szCs w:val="20"/>
                <w:color w:val="auto"/>
              </w:rPr>
            </w:pPr>
            <w:r>
              <w:rPr>
                <w:rFonts w:ascii="Courier New" w:cs="Courier New" w:eastAsia="Courier New" w:hAnsi="Courier New"/>
                <w:sz w:val="15"/>
                <w:szCs w:val="15"/>
                <w:color w:val="auto"/>
                <w:w w:val="98"/>
              </w:rPr>
              <w:t>Grand Central Sanitation, Inc. and Related Companies.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Independent Auditors' Report</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Balance Sheet as of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Statement of Income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Statement of Stockholders' Equity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Combined Statement of Cash Flows for the year ended December 31, 1995</w:t>
            </w:r>
          </w:p>
        </w:tc>
        <w:tc>
          <w:tcPr>
            <w:tcW w:w="300" w:type="dxa"/>
            <w:vAlign w:val="bottom"/>
          </w:tcPr>
          <w:p>
            <w:pPr>
              <w:spacing w:after="0"/>
              <w:rPr>
                <w:sz w:val="14"/>
                <w:szCs w:val="14"/>
                <w:color w:val="auto"/>
              </w:rPr>
            </w:pPr>
          </w:p>
        </w:tc>
      </w:tr>
      <w:tr>
        <w:trPr>
          <w:trHeight w:val="168"/>
        </w:trPr>
        <w:tc>
          <w:tcPr>
            <w:tcW w:w="8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Notes to Combined Financial Statements</w:t>
            </w:r>
          </w:p>
        </w:tc>
        <w:tc>
          <w:tcPr>
            <w:tcW w:w="3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500"/>
          </w:cols>
          <w:pgMar w:left="220" w:top="281"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500"/>
          </w:cols>
          <w:pgMar w:left="220" w:top="281" w:right="117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140" w:val="left"/>
        </w:tabs>
        <w:rPr>
          <w:sz w:val="20"/>
          <w:szCs w:val="20"/>
          <w:color w:val="auto"/>
        </w:rPr>
      </w:pPr>
      <w:r>
        <w:rPr>
          <w:rFonts w:ascii="Courier New" w:cs="Courier New" w:eastAsia="Courier New" w:hAnsi="Courier New"/>
          <w:sz w:val="15"/>
          <w:szCs w:val="15"/>
          <w:color w:val="auto"/>
        </w:rPr>
        <w:t>Garnet Group Combined Financial Statements . . . . . . . . . . . . . . . . . . . . . . . . . . . . .</w:t>
      </w:r>
      <w:r>
        <w:rPr>
          <w:sz w:val="20"/>
          <w:szCs w:val="20"/>
          <w:color w:val="auto"/>
        </w:rPr>
        <w:tab/>
      </w:r>
      <w:r>
        <w:rPr>
          <w:rFonts w:ascii="Courier New" w:cs="Courier New" w:eastAsia="Courier New" w:hAnsi="Courier New"/>
          <w:sz w:val="12"/>
          <w:szCs w:val="12"/>
          <w:color w:val="auto"/>
        </w:rPr>
        <w:t>80</w:t>
      </w:r>
    </w:p>
    <w:p>
      <w:pPr>
        <w:ind w:left="200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ind w:left="2000"/>
        <w:spacing w:after="0" w:line="238" w:lineRule="auto"/>
        <w:rPr>
          <w:sz w:val="20"/>
          <w:szCs w:val="20"/>
          <w:color w:val="auto"/>
        </w:rPr>
      </w:pPr>
      <w:r>
        <w:rPr>
          <w:rFonts w:ascii="Courier New" w:cs="Courier New" w:eastAsia="Courier New" w:hAnsi="Courier New"/>
          <w:sz w:val="15"/>
          <w:szCs w:val="15"/>
          <w:color w:val="auto"/>
        </w:rPr>
        <w:t>Combined Balance Sheet as of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Operations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Stockholders' Deficit for the year ended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Cash Flows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167" w:lineRule="exact"/>
        <w:rPr>
          <w:sz w:val="20"/>
          <w:szCs w:val="20"/>
          <w:color w:val="auto"/>
        </w:rPr>
      </w:pPr>
    </w:p>
    <w:p>
      <w:pPr>
        <w:jc w:val="right"/>
        <w:spacing w:after="0"/>
        <w:tabs>
          <w:tab w:leader="none" w:pos="140" w:val="left"/>
        </w:tabs>
        <w:rPr>
          <w:sz w:val="20"/>
          <w:szCs w:val="20"/>
          <w:color w:val="auto"/>
        </w:rPr>
      </w:pPr>
      <w:r>
        <w:rPr>
          <w:rFonts w:ascii="Courier New" w:cs="Courier New" w:eastAsia="Courier New" w:hAnsi="Courier New"/>
          <w:sz w:val="15"/>
          <w:szCs w:val="15"/>
          <w:color w:val="auto"/>
        </w:rPr>
        <w:t>Orange Group Combined Financial Statements . . . . . . . . . . . . . . . . . . . . . . . . . . . . .</w:t>
      </w:r>
      <w:r>
        <w:rPr>
          <w:sz w:val="20"/>
          <w:szCs w:val="20"/>
          <w:color w:val="auto"/>
        </w:rPr>
        <w:tab/>
      </w:r>
      <w:r>
        <w:rPr>
          <w:rFonts w:ascii="Courier New" w:cs="Courier New" w:eastAsia="Courier New" w:hAnsi="Courier New"/>
          <w:sz w:val="12"/>
          <w:szCs w:val="12"/>
          <w:color w:val="auto"/>
        </w:rPr>
        <w:t>93</w:t>
      </w:r>
    </w:p>
    <w:p>
      <w:pPr>
        <w:ind w:left="2000"/>
        <w:spacing w:after="0" w:line="237" w:lineRule="auto"/>
        <w:rPr>
          <w:sz w:val="20"/>
          <w:szCs w:val="20"/>
          <w:color w:val="auto"/>
        </w:rPr>
      </w:pPr>
      <w:r>
        <w:rPr>
          <w:rFonts w:ascii="Courier New" w:cs="Courier New" w:eastAsia="Courier New" w:hAnsi="Courier New"/>
          <w:sz w:val="15"/>
          <w:szCs w:val="15"/>
          <w:color w:val="auto"/>
        </w:rPr>
        <w:t>Report of Independent Auditors</w:t>
      </w:r>
    </w:p>
    <w:p>
      <w:pPr>
        <w:ind w:left="2000"/>
        <w:spacing w:after="0" w:line="238" w:lineRule="auto"/>
        <w:rPr>
          <w:sz w:val="20"/>
          <w:szCs w:val="20"/>
          <w:color w:val="auto"/>
        </w:rPr>
      </w:pPr>
      <w:r>
        <w:rPr>
          <w:rFonts w:ascii="Courier New" w:cs="Courier New" w:eastAsia="Courier New" w:hAnsi="Courier New"/>
          <w:sz w:val="15"/>
          <w:szCs w:val="15"/>
          <w:color w:val="auto"/>
        </w:rPr>
        <w:t>Combined Balance Sheet as of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Operations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Retained Earnings for the year ended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Cash Flows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167" w:lineRule="exact"/>
        <w:rPr>
          <w:sz w:val="20"/>
          <w:szCs w:val="20"/>
          <w:color w:val="auto"/>
        </w:rPr>
      </w:pPr>
    </w:p>
    <w:p>
      <w:pPr>
        <w:jc w:val="right"/>
        <w:spacing w:after="0"/>
        <w:tabs>
          <w:tab w:leader="none" w:pos="3560" w:val="left"/>
          <w:tab w:leader="none" w:pos="240" w:val="left"/>
        </w:tabs>
        <w:rPr>
          <w:sz w:val="20"/>
          <w:szCs w:val="20"/>
          <w:color w:val="auto"/>
        </w:rPr>
      </w:pPr>
      <w:r>
        <w:rPr>
          <w:rFonts w:ascii="Courier New" w:cs="Courier New" w:eastAsia="Courier New" w:hAnsi="Courier New"/>
          <w:sz w:val="15"/>
          <w:szCs w:val="15"/>
          <w:color w:val="auto"/>
        </w:rPr>
        <w:t>Combined Companies (City, Alpine, and LGI) Financial Statements</w:t>
        <w:tab/>
        <w:t>. . . . . . . . . . . . . . . . . .</w:t>
      </w:r>
      <w:r>
        <w:rPr>
          <w:sz w:val="20"/>
          <w:szCs w:val="20"/>
          <w:color w:val="auto"/>
        </w:rPr>
        <w:tab/>
      </w:r>
      <w:r>
        <w:rPr>
          <w:rFonts w:ascii="Courier New" w:cs="Courier New" w:eastAsia="Courier New" w:hAnsi="Courier New"/>
          <w:sz w:val="14"/>
          <w:szCs w:val="14"/>
          <w:color w:val="auto"/>
        </w:rPr>
        <w:t>108</w:t>
      </w:r>
    </w:p>
    <w:p>
      <w:pPr>
        <w:ind w:left="200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ind w:left="2000"/>
        <w:spacing w:after="0" w:line="238" w:lineRule="auto"/>
        <w:rPr>
          <w:sz w:val="20"/>
          <w:szCs w:val="20"/>
          <w:color w:val="auto"/>
        </w:rPr>
      </w:pPr>
      <w:r>
        <w:rPr>
          <w:rFonts w:ascii="Courier New" w:cs="Courier New" w:eastAsia="Courier New" w:hAnsi="Courier New"/>
          <w:sz w:val="15"/>
          <w:szCs w:val="15"/>
          <w:color w:val="auto"/>
        </w:rPr>
        <w:t>Combined Balance Sheet as of December 31, 1995</w:t>
      </w:r>
    </w:p>
    <w:p>
      <w:pPr>
        <w:ind w:left="2000"/>
        <w:spacing w:after="0" w:line="237" w:lineRule="auto"/>
        <w:rPr>
          <w:sz w:val="20"/>
          <w:szCs w:val="20"/>
          <w:color w:val="auto"/>
        </w:rPr>
      </w:pPr>
      <w:r>
        <w:rPr>
          <w:rFonts w:ascii="Courier New" w:cs="Courier New" w:eastAsia="Courier New" w:hAnsi="Courier New"/>
          <w:sz w:val="15"/>
          <w:szCs w:val="15"/>
          <w:color w:val="auto"/>
        </w:rPr>
        <w:t>Combined Statement of Operations for the year ended 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Stockholders' Equity and Partners' Capital for the year ended</w:t>
      </w:r>
    </w:p>
    <w:p>
      <w:pPr>
        <w:ind w:left="2620"/>
        <w:spacing w:after="0" w:line="237" w:lineRule="auto"/>
        <w:rPr>
          <w:sz w:val="20"/>
          <w:szCs w:val="20"/>
          <w:color w:val="auto"/>
        </w:rPr>
      </w:pPr>
      <w:r>
        <w:rPr>
          <w:rFonts w:ascii="Courier New" w:cs="Courier New" w:eastAsia="Courier New" w:hAnsi="Courier New"/>
          <w:sz w:val="15"/>
          <w:szCs w:val="15"/>
          <w:color w:val="auto"/>
        </w:rPr>
        <w:t>December 31, 1995</w:t>
      </w:r>
    </w:p>
    <w:p>
      <w:pPr>
        <w:ind w:left="2000"/>
        <w:spacing w:after="0" w:line="238" w:lineRule="auto"/>
        <w:rPr>
          <w:sz w:val="20"/>
          <w:szCs w:val="20"/>
          <w:color w:val="auto"/>
        </w:rPr>
      </w:pPr>
      <w:r>
        <w:rPr>
          <w:rFonts w:ascii="Courier New" w:cs="Courier New" w:eastAsia="Courier New" w:hAnsi="Courier New"/>
          <w:sz w:val="15"/>
          <w:szCs w:val="15"/>
          <w:color w:val="auto"/>
        </w:rPr>
        <w:t>Combined Statement of Cash Flows for the year ended December 31, 1995</w:t>
      </w:r>
    </w:p>
    <w:p>
      <w:pPr>
        <w:ind w:left="2000"/>
        <w:spacing w:after="0" w:line="237"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80"/>
          </w:cols>
          <w:pgMar w:left="500" w:top="281" w:right="91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jc w:val="center"/>
        <w:ind w:right="339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499"/>
        <w:spacing w:after="0" w:line="238" w:lineRule="auto"/>
        <w:rPr>
          <w:sz w:val="20"/>
          <w:szCs w:val="20"/>
          <w:color w:val="auto"/>
        </w:rPr>
      </w:pPr>
      <w:r>
        <w:rPr>
          <w:rFonts w:ascii="Courier New" w:cs="Courier New" w:eastAsia="Courier New" w:hAnsi="Courier New"/>
          <w:sz w:val="15"/>
          <w:szCs w:val="15"/>
          <w:color w:val="auto"/>
        </w:rPr>
        <w:t>PRO FORMA CONDENSED CONSOLIDATED FINANCIAL STATEMENTS</w:t>
      </w:r>
    </w:p>
    <w:p>
      <w:pPr>
        <w:jc w:val="center"/>
        <w:ind w:right="349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During 1996, USA Waste Services, Inc. (the "Company") acquired several waste collection businesses and landfills, at various dates, as described in Notes 2 and 16 to the 1995 Supplemental Consolidated Financial Statements and Notes 1 and 5 to the 1996 Supplemental Interim Condensed Consolidated Financial Statements included in the Company's Current Report on Form 8-K dated November 12, 1996, filed in connection with the acquisition of Sanifill, Inc. (the "Supplemental Financial Statements"). For those acquisitions accounted for under the pooling of interests method, the financial statements of the acquired companies are included with the Supplemental Financial Statements at their historical amounts, and, if material, all periods presented are restated as if the combination occurred on the first day of the earliest year presented. For acquisitions accounted for as purchases, the financial statements of the businesses acquired are included with the Supplemental Financial Statements since the date of the acquisitions.</w:t>
      </w:r>
    </w:p>
    <w:p>
      <w:pPr>
        <w:spacing w:after="0" w:line="33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accompanying pro forma condensed consolidated balance sheet as of June 30, 1996 has been prepared as if the acquisitions which occurred after June 30, 1996 were consummated as of that date. The accompanying pro forma condensed consolidated statements of operations for the year ended December 31, 1995 and for the six month period ended June 30, 1996 present the pro forma results of operations of the Company as if the 1996 acquisitions had occurred on January 1, 1995. The accompanying pro forma condensed consolidated financial statements should be read in conjunction with the Supplemental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jc w:val="center"/>
        <w:ind w:right="4100"/>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4100"/>
        <w:spacing w:after="0" w:line="238" w:lineRule="auto"/>
        <w:rPr>
          <w:sz w:val="20"/>
          <w:szCs w:val="20"/>
          <w:color w:val="auto"/>
        </w:rPr>
      </w:pPr>
      <w:r>
        <w:rPr>
          <w:rFonts w:ascii="Courier New" w:cs="Courier New" w:eastAsia="Courier New" w:hAnsi="Courier New"/>
          <w:sz w:val="15"/>
          <w:szCs w:val="15"/>
          <w:color w:val="auto"/>
        </w:rPr>
        <w:t>PRO FORMA CONDENSED CONSOLIDATED BALANCE SHEET</w:t>
      </w:r>
    </w:p>
    <w:p>
      <w:pPr>
        <w:jc w:val="center"/>
        <w:ind w:right="4100"/>
        <w:spacing w:after="0" w:line="237" w:lineRule="auto"/>
        <w:rPr>
          <w:sz w:val="20"/>
          <w:szCs w:val="20"/>
          <w:color w:val="auto"/>
        </w:rPr>
      </w:pPr>
      <w:r>
        <w:rPr>
          <w:rFonts w:ascii="Courier New" w:cs="Courier New" w:eastAsia="Courier New" w:hAnsi="Courier New"/>
          <w:sz w:val="15"/>
          <w:szCs w:val="15"/>
          <w:color w:val="auto"/>
        </w:rPr>
        <w:t>(In Thousands, Except Share and Par Value Amounts)</w:t>
      </w:r>
    </w:p>
    <w:p>
      <w:pPr>
        <w:jc w:val="center"/>
        <w:ind w:right="400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5"/>
              </w:rPr>
              <w:t>BUSINESSES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AFTER</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SUPPLEMENTAL</w:t>
            </w:r>
          </w:p>
        </w:tc>
        <w:tc>
          <w:tcPr>
            <w:tcW w:w="21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JUNE 30, 1996</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(NOTE 1)</w:t>
            </w:r>
          </w:p>
        </w:tc>
        <w:tc>
          <w:tcPr>
            <w:tcW w:w="620" w:type="dxa"/>
            <w:vAlign w:val="bottom"/>
          </w:tcPr>
          <w:p>
            <w:pPr>
              <w:spacing w:after="0"/>
              <w:rPr>
                <w:sz w:val="14"/>
                <w:szCs w:val="14"/>
                <w:color w:val="auto"/>
              </w:rPr>
            </w:pPr>
          </w:p>
        </w:tc>
        <w:tc>
          <w:tcPr>
            <w:tcW w:w="148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(NOTE 2)</w:t>
            </w:r>
          </w:p>
        </w:tc>
        <w:tc>
          <w:tcPr>
            <w:tcW w:w="5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5220" w:type="dxa"/>
            <w:vAlign w:val="bottom"/>
          </w:tcPr>
          <w:p>
            <w:pPr>
              <w:spacing w:after="0"/>
              <w:rPr>
                <w:sz w:val="14"/>
                <w:szCs w:val="14"/>
                <w:color w:val="auto"/>
              </w:rPr>
            </w:pPr>
          </w:p>
        </w:tc>
        <w:tc>
          <w:tcPr>
            <w:tcW w:w="19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34,626</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($11,787)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22,839</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176,422</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177,676</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14,343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14,343</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38,870</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38,870</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39,333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39,546</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303,594</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(10,320)</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293,274</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60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28,937</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28,937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1,586,353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97,139</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1,683,492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278,494</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132,623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411,117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63,185</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6,127</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69,312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117,332</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2,386</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119,718</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$ 2,377,895</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227,955</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$ 2,605,850</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73,154</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73,580</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93,170</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3,045</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96,215</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15,853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374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16,227</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24,766</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2,863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27,629</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206,943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6,708</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213,651</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0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928,147</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108,758</w:t>
            </w:r>
          </w:p>
        </w:tc>
        <w:tc>
          <w:tcPr>
            <w:tcW w:w="5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1,036,905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167,812</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25,166</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192,978</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28,845</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29,400</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58,245</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1,331,747</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170,032</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1,501,353</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$1.00 par value; 10,000,000 shares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none issued</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$.01 par value; 150,000,000 shares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historical 134,289,891 shares</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(137,184,979 pro forma shares) issued and</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outstanding</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1,343</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1,167,105</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59,444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1,226,549</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6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(107,170)</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(1,352)</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(108,522)</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6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(14,646)</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(14,646)</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treasury stock at cost, 23,485 shares</w:t>
            </w:r>
          </w:p>
        </w:tc>
        <w:tc>
          <w:tcPr>
            <w:tcW w:w="6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w:t>
            </w:r>
          </w:p>
        </w:tc>
        <w:tc>
          <w:tcPr>
            <w:tcW w:w="62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(198)</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6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1,046,148</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57,923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1,104,071</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$ 2,377,895</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227,955</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$ 2,605,850</w:t>
            </w:r>
          </w:p>
        </w:tc>
      </w:tr>
      <w:tr>
        <w:trPr>
          <w:trHeight w:val="168"/>
        </w:trPr>
        <w:tc>
          <w:tcPr>
            <w:tcW w:w="5220" w:type="dxa"/>
            <w:vAlign w:val="bottom"/>
          </w:tcPr>
          <w:p>
            <w:pPr>
              <w:spacing w:after="0"/>
              <w:rPr>
                <w:sz w:val="14"/>
                <w:szCs w:val="14"/>
                <w:color w:val="auto"/>
              </w:rPr>
            </w:pP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right="392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1</w:t>
        <w:tab/>
        <w:t>The supplemental consolidated balance sheet will become the historical consolidated balance sheet of the Company after financial statements covering the date of consummation of the Sanifill, Inc. merger (August 30, 1996) are issued.</w:t>
      </w:r>
    </w:p>
    <w:p>
      <w:pPr>
        <w:spacing w:after="0" w:line="175" w:lineRule="exact"/>
        <w:rPr>
          <w:sz w:val="20"/>
          <w:szCs w:val="20"/>
          <w:color w:val="auto"/>
        </w:rPr>
      </w:pPr>
    </w:p>
    <w:p>
      <w:pPr>
        <w:ind w:left="700" w:right="392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2</w:t>
        <w:tab/>
        <w:t>To reflect the historical balance sheet for acquisitions accounted for as poolings of interests and the purchase price allocations for acquisitions accounted for as purchases.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ectPr>
          <w:pgSz w:w="11900" w:h="16838" w:orient="portrait"/>
          <w:cols w:equalWidth="0" w:num="1">
            <w:col w:w="10760"/>
          </w:cols>
          <w:pgMar w:left="220" w:top="281"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760"/>
          </w:cols>
          <w:pgMar w:left="220" w:top="281" w:right="919" w:bottom="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USA WASTE SERVICES, INC.</w:t>
      </w:r>
    </w:p>
    <w:p>
      <w:pPr>
        <w:jc w:val="center"/>
        <w:ind w:right="4020"/>
        <w:spacing w:after="0" w:line="237" w:lineRule="auto"/>
        <w:rPr>
          <w:sz w:val="20"/>
          <w:szCs w:val="20"/>
          <w:color w:val="auto"/>
        </w:rPr>
      </w:pPr>
      <w:r>
        <w:rPr>
          <w:rFonts w:ascii="Courier New" w:cs="Courier New" w:eastAsia="Courier New" w:hAnsi="Courier New"/>
          <w:sz w:val="15"/>
          <w:szCs w:val="15"/>
          <w:color w:val="auto"/>
        </w:rPr>
        <w:t>PRO FORMA CONDENSED CONSOLIDATED STATEMENT OF OPERATIONS</w:t>
      </w:r>
    </w:p>
    <w:p>
      <w:pPr>
        <w:jc w:val="center"/>
        <w:ind w:right="402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jc w:val="center"/>
        <w:ind w:right="412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Six Months Ended 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5"/>
              </w:rPr>
              <w:t>BUSINESSES</w:t>
            </w:r>
          </w:p>
        </w:tc>
        <w:tc>
          <w:tcPr>
            <w:tcW w:w="1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5"/>
              </w:rPr>
              <w:t>BUSINESSES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THROUGH</w:t>
            </w:r>
          </w:p>
        </w:tc>
        <w:tc>
          <w:tcPr>
            <w:tcW w:w="44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AFTER</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SUPPLEMENTAL</w:t>
            </w: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1996</w:t>
            </w:r>
          </w:p>
        </w:tc>
        <w:tc>
          <w:tcPr>
            <w:tcW w:w="1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(NOTE 1)</w:t>
            </w:r>
          </w:p>
        </w:tc>
        <w:tc>
          <w:tcPr>
            <w:tcW w:w="300" w:type="dxa"/>
            <w:vAlign w:val="bottom"/>
          </w:tcPr>
          <w:p>
            <w:pPr>
              <w:spacing w:after="0"/>
              <w:rPr>
                <w:sz w:val="14"/>
                <w:szCs w:val="14"/>
                <w:color w:val="auto"/>
              </w:rPr>
            </w:pPr>
          </w:p>
        </w:tc>
        <w:tc>
          <w:tcPr>
            <w:tcW w:w="12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(NOTE 2)</w:t>
            </w:r>
          </w:p>
        </w:tc>
        <w:tc>
          <w:tcPr>
            <w:tcW w:w="44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(NOTE 3)</w:t>
            </w:r>
          </w:p>
        </w:tc>
        <w:tc>
          <w:tcPr>
            <w:tcW w:w="1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12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720" w:type="dxa"/>
            <w:vAlign w:val="bottom"/>
          </w:tcPr>
          <w:p>
            <w:pPr>
              <w:spacing w:after="0"/>
              <w:rPr>
                <w:sz w:val="14"/>
                <w:szCs w:val="14"/>
                <w:color w:val="auto"/>
              </w:rPr>
            </w:pPr>
          </w:p>
        </w:tc>
        <w:tc>
          <w:tcPr>
            <w:tcW w:w="15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610,267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28,513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42,711</w:t>
            </w:r>
          </w:p>
        </w:tc>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681,491</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336,211</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15,739</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12,530</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364,479</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76,853</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4,252</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4,218</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85,323</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69,804</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3,745</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2,986</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76,536</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Merger costs</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38,100</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38,100</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Unusual items</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12,952</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12,952</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533,920</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23,736</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19,734</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577,390</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76,347</w:t>
            </w:r>
          </w:p>
        </w:tc>
        <w:tc>
          <w:tcPr>
            <w:tcW w:w="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4,777</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22,977</w:t>
            </w:r>
          </w:p>
        </w:tc>
        <w:tc>
          <w:tcPr>
            <w:tcW w:w="56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104,100</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(22,457)</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(3,024)</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(9,641)</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(35,122)</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2,998</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3,222</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2,542</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2,552</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(16,917)</w:t>
            </w:r>
          </w:p>
        </w:tc>
        <w:tc>
          <w:tcPr>
            <w:tcW w:w="3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(2,966)</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(9,465)</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(29,348)</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59,430</w:t>
            </w:r>
          </w:p>
        </w:tc>
        <w:tc>
          <w:tcPr>
            <w:tcW w:w="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1,811</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13,511</w:t>
            </w:r>
          </w:p>
        </w:tc>
        <w:tc>
          <w:tcPr>
            <w:tcW w:w="560" w:type="dxa"/>
            <w:vAlign w:val="bottom"/>
          </w:tcPr>
          <w:p>
            <w:pPr>
              <w:spacing w:after="0"/>
              <w:rPr>
                <w:sz w:val="24"/>
                <w:szCs w:val="2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74,752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33,846</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721</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5,469</w:t>
            </w:r>
          </w:p>
        </w:tc>
        <w:tc>
          <w:tcPr>
            <w:tcW w:w="5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(61)(a)</w:t>
            </w: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39,975</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25,584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8,042</w:t>
            </w: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34,778</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0.19</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0.25</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3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135,790</w:t>
            </w:r>
          </w:p>
        </w:tc>
        <w:tc>
          <w:tcPr>
            <w:tcW w:w="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1,375</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2,895</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140,060</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right="430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1</w:t>
        <w:tab/>
        <w:t>The supplemental consolidated statement of operations will become the historical consolidated statement of operations of the Company after financial statements covering the date of consummation of the Sanifill, Inc. merger (August 30, 1996) are issued.</w:t>
      </w:r>
    </w:p>
    <w:p>
      <w:pPr>
        <w:spacing w:after="0" w:line="175" w:lineRule="exact"/>
        <w:rPr>
          <w:sz w:val="20"/>
          <w:szCs w:val="20"/>
          <w:color w:val="auto"/>
        </w:rPr>
      </w:pPr>
    </w:p>
    <w:p>
      <w:pPr>
        <w:ind w:left="700" w:right="4120" w:hanging="699"/>
        <w:spacing w:after="0" w:line="261" w:lineRule="auto"/>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To reflect the revenues and expenses of businesses acquired during 1996 for the periods from January 1, 1996 through the dates of acquisition.</w:t>
      </w:r>
    </w:p>
    <w:p>
      <w:pPr>
        <w:spacing w:after="0" w:line="160" w:lineRule="exact"/>
        <w:rPr>
          <w:sz w:val="20"/>
          <w:szCs w:val="20"/>
          <w:color w:val="auto"/>
        </w:rPr>
      </w:pPr>
    </w:p>
    <w:p>
      <w:pPr>
        <w:ind w:left="700" w:right="4200"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NOTE 3</w:t>
        <w:tab/>
        <w:t>To reflect the revenues and expenses of businesses acquired subsequent to June 30, 1996 for the six months ended June 30, 1996.</w:t>
      </w: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040"/>
          </w:cols>
          <w:pgMar w:left="220" w:top="281" w:right="639"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USA WASTE SERVICES, INC.</w:t>
      </w:r>
    </w:p>
    <w:p>
      <w:pPr>
        <w:jc w:val="center"/>
        <w:ind w:right="4520"/>
        <w:spacing w:after="0" w:line="237" w:lineRule="auto"/>
        <w:rPr>
          <w:sz w:val="20"/>
          <w:szCs w:val="20"/>
          <w:color w:val="auto"/>
        </w:rPr>
      </w:pPr>
      <w:r>
        <w:rPr>
          <w:rFonts w:ascii="Courier New" w:cs="Courier New" w:eastAsia="Courier New" w:hAnsi="Courier New"/>
          <w:sz w:val="15"/>
          <w:szCs w:val="15"/>
          <w:color w:val="auto"/>
        </w:rPr>
        <w:t>PRO FORMA CONDENSED CONSOLIDATED STATEMENT OF OPERATIONS</w:t>
      </w:r>
    </w:p>
    <w:p>
      <w:pPr>
        <w:jc w:val="center"/>
        <w:ind w:right="452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jc w:val="center"/>
        <w:ind w:right="462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AUDITED</w:t>
            </w:r>
          </w:p>
        </w:tc>
        <w:tc>
          <w:tcPr>
            <w:tcW w:w="380" w:type="dxa"/>
            <w:vAlign w:val="bottom"/>
          </w:tcPr>
          <w:p>
            <w:pPr>
              <w:spacing w:after="0"/>
              <w:rPr>
                <w:sz w:val="14"/>
                <w:szCs w:val="1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BUSINESSES</w:t>
            </w:r>
          </w:p>
        </w:tc>
        <w:tc>
          <w:tcPr>
            <w:tcW w:w="134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BUSINESSES</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ACQUIRED</w:t>
            </w:r>
          </w:p>
        </w:tc>
        <w:tc>
          <w:tcPr>
            <w:tcW w:w="38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w:t>
            </w:r>
          </w:p>
        </w:tc>
        <w:tc>
          <w:tcPr>
            <w:tcW w:w="3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AFTER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SUPPLEMENTAL</w:t>
            </w:r>
          </w:p>
        </w:tc>
        <w:tc>
          <w:tcPr>
            <w:tcW w:w="1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DECEMBER 31,</w:t>
            </w:r>
          </w:p>
        </w:tc>
        <w:tc>
          <w:tcPr>
            <w:tcW w:w="134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9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(NOTE 1)</w:t>
            </w:r>
          </w:p>
        </w:tc>
        <w:tc>
          <w:tcPr>
            <w:tcW w:w="440" w:type="dxa"/>
            <w:vAlign w:val="bottom"/>
          </w:tcPr>
          <w:p>
            <w:pPr>
              <w:spacing w:after="0"/>
              <w:rPr>
                <w:sz w:val="14"/>
                <w:szCs w:val="14"/>
                <w:color w:val="auto"/>
              </w:rPr>
            </w:pP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96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gridSpan w:val="3"/>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20" w:type="dxa"/>
            <w:vAlign w:val="bottom"/>
          </w:tcPr>
          <w:p>
            <w:pPr>
              <w:spacing w:after="0"/>
              <w:rPr>
                <w:sz w:val="14"/>
                <w:szCs w:val="14"/>
                <w:color w:val="auto"/>
              </w:rPr>
            </w:pPr>
          </w:p>
        </w:tc>
        <w:tc>
          <w:tcPr>
            <w:tcW w:w="13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987,705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127,054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96,090</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1,210,849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551,305</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81,778</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53,147</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686,230</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140,051</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24,377</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14,730</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179,158</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119,570</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13,225</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8,340</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141,135</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costs</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25,639</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25,639</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Unusual items</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4,733</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4,733</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841,298</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119,380</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76,217</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1,036,895</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146,407</w:t>
            </w:r>
          </w:p>
        </w:tc>
        <w:tc>
          <w:tcPr>
            <w:tcW w:w="44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7,674</w:t>
            </w:r>
          </w:p>
        </w:tc>
        <w:tc>
          <w:tcPr>
            <w:tcW w:w="3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19,873</w:t>
            </w:r>
          </w:p>
        </w:tc>
        <w:tc>
          <w:tcPr>
            <w:tcW w:w="36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173,954</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Nonrecurring</w:t>
            </w:r>
          </w:p>
        </w:tc>
        <w:tc>
          <w:tcPr>
            <w:tcW w:w="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(10,994)</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(10,994)</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(48,558)</w:t>
            </w: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(4,549)</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(6,421)</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(59,528)</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5,482</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325</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6,132</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5,143</w:t>
            </w: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(1,728)</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3,738</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(48,927)</w:t>
            </w:r>
          </w:p>
        </w:tc>
        <w:tc>
          <w:tcPr>
            <w:tcW w:w="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(5,952)</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(5,773)</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(60,652)</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97,480</w:t>
            </w:r>
          </w:p>
        </w:tc>
        <w:tc>
          <w:tcPr>
            <w:tcW w:w="44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1,722</w:t>
            </w:r>
          </w:p>
        </w:tc>
        <w:tc>
          <w:tcPr>
            <w:tcW w:w="3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14,100</w:t>
            </w:r>
          </w:p>
        </w:tc>
        <w:tc>
          <w:tcPr>
            <w:tcW w:w="36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113,302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44,992</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787</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1,752</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3,788</w:t>
            </w:r>
          </w:p>
        </w:tc>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51,319</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52,488</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12,348</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(3,788)</w:t>
            </w:r>
          </w:p>
        </w:tc>
        <w:tc>
          <w:tcPr>
            <w:tcW w:w="3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61,983</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0.46</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0.52 (b)</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5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113,279</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847</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5,303</w:t>
            </w:r>
          </w:p>
        </w:tc>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119,543</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right="4800"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 1</w:t>
        <w:tab/>
        <w:t>The supplemental consolidated statement of operations will become the historical consolidated statement of operations of the Company after financial statements covering the date of consummation of the Sanifill, Inc. merger (August 30, 1996) are issued.</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40"/>
          </w:cols>
          <w:pgMar w:left="220" w:top="281" w:right="13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jc w:val="center"/>
        <w:ind w:right="323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NOTES TO PRO FORMA CONDENSED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accompanying pro forma condensed consolidated financial statements for the Company have been prepared based upon certain pro forma adjustments to the Supplemental Financial Statements. These pro forma adjustments are described below:</w:t>
      </w:r>
    </w:p>
    <w:p>
      <w:pPr>
        <w:spacing w:after="0" w:line="175" w:lineRule="exact"/>
        <w:rPr>
          <w:sz w:val="20"/>
          <w:szCs w:val="20"/>
          <w:color w:val="auto"/>
        </w:rPr>
      </w:pPr>
    </w:p>
    <w:p>
      <w:pPr>
        <w:ind w:right="3399" w:firstLine="797"/>
        <w:spacing w:after="0" w:line="234" w:lineRule="auto"/>
        <w:tabs>
          <w:tab w:leader="none" w:pos="113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taxes reflects the corporate income tax rate of 40% for all acquired businesses.</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earnings per common share for each period is based on the combined weighted average number of shares outstanding (considering pro forma shares issued by the Company in connection with the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tbl>
      <w:tblPr>
        <w:tblLayout w:type="fixed"/>
        <w:tblInd w:w="2460" w:type="dxa"/>
        <w:tblCellMar>
          <w:top w:w="0" w:type="dxa"/>
          <w:left w:w="0" w:type="dxa"/>
          <w:bottom w:w="0" w:type="dxa"/>
          <w:right w:w="0" w:type="dxa"/>
        </w:tblCellMar>
      </w:tblPr>
      <w:tr>
        <w:trPr>
          <w:trHeight w:val="170"/>
        </w:trPr>
        <w:tc>
          <w:tcPr>
            <w:tcW w:w="3800" w:type="dxa"/>
            <w:vAlign w:val="bottom"/>
            <w:gridSpan w:val="3"/>
          </w:tcPr>
          <w:p>
            <w:pPr>
              <w:spacing w:after="0"/>
              <w:rPr>
                <w:sz w:val="20"/>
                <w:szCs w:val="20"/>
                <w:color w:val="auto"/>
              </w:rPr>
            </w:pPr>
            <w:r>
              <w:rPr>
                <w:rFonts w:ascii="Courier New" w:cs="Courier New" w:eastAsia="Courier New" w:hAnsi="Courier New"/>
                <w:sz w:val="15"/>
                <w:szCs w:val="15"/>
                <w:color w:val="auto"/>
              </w:rPr>
              <w:t>SAMSON BeLAIR/DELOITTE &amp; TOUCHE, S.E.N.C.</w:t>
            </w:r>
          </w:p>
        </w:tc>
        <w:tc>
          <w:tcPr>
            <w:tcW w:w="74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CHARTERED ACCOUNTANTS</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1, Place Ville-Marie</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393-7115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3000</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Facsimile: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393-7140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Montreal, Quebec  H3B 4T9</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spacing w:after="0" w:line="237" w:lineRule="auto"/>
        <w:rPr>
          <w:sz w:val="20"/>
          <w:szCs w:val="20"/>
          <w:color w:val="auto"/>
        </w:rPr>
      </w:pPr>
      <w:r>
        <w:rPr>
          <w:rFonts w:ascii="Courier New" w:cs="Courier New" w:eastAsia="Courier New" w:hAnsi="Courier New"/>
          <w:sz w:val="15"/>
          <w:szCs w:val="15"/>
          <w:color w:val="auto"/>
        </w:rPr>
        <w:t>Transport Sanico Ltee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balance sheet of Transport Sanico Ltee as at December 31, 1995 and the statements of earnings and retained earnings and of changes in financial position for the year then ended. These financial statements are the responsibility of the Company's management. Our responsibility is to express an opinion on these financial statements based on our audit.</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in Canada.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these financial statements present fairly, in all material respects, the financial position of the Company as at December 31, 1995 and the results of its operations and the changes in its financial position for the year then ended in accordance with generally accepted accounting principles in Canada.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37" w:lineRule="auto"/>
        <w:rPr>
          <w:sz w:val="20"/>
          <w:szCs w:val="20"/>
          <w:color w:val="auto"/>
        </w:rPr>
      </w:pPr>
      <w:r>
        <w:rPr>
          <w:rFonts w:ascii="Courier New" w:cs="Courier New" w:eastAsia="Courier New" w:hAnsi="Courier New"/>
          <w:sz w:val="15"/>
          <w:szCs w:val="15"/>
          <w:color w:val="auto"/>
        </w:rPr>
        <w:t>Montreal, Quebec</w:t>
      </w:r>
    </w:p>
    <w:p>
      <w:pPr>
        <w:spacing w:after="0" w:line="238" w:lineRule="auto"/>
        <w:rPr>
          <w:sz w:val="20"/>
          <w:szCs w:val="20"/>
          <w:color w:val="auto"/>
        </w:rPr>
      </w:pPr>
      <w:r>
        <w:rPr>
          <w:rFonts w:ascii="Courier New" w:cs="Courier New" w:eastAsia="Courier New" w:hAnsi="Courier New"/>
          <w:sz w:val="15"/>
          <w:szCs w:val="15"/>
          <w:color w:val="auto"/>
        </w:rPr>
        <w:t>October 25, 1996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 SANICO LTEE</w:t>
      </w:r>
    </w:p>
    <w:p>
      <w:pPr>
        <w:spacing w:after="0" w:line="237" w:lineRule="auto"/>
        <w:rPr>
          <w:sz w:val="20"/>
          <w:szCs w:val="20"/>
          <w:color w:val="auto"/>
        </w:rPr>
      </w:pPr>
      <w:r>
        <w:rPr>
          <w:rFonts w:ascii="Courier New" w:cs="Courier New" w:eastAsia="Courier New" w:hAnsi="Courier New"/>
          <w:sz w:val="15"/>
          <w:szCs w:val="15"/>
          <w:color w:val="auto"/>
        </w:rPr>
        <w:t>STATEMENT OF EARNINGS AND RETAINED EARNINGS</w:t>
      </w:r>
    </w:p>
    <w:p>
      <w:pPr>
        <w:spacing w:after="0" w:line="238" w:lineRule="auto"/>
        <w:rPr>
          <w:sz w:val="20"/>
          <w:szCs w:val="20"/>
          <w:color w:val="auto"/>
        </w:rPr>
      </w:pPr>
      <w:r>
        <w:rPr>
          <w:rFonts w:ascii="Courier New" w:cs="Courier New" w:eastAsia="Courier New" w:hAnsi="Courier New"/>
          <w:sz w:val="15"/>
          <w:szCs w:val="15"/>
          <w:color w:val="auto"/>
        </w:rPr>
        <w:t>YEAR ENDED DECEMBER 31, 1995</w:t>
      </w:r>
    </w:p>
    <w:p>
      <w:pPr>
        <w:spacing w:after="0" w:line="237" w:lineRule="auto"/>
        <w:rPr>
          <w:sz w:val="20"/>
          <w:szCs w:val="20"/>
          <w:color w:val="auto"/>
        </w:rPr>
      </w:pPr>
      <w:r>
        <w:rPr>
          <w:rFonts w:ascii="Courier New" w:cs="Courier New" w:eastAsia="Courier New" w:hAnsi="Courier New"/>
          <w:sz w:val="15"/>
          <w:szCs w:val="15"/>
          <w:color w:val="auto"/>
        </w:rPr>
        <w:t>======================================================================</w:t>
      </w:r>
    </w:p>
    <w:p>
      <w:pPr>
        <w:ind w:left="4300"/>
        <w:spacing w:after="0" w:line="238" w:lineRule="auto"/>
        <w:tabs>
          <w:tab w:leader="none" w:pos="53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5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6,638,214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6,658,879</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4,020,825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4,264,678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2,617,389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2,394,201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Sales and administrative expenses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3,153,346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1,605,090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Amortization of capital assets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5,479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240" w:val="left"/>
        </w:tabs>
        <w:rPr>
          <w:sz w:val="20"/>
          <w:szCs w:val="20"/>
          <w:color w:val="auto"/>
        </w:rPr>
      </w:pPr>
      <w:r>
        <w:rPr>
          <w:rFonts w:ascii="Courier New" w:cs="Courier New" w:eastAsia="Courier New" w:hAnsi="Courier New"/>
          <w:sz w:val="15"/>
          <w:szCs w:val="15"/>
          <w:color w:val="auto"/>
        </w:rPr>
        <w:t>3,158,370</w:t>
      </w:r>
      <w:r>
        <w:rPr>
          <w:sz w:val="20"/>
          <w:szCs w:val="20"/>
          <w:color w:val="auto"/>
        </w:rPr>
        <w:tab/>
      </w:r>
      <w:r>
        <w:rPr>
          <w:rFonts w:ascii="Courier New" w:cs="Courier New" w:eastAsia="Courier New" w:hAnsi="Courier New"/>
          <w:sz w:val="15"/>
          <w:szCs w:val="15"/>
          <w:color w:val="auto"/>
        </w:rPr>
        <w:t>1,610,569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earnings before income taxes</w:t>
            </w: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(540,981)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783,632</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Current (recovery)</w:t>
            </w:r>
          </w:p>
        </w:tc>
        <w:tc>
          <w:tcPr>
            <w:tcW w:w="1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(197,608)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298,207</w:t>
            </w:r>
          </w:p>
        </w:tc>
      </w:tr>
      <w:tr>
        <w:trPr>
          <w:trHeight w:val="168"/>
        </w:trPr>
        <w:tc>
          <w:tcPr>
            <w:tcW w:w="3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420" w:val="left"/>
        </w:tabs>
        <w:rPr>
          <w:sz w:val="20"/>
          <w:szCs w:val="20"/>
          <w:color w:val="auto"/>
        </w:rPr>
      </w:pPr>
      <w:r>
        <w:rPr>
          <w:rFonts w:ascii="Courier New" w:cs="Courier New" w:eastAsia="Courier New" w:hAnsi="Courier New"/>
          <w:sz w:val="15"/>
          <w:szCs w:val="15"/>
          <w:color w:val="auto"/>
        </w:rPr>
        <w:t>(196,840)</w:t>
      </w:r>
      <w:r>
        <w:rPr>
          <w:sz w:val="20"/>
          <w:szCs w:val="20"/>
          <w:color w:val="auto"/>
        </w:rPr>
        <w:tab/>
      </w:r>
      <w:r>
        <w:rPr>
          <w:rFonts w:ascii="Courier New" w:cs="Courier New" w:eastAsia="Courier New" w:hAnsi="Courier New"/>
          <w:sz w:val="15"/>
          <w:szCs w:val="15"/>
          <w:color w:val="auto"/>
        </w:rPr>
        <w:t>302,076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(loss) earnings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(344,141)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481,556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beginning of year</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2,655,763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2,174,207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RETAINED EARNINGS, END OF YEAR</w:t>
            </w:r>
          </w:p>
        </w:tc>
        <w:tc>
          <w:tcPr>
            <w:tcW w:w="1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2,311,622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2,655,763</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 SANICO LTEE</w:t>
      </w:r>
    </w:p>
    <w:p>
      <w:pPr>
        <w:spacing w:after="0" w:line="237" w:lineRule="auto"/>
        <w:rPr>
          <w:sz w:val="20"/>
          <w:szCs w:val="20"/>
          <w:color w:val="auto"/>
        </w:rPr>
      </w:pPr>
      <w:r>
        <w:rPr>
          <w:rFonts w:ascii="Courier New" w:cs="Courier New" w:eastAsia="Courier New" w:hAnsi="Courier New"/>
          <w:sz w:val="15"/>
          <w:szCs w:val="15"/>
          <w:color w:val="auto"/>
        </w:rPr>
        <w:t>BALANCE SHEET</w:t>
      </w:r>
    </w:p>
    <w:p>
      <w:pPr>
        <w:spacing w:after="0" w:line="238" w:lineRule="auto"/>
        <w:rPr>
          <w:sz w:val="20"/>
          <w:szCs w:val="20"/>
          <w:color w:val="auto"/>
        </w:rPr>
      </w:pPr>
      <w:r>
        <w:rPr>
          <w:rFonts w:ascii="Courier New" w:cs="Courier New" w:eastAsia="Courier New" w:hAnsi="Courier New"/>
          <w:sz w:val="15"/>
          <w:szCs w:val="15"/>
          <w:color w:val="auto"/>
        </w:rPr>
        <w:t>AS AT DECEMBER 31, 1995</w:t>
      </w:r>
    </w:p>
    <w:p>
      <w:pPr>
        <w:spacing w:after="0" w:line="237" w:lineRule="auto"/>
        <w:rPr>
          <w:sz w:val="20"/>
          <w:szCs w:val="20"/>
          <w:color w:val="auto"/>
        </w:rPr>
      </w:pPr>
      <w:r>
        <w:rPr>
          <w:rFonts w:ascii="Courier New" w:cs="Courier New" w:eastAsia="Courier New" w:hAnsi="Courier New"/>
          <w:sz w:val="15"/>
          <w:szCs w:val="15"/>
          <w:color w:val="auto"/>
        </w:rPr>
        <w:t>======================================================================</w:t>
      </w:r>
    </w:p>
    <w:p>
      <w:pPr>
        <w:ind w:left="4300"/>
        <w:spacing w:after="0" w:line="238" w:lineRule="auto"/>
        <w:tabs>
          <w:tab w:leader="none" w:pos="52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50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1,545,665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1,128,048</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318,263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285,052</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advances and deposits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158,462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70,490</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Advances to affiliated companies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1,858,208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1,892,590</w:t>
            </w: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464,238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4,344,836</w:t>
      </w:r>
      <w:r>
        <w:rPr>
          <w:rFonts w:ascii="Courier New" w:cs="Courier New" w:eastAsia="Courier New" w:hAnsi="Courier New"/>
          <w:sz w:val="14"/>
          <w:szCs w:val="14"/>
          <w:color w:val="auto"/>
        </w:rPr>
        <w:t>3,376,180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Capital assets (Note 3)</w:t>
            </w:r>
          </w:p>
        </w:tc>
        <w:tc>
          <w:tcPr>
            <w:tcW w:w="2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19,785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28,013</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77,600</w:t>
            </w:r>
          </w:p>
        </w:tc>
      </w:tr>
    </w:tbl>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4,364,621</w:t>
      </w:r>
      <w:r>
        <w:rPr>
          <w:rFonts w:ascii="Courier New" w:cs="Courier New" w:eastAsia="Courier New" w:hAnsi="Courier New"/>
          <w:sz w:val="14"/>
          <w:szCs w:val="14"/>
          <w:color w:val="auto"/>
        </w:rPr>
        <w:t>3,481,793</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799,142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460,894</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Advances from affiliated companies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1,251,744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326,364</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37,427</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2,013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420" w:val="left"/>
        </w:tabs>
        <w:rPr>
          <w:sz w:val="20"/>
          <w:szCs w:val="20"/>
          <w:color w:val="auto"/>
        </w:rPr>
      </w:pPr>
      <w:r>
        <w:rPr>
          <w:rFonts w:ascii="Courier New" w:cs="Courier New" w:eastAsia="Courier New" w:hAnsi="Courier New"/>
          <w:sz w:val="15"/>
          <w:szCs w:val="15"/>
          <w:color w:val="auto"/>
        </w:rPr>
        <w:t>2,052,899</w:t>
      </w:r>
      <w:r>
        <w:rPr>
          <w:sz w:val="20"/>
          <w:szCs w:val="20"/>
          <w:color w:val="auto"/>
        </w:rPr>
        <w:tab/>
      </w:r>
      <w:r>
        <w:rPr>
          <w:rFonts w:ascii="Courier New" w:cs="Courier New" w:eastAsia="Courier New" w:hAnsi="Courier New"/>
          <w:sz w:val="15"/>
          <w:szCs w:val="15"/>
          <w:color w:val="auto"/>
        </w:rPr>
        <w:t>825,930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capital (Note 4)</w:t>
            </w:r>
          </w:p>
        </w:tc>
        <w:tc>
          <w:tcPr>
            <w:tcW w:w="1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2,311,622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2,655,763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240" w:val="left"/>
        </w:tabs>
        <w:rPr>
          <w:sz w:val="20"/>
          <w:szCs w:val="20"/>
          <w:color w:val="auto"/>
        </w:rPr>
      </w:pPr>
      <w:r>
        <w:rPr>
          <w:rFonts w:ascii="Courier New" w:cs="Courier New" w:eastAsia="Courier New" w:hAnsi="Courier New"/>
          <w:sz w:val="15"/>
          <w:szCs w:val="15"/>
          <w:color w:val="auto"/>
        </w:rPr>
        <w:t>2,311,722</w:t>
      </w:r>
      <w:r>
        <w:rPr>
          <w:sz w:val="20"/>
          <w:szCs w:val="20"/>
          <w:color w:val="auto"/>
        </w:rPr>
        <w:tab/>
      </w:r>
      <w:r>
        <w:rPr>
          <w:rFonts w:ascii="Courier New" w:cs="Courier New" w:eastAsia="Courier New" w:hAnsi="Courier New"/>
          <w:sz w:val="15"/>
          <w:szCs w:val="15"/>
          <w:color w:val="auto"/>
        </w:rPr>
        <w:t>2,655,863</w:t>
      </w:r>
    </w:p>
    <w:p>
      <w:pPr>
        <w:spacing w:after="0" w:line="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4,364,621</w:t>
      </w:r>
      <w:r>
        <w:rPr>
          <w:rFonts w:ascii="Courier New" w:cs="Courier New" w:eastAsia="Courier New" w:hAnsi="Courier New"/>
          <w:sz w:val="14"/>
          <w:szCs w:val="14"/>
          <w:color w:val="auto"/>
        </w:rPr>
        <w:t>3,481,793</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TRANSPORT SANICO LTEE</w:t>
      </w:r>
    </w:p>
    <w:p>
      <w:pPr>
        <w:spacing w:after="0" w:line="238"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38" w:lineRule="auto"/>
        <w:rPr>
          <w:sz w:val="20"/>
          <w:szCs w:val="20"/>
          <w:color w:val="auto"/>
        </w:rPr>
      </w:pPr>
      <w:r>
        <w:rPr>
          <w:rFonts w:ascii="Courier New" w:cs="Courier New" w:eastAsia="Courier New" w:hAnsi="Courier New"/>
          <w:sz w:val="15"/>
          <w:szCs w:val="15"/>
          <w:color w:val="auto"/>
        </w:rPr>
        <w:t>======================================================================</w:t>
      </w:r>
    </w:p>
    <w:p>
      <w:pPr>
        <w:ind w:left="4300"/>
        <w:spacing w:after="0" w:line="237" w:lineRule="auto"/>
        <w:tabs>
          <w:tab w:leader="none" w:pos="54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5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provided by operations</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 earnings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(344,141)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481,556</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Items not affecting cash</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 of capital assets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5,024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5,479</w:t>
            </w: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Gain on sale</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3,869</w:t>
            </w: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(338,349)</w:t>
      </w:r>
      <w:r>
        <w:rPr>
          <w:rFonts w:ascii="Courier New" w:cs="Courier New" w:eastAsia="Courier New" w:hAnsi="Courier New"/>
          <w:sz w:val="14"/>
          <w:szCs w:val="14"/>
          <w:color w:val="auto"/>
        </w:rPr>
        <w:t>490,904</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Changes in non-cash working capital items</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675,162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455,787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300"/>
        <w:spacing w:after="0"/>
        <w:tabs>
          <w:tab w:leader="none" w:pos="5420" w:val="left"/>
        </w:tabs>
        <w:rPr>
          <w:sz w:val="20"/>
          <w:szCs w:val="20"/>
          <w:color w:val="auto"/>
        </w:rPr>
      </w:pPr>
      <w:r>
        <w:rPr>
          <w:rFonts w:ascii="Courier New" w:cs="Courier New" w:eastAsia="Courier New" w:hAnsi="Courier New"/>
          <w:sz w:val="15"/>
          <w:szCs w:val="15"/>
          <w:color w:val="auto"/>
        </w:rPr>
        <w:t>336,813</w:t>
      </w:r>
      <w:r>
        <w:rPr>
          <w:sz w:val="20"/>
          <w:szCs w:val="20"/>
          <w:color w:val="auto"/>
        </w:rPr>
        <w:tab/>
      </w:r>
      <w:r>
        <w:rPr>
          <w:rFonts w:ascii="Courier New" w:cs="Courier New" w:eastAsia="Courier New" w:hAnsi="Courier New"/>
          <w:sz w:val="15"/>
          <w:szCs w:val="15"/>
          <w:color w:val="auto"/>
        </w:rPr>
        <w:t>946,691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77,600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92,577</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on disposal of capital assets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3,204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380"/>
        <w:spacing w:after="0"/>
        <w:tabs>
          <w:tab w:leader="none" w:pos="5500" w:val="left"/>
        </w:tabs>
        <w:rPr>
          <w:sz w:val="20"/>
          <w:szCs w:val="20"/>
          <w:color w:val="auto"/>
        </w:rPr>
      </w:pPr>
      <w:r>
        <w:rPr>
          <w:rFonts w:ascii="Courier New" w:cs="Courier New" w:eastAsia="Courier New" w:hAnsi="Courier New"/>
          <w:sz w:val="15"/>
          <w:szCs w:val="15"/>
          <w:color w:val="auto"/>
        </w:rPr>
        <w:t>80,804</w:t>
      </w:r>
      <w:r>
        <w:rPr>
          <w:sz w:val="20"/>
          <w:szCs w:val="20"/>
          <w:color w:val="auto"/>
        </w:rPr>
        <w:tab/>
      </w:r>
      <w:r>
        <w:rPr>
          <w:rFonts w:ascii="Courier New" w:cs="Courier New" w:eastAsia="Courier New" w:hAnsi="Courier New"/>
          <w:sz w:val="15"/>
          <w:szCs w:val="15"/>
          <w:color w:val="auto"/>
        </w:rPr>
        <w:t>97,898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change in cash</w:t>
            </w:r>
          </w:p>
        </w:tc>
        <w:tc>
          <w:tcPr>
            <w:tcW w:w="2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417,617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1,044,589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1,128,048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CASH, END OF YEAR</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1,545,665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1,128,048</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237" w:lineRule="auto"/>
        <w:rPr>
          <w:sz w:val="20"/>
          <w:szCs w:val="20"/>
          <w:color w:val="auto"/>
        </w:rPr>
      </w:pPr>
      <w:r>
        <w:rPr>
          <w:rFonts w:ascii="Courier New" w:cs="Courier New" w:eastAsia="Courier New" w:hAnsi="Courier New"/>
          <w:sz w:val="15"/>
          <w:szCs w:val="15"/>
          <w:color w:val="auto"/>
        </w:rPr>
        <w:t>TRANSPORT SANICO LTEE</w:t>
      </w:r>
    </w:p>
    <w:p>
      <w:pPr>
        <w:spacing w:after="0" w:line="238"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AND NATURE OF ACTIVITIES</w:t>
      </w:r>
    </w:p>
    <w:p>
      <w:pPr>
        <w:spacing w:after="0" w:line="172" w:lineRule="exact"/>
        <w:rPr>
          <w:rFonts w:ascii="Courier New" w:cs="Courier New" w:eastAsia="Courier New" w:hAnsi="Courier New"/>
          <w:sz w:val="15"/>
          <w:szCs w:val="15"/>
          <w:color w:val="auto"/>
        </w:rPr>
      </w:pPr>
    </w:p>
    <w:p>
      <w:pPr>
        <w:jc w:val="both"/>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incorporated under the Canada Business Corporations Act, and is wholly-owned by Intersan Inc. Its main operations are the picking-up and transportation of waste.</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w:t>
      </w:r>
    </w:p>
    <w:p>
      <w:pPr>
        <w:spacing w:after="0" w:line="172" w:lineRule="exact"/>
        <w:rPr>
          <w:rFonts w:ascii="Courier New" w:cs="Courier New" w:eastAsia="Courier New" w:hAnsi="Courier New"/>
          <w:sz w:val="15"/>
          <w:szCs w:val="15"/>
          <w:color w:val="auto"/>
        </w:rPr>
      </w:pPr>
    </w:p>
    <w:p>
      <w:pPr>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have been prepared in accordance with accounting principles generally accepted in Canada. They have been prepared for filing with the United States Securities and Exchange Commission.The significant accounting policies are as follows:</w:t>
      </w:r>
    </w:p>
    <w:p>
      <w:pPr>
        <w:spacing w:after="0" w:line="168"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360" w:right="437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revenues are accounted for when services are rendered. Capital assets</w:t>
      </w:r>
    </w:p>
    <w:p>
      <w:pPr>
        <w:spacing w:after="0" w:line="14" w:lineRule="exact"/>
        <w:rPr>
          <w:rFonts w:ascii="Courier New" w:cs="Courier New" w:eastAsia="Courier New" w:hAnsi="Courier New"/>
          <w:sz w:val="15"/>
          <w:szCs w:val="15"/>
          <w:color w:val="auto"/>
        </w:rPr>
      </w:pPr>
    </w:p>
    <w:p>
      <w:pPr>
        <w:ind w:left="360"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Capital assets are recorded at acquisition cost and are amortized over their estimated useful lives using the following methods, rates and terms:</w:t>
      </w:r>
    </w:p>
    <w:p>
      <w:pPr>
        <w:sectPr>
          <w:pgSz w:w="11900" w:h="16838" w:orient="portrait"/>
          <w:cols w:equalWidth="0" w:num="1">
            <w:col w:w="10239"/>
          </w:cols>
          <w:pgMar w:left="220" w:top="281" w:right="1440" w:bottom="1440" w:gutter="0" w:footer="0" w:header="0"/>
        </w:sectPr>
      </w:pPr>
    </w:p>
    <w:p>
      <w:pPr>
        <w:spacing w:after="0" w:line="32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Method</w:t>
      </w:r>
    </w:p>
    <w:p>
      <w:pPr>
        <w:spacing w:after="0" w:line="1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Rate/term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100" w:space="720"/>
            <w:col w:w="5419"/>
          </w:cols>
          <w:pgMar w:left="220" w:top="281"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Equipment</w:t>
      </w:r>
    </w:p>
    <w:p>
      <w:pPr>
        <w:ind w:left="980"/>
        <w:spacing w:after="0" w:line="237" w:lineRule="auto"/>
        <w:rPr>
          <w:sz w:val="20"/>
          <w:szCs w:val="20"/>
          <w:color w:val="auto"/>
        </w:rPr>
      </w:pPr>
      <w:r>
        <w:rPr>
          <w:rFonts w:ascii="Courier New" w:cs="Courier New" w:eastAsia="Courier New" w:hAnsi="Courier New"/>
          <w:sz w:val="15"/>
          <w:szCs w:val="15"/>
          <w:color w:val="auto"/>
        </w:rPr>
        <w:t>Office furniture</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Automotive equipment</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Courier New" w:cs="Courier New" w:eastAsia="Courier New" w:hAnsi="Courier New"/>
          <w:sz w:val="14"/>
          <w:szCs w:val="14"/>
          <w:color w:val="auto"/>
        </w:rPr>
        <w:t>diminishing balance diminishing balance straight-line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to 10 years</w:t>
      </w:r>
    </w:p>
    <w:p>
      <w:pPr>
        <w:spacing w:after="0" w:line="216" w:lineRule="exact"/>
        <w:rPr>
          <w:sz w:val="20"/>
          <w:szCs w:val="20"/>
          <w:color w:val="auto"/>
        </w:rPr>
      </w:pPr>
    </w:p>
    <w:p>
      <w:pPr>
        <w:sectPr>
          <w:pgSz w:w="11900" w:h="16838" w:orient="portrait"/>
          <w:cols w:equalWidth="0" w:num="3">
            <w:col w:w="2720" w:space="180"/>
            <w:col w:w="1660" w:space="180"/>
            <w:col w:w="5499"/>
          </w:cols>
          <w:pgMar w:left="220" w:top="281" w:right="1440" w:bottom="1440" w:gutter="0" w:footer="0" w:header="0"/>
          <w:type w:val="continuous"/>
        </w:sectPr>
      </w:pPr>
    </w:p>
    <w:p>
      <w:pPr>
        <w:spacing w:after="0" w:line="13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3.</w:t>
        <w:tab/>
        <w:t>CAPITAL ASSETS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240"/>
        <w:spacing w:after="0"/>
        <w:tabs>
          <w:tab w:leader="none" w:pos="4460" w:val="left"/>
        </w:tabs>
        <w:rPr>
          <w:sz w:val="20"/>
          <w:szCs w:val="20"/>
          <w:color w:val="auto"/>
        </w:rPr>
      </w:pPr>
      <w:r>
        <w:rPr>
          <w:rFonts w:ascii="Courier New" w:cs="Courier New" w:eastAsia="Courier New" w:hAnsi="Courier New"/>
          <w:sz w:val="14"/>
          <w:szCs w:val="14"/>
          <w:color w:val="auto"/>
        </w:rPr>
        <w:t>Accumulated</w:t>
      </w:r>
      <w:r>
        <w:rPr>
          <w:sz w:val="20"/>
          <w:szCs w:val="20"/>
          <w:color w:val="auto"/>
        </w:rPr>
        <w:tab/>
      </w:r>
      <w:r>
        <w:rPr>
          <w:rFonts w:ascii="Courier New" w:cs="Courier New" w:eastAsia="Courier New" w:hAnsi="Courier New"/>
          <w:sz w:val="14"/>
          <w:szCs w:val="14"/>
          <w:color w:val="auto"/>
        </w:rPr>
        <w:t>Net Book</w:t>
      </w:r>
    </w:p>
    <w:p>
      <w:pPr>
        <w:spacing w:after="0" w:line="3" w:lineRule="exact"/>
        <w:rPr>
          <w:sz w:val="20"/>
          <w:szCs w:val="20"/>
          <w:color w:val="auto"/>
        </w:rPr>
      </w:pPr>
    </w:p>
    <w:p>
      <w:pPr>
        <w:ind w:left="2640"/>
        <w:spacing w:after="0"/>
        <w:tabs>
          <w:tab w:leader="none" w:pos="3220" w:val="left"/>
          <w:tab w:leader="none" w:pos="4540" w:val="left"/>
        </w:tabs>
        <w:rPr>
          <w:sz w:val="20"/>
          <w:szCs w:val="20"/>
          <w:color w:val="auto"/>
        </w:rPr>
      </w:pPr>
      <w:r>
        <w:rPr>
          <w:rFonts w:ascii="Courier New" w:cs="Courier New" w:eastAsia="Courier New" w:hAnsi="Courier New"/>
          <w:sz w:val="15"/>
          <w:szCs w:val="15"/>
          <w:color w:val="auto"/>
        </w:rPr>
        <w:t>Cost</w:t>
        <w:tab/>
        <w:t>Amortization</w:t>
      </w:r>
      <w:r>
        <w:rPr>
          <w:sz w:val="20"/>
          <w:szCs w:val="20"/>
          <w:color w:val="auto"/>
        </w:rPr>
        <w:tab/>
      </w:r>
      <w:r>
        <w:rPr>
          <w:rFonts w:ascii="Courier New" w:cs="Courier New" w:eastAsia="Courier New" w:hAnsi="Courier New"/>
          <w:sz w:val="14"/>
          <w:szCs w:val="14"/>
          <w:color w:val="auto"/>
        </w:rPr>
        <w:t>Value</w:t>
      </w:r>
    </w:p>
    <w:p>
      <w:pPr>
        <w:ind w:left="2540"/>
        <w:spacing w:after="0"/>
        <w:tabs>
          <w:tab w:leader="none" w:pos="3220" w:val="left"/>
          <w:tab w:leader="none" w:pos="446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ind w:left="2720"/>
        <w:spacing w:after="0"/>
        <w:tabs>
          <w:tab w:leader="none" w:pos="3660" w:val="left"/>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Book</w:t>
      </w:r>
    </w:p>
    <w:p>
      <w:pPr>
        <w:ind w:left="260"/>
        <w:spacing w:after="0" w:line="237" w:lineRule="auto"/>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ind w:left="5340"/>
        <w:spacing w:after="0"/>
        <w:rPr>
          <w:sz w:val="20"/>
          <w:szCs w:val="20"/>
          <w:color w:val="auto"/>
        </w:rPr>
      </w:pPr>
      <w:r>
        <w:rPr>
          <w:rFonts w:ascii="Courier New" w:cs="Courier New" w:eastAsia="Courier New" w:hAnsi="Courier New"/>
          <w:sz w:val="14"/>
          <w:szCs w:val="14"/>
          <w:color w:val="auto"/>
        </w:rPr>
        <w:t>(unaudited)</w:t>
      </w:r>
    </w:p>
    <w:p>
      <w:pPr>
        <w:spacing w:after="0" w:line="178" w:lineRule="exact"/>
        <w:rPr>
          <w:sz w:val="20"/>
          <w:szCs w:val="20"/>
          <w:color w:val="auto"/>
        </w:rPr>
      </w:pPr>
    </w:p>
    <w:p>
      <w:pPr>
        <w:jc w:val="right"/>
        <w:ind w:left="620" w:right="3939"/>
        <w:spacing w:after="0" w:line="236" w:lineRule="auto"/>
        <w:rPr>
          <w:sz w:val="20"/>
          <w:szCs w:val="20"/>
          <w:color w:val="auto"/>
        </w:rPr>
      </w:pPr>
      <w:r>
        <w:rPr>
          <w:rFonts w:ascii="Courier New" w:cs="Courier New" w:eastAsia="Courier New" w:hAnsi="Courier New"/>
          <w:sz w:val="15"/>
          <w:szCs w:val="15"/>
          <w:color w:val="auto"/>
        </w:rPr>
        <w:t>Equipment             56,231        40,104    16,127       23,845 Office furniture      18,358        16,826     1,532        2,126 Automotive equipment   7,089         4,963     2,126        2,042 ----------------------------------------------------------------- 81,678        61,893    19,785       28,013</w:t>
      </w:r>
    </w:p>
    <w:p>
      <w:pPr>
        <w:sectPr>
          <w:pgSz w:w="11900" w:h="16838" w:orient="portrait"/>
          <w:cols w:equalWidth="0" w:num="1">
            <w:col w:w="10239"/>
          </w:cols>
          <w:pgMar w:left="220" w:top="281" w:right="1440" w:bottom="1440" w:gutter="0" w:footer="0" w:header="0"/>
          <w:type w:val="continuous"/>
        </w:sectPr>
      </w:pP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 SANICO LTEE</w:t>
      </w:r>
    </w:p>
    <w:p>
      <w:pPr>
        <w:spacing w:after="0" w:line="237"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8" w:lineRule="auto"/>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0" w:hanging="350"/>
        <w:spacing w:after="0"/>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CAPITAL</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Authorized</w:t>
      </w:r>
    </w:p>
    <w:p>
      <w:pPr>
        <w:ind w:left="620"/>
        <w:spacing w:after="0" w:line="237" w:lineRule="auto"/>
        <w:rPr>
          <w:sz w:val="20"/>
          <w:szCs w:val="20"/>
          <w:color w:val="auto"/>
        </w:rPr>
      </w:pPr>
      <w:r>
        <w:rPr>
          <w:rFonts w:ascii="Courier New" w:cs="Courier New" w:eastAsia="Courier New" w:hAnsi="Courier New"/>
          <w:sz w:val="15"/>
          <w:szCs w:val="15"/>
          <w:color w:val="auto"/>
        </w:rPr>
        <w:t>An unlimited number of preferred shares, non-voting, without par value</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 unlimited number of common shares, without par value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40"/>
        <w:spacing w:after="0"/>
        <w:tabs>
          <w:tab w:leader="none" w:pos="55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ind w:left="4120"/>
        <w:spacing w:after="0" w:line="238" w:lineRule="auto"/>
        <w:tabs>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Issued</w:t>
      </w:r>
    </w:p>
    <w:p>
      <w:pPr>
        <w:ind w:left="800"/>
        <w:spacing w:after="0"/>
        <w:tabs>
          <w:tab w:leader="none" w:pos="1220" w:val="left"/>
          <w:tab w:leader="none" w:pos="4020" w:val="left"/>
          <w:tab w:leader="none" w:pos="5500" w:val="left"/>
        </w:tabs>
        <w:rPr>
          <w:sz w:val="20"/>
          <w:szCs w:val="20"/>
          <w:color w:val="auto"/>
        </w:rPr>
      </w:pPr>
      <w:r>
        <w:rPr>
          <w:rFonts w:ascii="Courier New" w:cs="Courier New" w:eastAsia="Courier New" w:hAnsi="Courier New"/>
          <w:sz w:val="15"/>
          <w:szCs w:val="15"/>
          <w:color w:val="auto"/>
        </w:rPr>
        <w:t>100</w:t>
        <w:tab/>
        <w:t>common shares</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100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60" w:hanging="350"/>
        <w:spacing w:after="0"/>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36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year, sales and administrative expenses included management fees for an amount of $1,000,000 (nil in 1994) payable to the parent company.</w:t>
      </w:r>
    </w:p>
    <w:p>
      <w:pPr>
        <w:spacing w:after="0" w:line="200" w:lineRule="exact"/>
        <w:rPr>
          <w:sz w:val="20"/>
          <w:szCs w:val="20"/>
          <w:color w:val="auto"/>
        </w:rPr>
      </w:pPr>
    </w:p>
    <w:p>
      <w:pPr>
        <w:spacing w:after="0" w:line="2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tbl>
      <w:tblPr>
        <w:tblLayout w:type="fixed"/>
        <w:tblInd w:w="2460" w:type="dxa"/>
        <w:tblCellMar>
          <w:top w:w="0" w:type="dxa"/>
          <w:left w:w="0" w:type="dxa"/>
          <w:bottom w:w="0" w:type="dxa"/>
          <w:right w:w="0" w:type="dxa"/>
        </w:tblCellMar>
      </w:tblPr>
      <w:tr>
        <w:trPr>
          <w:trHeight w:val="170"/>
        </w:trPr>
        <w:tc>
          <w:tcPr>
            <w:tcW w:w="3800" w:type="dxa"/>
            <w:vAlign w:val="bottom"/>
            <w:gridSpan w:val="3"/>
          </w:tcPr>
          <w:p>
            <w:pPr>
              <w:spacing w:after="0"/>
              <w:rPr>
                <w:sz w:val="20"/>
                <w:szCs w:val="20"/>
                <w:color w:val="auto"/>
              </w:rPr>
            </w:pPr>
            <w:r>
              <w:rPr>
                <w:rFonts w:ascii="Courier New" w:cs="Courier New" w:eastAsia="Courier New" w:hAnsi="Courier New"/>
                <w:sz w:val="15"/>
                <w:szCs w:val="15"/>
                <w:color w:val="auto"/>
              </w:rPr>
              <w:t>SAMSON BeLAIR/DELOITTE &amp; TOUCHE, S.E.N.C.</w:t>
            </w:r>
          </w:p>
        </w:tc>
        <w:tc>
          <w:tcPr>
            <w:tcW w:w="74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CHARTERED ACCOUNTANTS</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1, Place Ville-Marie</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393-7115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3000</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Facsimile: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393-7140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Montreal, Quebec  H3B 4T9</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 Les entreprises de rebuts Sanipan Inc.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balance sheet of Les entreprises de rebuts Sanipan Inc. as at December 31, 1995 and the statements of earnings, retained earnings and changes in financial position for the year then ended. The scope of these financial statements is described in Note 7 to the financial statements. These financial statements are the responsibility of the Company's management. Our responsibility is to express an opinion on these financial statements based on our audit.</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in Canada.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these financial statements present fairly, in all material respects, the financial position of the Company as at December 31, 1995 and the results of its operations and the changes in its financial position, as described in Note 7, for the year then ended, in accordance with generally accepted accounting principles in Canada.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37" w:lineRule="auto"/>
        <w:rPr>
          <w:sz w:val="20"/>
          <w:szCs w:val="20"/>
          <w:color w:val="auto"/>
        </w:rPr>
      </w:pPr>
      <w:r>
        <w:rPr>
          <w:rFonts w:ascii="Courier New" w:cs="Courier New" w:eastAsia="Courier New" w:hAnsi="Courier New"/>
          <w:sz w:val="15"/>
          <w:szCs w:val="15"/>
          <w:color w:val="auto"/>
        </w:rPr>
        <w:t>Montreal, Quebec</w:t>
      </w:r>
    </w:p>
    <w:p>
      <w:pPr>
        <w:spacing w:after="0" w:line="238" w:lineRule="auto"/>
        <w:rPr>
          <w:sz w:val="20"/>
          <w:szCs w:val="20"/>
          <w:color w:val="auto"/>
        </w:rPr>
      </w:pPr>
      <w:r>
        <w:rPr>
          <w:rFonts w:ascii="Courier New" w:cs="Courier New" w:eastAsia="Courier New" w:hAnsi="Courier New"/>
          <w:sz w:val="15"/>
          <w:szCs w:val="15"/>
          <w:color w:val="auto"/>
        </w:rPr>
        <w:t>October 25,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STATEMENT OF EARNINGS AND RETAINED EARNINGS</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820"/>
        <w:spacing w:after="0"/>
        <w:tabs>
          <w:tab w:leader="none" w:pos="62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59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9,698,011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10,254,600</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7,108,132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6,867,768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2,589,879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3,386,832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Sales and administrative expenses</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2,187,376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1,773,221</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Write-down of investments</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1,077,161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Amortization of capital assets</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825,208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450,645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640"/>
        <w:spacing w:after="0"/>
        <w:tabs>
          <w:tab w:leader="none" w:pos="6120" w:val="left"/>
        </w:tabs>
        <w:rPr>
          <w:sz w:val="20"/>
          <w:szCs w:val="20"/>
          <w:color w:val="auto"/>
        </w:rPr>
      </w:pPr>
      <w:r>
        <w:rPr>
          <w:rFonts w:ascii="Courier New" w:cs="Courier New" w:eastAsia="Courier New" w:hAnsi="Courier New"/>
          <w:sz w:val="15"/>
          <w:szCs w:val="15"/>
          <w:color w:val="auto"/>
        </w:rPr>
        <w:t>4,089,745</w:t>
      </w:r>
      <w:r>
        <w:rPr>
          <w:sz w:val="20"/>
          <w:szCs w:val="20"/>
          <w:color w:val="auto"/>
        </w:rPr>
        <w:tab/>
      </w:r>
      <w:r>
        <w:rPr>
          <w:rFonts w:ascii="Courier New" w:cs="Courier New" w:eastAsia="Courier New" w:hAnsi="Courier New"/>
          <w:sz w:val="15"/>
          <w:szCs w:val="15"/>
          <w:color w:val="auto"/>
        </w:rPr>
        <w:t>2,223,866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2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(1,499,866)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1,162,966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96"/>
              </w:rPr>
              <w:t>Income taxes</w:t>
            </w: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4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Current recovery</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(258,000)</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(13,264)</w:t>
            </w:r>
          </w:p>
        </w:tc>
      </w:tr>
      <w:tr>
        <w:trPr>
          <w:trHeight w:val="168"/>
        </w:trPr>
        <w:tc>
          <w:tcPr>
            <w:tcW w:w="324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Deferred</w:t>
            </w:r>
          </w:p>
        </w:tc>
        <w:tc>
          <w:tcPr>
            <w:tcW w:w="2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293,000</w:t>
            </w:r>
          </w:p>
        </w:tc>
        <w:tc>
          <w:tcPr>
            <w:tcW w:w="10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442,435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900"/>
        <w:spacing w:after="0"/>
        <w:tabs>
          <w:tab w:leader="none" w:pos="6280" w:val="left"/>
        </w:tabs>
        <w:rPr>
          <w:sz w:val="20"/>
          <w:szCs w:val="20"/>
          <w:color w:val="auto"/>
        </w:rPr>
      </w:pPr>
      <w:r>
        <w:rPr>
          <w:rFonts w:ascii="Courier New" w:cs="Courier New" w:eastAsia="Courier New" w:hAnsi="Courier New"/>
          <w:sz w:val="15"/>
          <w:szCs w:val="15"/>
          <w:color w:val="auto"/>
        </w:rPr>
        <w:t>35,000</w:t>
      </w:r>
      <w:r>
        <w:rPr>
          <w:sz w:val="20"/>
          <w:szCs w:val="20"/>
          <w:color w:val="auto"/>
        </w:rPr>
        <w:tab/>
      </w:r>
      <w:r>
        <w:rPr>
          <w:rFonts w:ascii="Courier New" w:cs="Courier New" w:eastAsia="Courier New" w:hAnsi="Courier New"/>
          <w:sz w:val="15"/>
          <w:szCs w:val="15"/>
          <w:color w:val="auto"/>
        </w:rPr>
        <w:t>429,171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(1,534,866)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733,795</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year</w:t>
            </w:r>
          </w:p>
        </w:tc>
        <w:tc>
          <w:tcPr>
            <w:tcW w:w="1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3,600,522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2,866,727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RETAINED EARNINGS, END OF YEAR</w:t>
            </w:r>
          </w:p>
        </w:tc>
        <w:tc>
          <w:tcPr>
            <w:tcW w:w="2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2,065,656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3,600,522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BALANCE SHEET</w:t>
      </w:r>
    </w:p>
    <w:p>
      <w:pPr>
        <w:spacing w:after="0" w:line="237" w:lineRule="auto"/>
        <w:rPr>
          <w:sz w:val="20"/>
          <w:szCs w:val="20"/>
          <w:color w:val="auto"/>
        </w:rPr>
      </w:pPr>
      <w:r>
        <w:rPr>
          <w:rFonts w:ascii="Courier New" w:cs="Courier New" w:eastAsia="Courier New" w:hAnsi="Courier New"/>
          <w:sz w:val="15"/>
          <w:szCs w:val="15"/>
          <w:color w:val="auto"/>
        </w:rPr>
        <w:t>AS AT DECEMBER 31,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080"/>
        <w:spacing w:after="0"/>
        <w:tabs>
          <w:tab w:leader="none" w:pos="62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6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17,186</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117,595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96,594</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Advances to affiliated companies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2,350,526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2,513,706</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26,525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26,526</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111,617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19,402</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441,594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57,744</w:t>
            </w:r>
          </w:p>
        </w:tc>
      </w:tr>
    </w:tbl>
    <w:p>
      <w:pPr>
        <w:spacing w:after="0" w:line="5"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3,047,857</w:t>
      </w:r>
      <w:r>
        <w:rPr>
          <w:rFonts w:ascii="Courier New" w:cs="Courier New" w:eastAsia="Courier New" w:hAnsi="Courier New"/>
          <w:sz w:val="14"/>
          <w:szCs w:val="14"/>
          <w:color w:val="auto"/>
        </w:rPr>
        <w:t>2,731,158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Investment, at cost (Note 4)</w:t>
            </w:r>
          </w:p>
        </w:tc>
        <w:tc>
          <w:tcPr>
            <w:tcW w:w="2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1,077,161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assets (Note 5)</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10,588,894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7,569,276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120" w:val="left"/>
        </w:tabs>
        <w:rPr>
          <w:sz w:val="20"/>
          <w:szCs w:val="20"/>
          <w:color w:val="auto"/>
        </w:rPr>
      </w:pPr>
      <w:r>
        <w:rPr>
          <w:rFonts w:ascii="Courier New" w:cs="Courier New" w:eastAsia="Courier New" w:hAnsi="Courier New"/>
          <w:sz w:val="15"/>
          <w:szCs w:val="15"/>
          <w:color w:val="auto"/>
        </w:rPr>
        <w:t>13,636,751</w:t>
      </w:r>
      <w:r>
        <w:rPr>
          <w:sz w:val="20"/>
          <w:szCs w:val="20"/>
          <w:color w:val="auto"/>
        </w:rPr>
        <w:tab/>
      </w:r>
      <w:r>
        <w:rPr>
          <w:rFonts w:ascii="Courier New" w:cs="Courier New" w:eastAsia="Courier New" w:hAnsi="Courier New"/>
          <w:sz w:val="15"/>
          <w:szCs w:val="15"/>
          <w:color w:val="auto"/>
        </w:rPr>
        <w:t>11,562,698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Bank indebtedness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1,300,536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1,220,574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1,226,872</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Advances from affiliated companies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7,755,884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6,095,134</w:t>
            </w:r>
          </w:p>
        </w:tc>
      </w:tr>
    </w:tbl>
    <w:p>
      <w:pPr>
        <w:spacing w:after="0" w:line="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8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10,276,994</w:t>
      </w:r>
      <w:r>
        <w:rPr>
          <w:rFonts w:ascii="Courier New" w:cs="Courier New" w:eastAsia="Courier New" w:hAnsi="Courier New"/>
          <w:sz w:val="14"/>
          <w:szCs w:val="14"/>
          <w:color w:val="auto"/>
        </w:rPr>
        <w:t>7,322,006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Provision for post-closure costs</w:t>
            </w:r>
          </w:p>
        </w:tc>
        <w:tc>
          <w:tcPr>
            <w:tcW w:w="2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444,000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849,101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639,170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200" w:val="left"/>
        </w:tabs>
        <w:rPr>
          <w:sz w:val="20"/>
          <w:szCs w:val="20"/>
          <w:color w:val="auto"/>
        </w:rPr>
      </w:pPr>
      <w:r>
        <w:rPr>
          <w:rFonts w:ascii="Courier New" w:cs="Courier New" w:eastAsia="Courier New" w:hAnsi="Courier New"/>
          <w:sz w:val="15"/>
          <w:szCs w:val="15"/>
          <w:color w:val="auto"/>
        </w:rPr>
        <w:t>11,570,095</w:t>
      </w:r>
      <w:r>
        <w:rPr>
          <w:sz w:val="20"/>
          <w:szCs w:val="20"/>
          <w:color w:val="auto"/>
        </w:rPr>
        <w:tab/>
      </w:r>
      <w:r>
        <w:rPr>
          <w:rFonts w:ascii="Courier New" w:cs="Courier New" w:eastAsia="Courier New" w:hAnsi="Courier New"/>
          <w:sz w:val="15"/>
          <w:szCs w:val="15"/>
          <w:color w:val="auto"/>
        </w:rPr>
        <w:t>7,961,176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capital (Note 6)</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2,065,656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3,600,522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900"/>
        <w:spacing w:after="0"/>
        <w:tabs>
          <w:tab w:leader="none" w:pos="6200" w:val="left"/>
        </w:tabs>
        <w:rPr>
          <w:sz w:val="20"/>
          <w:szCs w:val="20"/>
          <w:color w:val="auto"/>
        </w:rPr>
      </w:pPr>
      <w:r>
        <w:rPr>
          <w:rFonts w:ascii="Courier New" w:cs="Courier New" w:eastAsia="Courier New" w:hAnsi="Courier New"/>
          <w:sz w:val="15"/>
          <w:szCs w:val="15"/>
          <w:color w:val="auto"/>
        </w:rPr>
        <w:t>2,066,656</w:t>
      </w:r>
      <w:r>
        <w:rPr>
          <w:sz w:val="20"/>
          <w:szCs w:val="20"/>
          <w:color w:val="auto"/>
        </w:rPr>
        <w:tab/>
      </w:r>
      <w:r>
        <w:rPr>
          <w:rFonts w:ascii="Courier New" w:cs="Courier New" w:eastAsia="Courier New" w:hAnsi="Courier New"/>
          <w:sz w:val="15"/>
          <w:szCs w:val="15"/>
          <w:color w:val="auto"/>
        </w:rPr>
        <w:t>3,601,522</w:t>
      </w:r>
    </w:p>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8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13,636,751</w:t>
      </w:r>
      <w:r>
        <w:rPr>
          <w:rFonts w:ascii="Courier New" w:cs="Courier New" w:eastAsia="Courier New" w:hAnsi="Courier New"/>
          <w:sz w:val="14"/>
          <w:szCs w:val="14"/>
          <w:color w:val="auto"/>
        </w:rPr>
        <w:t>11,562,698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STATEMENT OF CHANGES IN FINANCIAL POSITION</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00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ind w:left="6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provided by operations</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earnings</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(1,534,866)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733,795</w:t>
            </w:r>
          </w:p>
        </w:tc>
      </w:tr>
      <w:tr>
        <w:trPr>
          <w:trHeight w:val="168"/>
        </w:trPr>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Items not affecting cash</w:t>
            </w: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Amortization</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825,208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450,645</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Write-down of investments</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1,077,161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Post closure costs</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444,000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209,931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367,172</w:t>
            </w:r>
          </w:p>
        </w:tc>
      </w:tr>
      <w:tr>
        <w:trPr>
          <w:trHeight w:val="168"/>
        </w:trPr>
        <w:tc>
          <w:tcPr>
            <w:tcW w:w="43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(Gain) loss on sale of equipment</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bl>
    <w:p>
      <w:pPr>
        <w:spacing w:after="0" w:line="5"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1,041,350</w:t>
      </w:r>
      <w:r>
        <w:rPr>
          <w:rFonts w:ascii="Courier New" w:cs="Courier New" w:eastAsia="Courier New" w:hAnsi="Courier New"/>
          <w:sz w:val="14"/>
          <w:szCs w:val="14"/>
          <w:color w:val="auto"/>
        </w:rPr>
        <w:t>1,551,299</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Changes in non-cash working capital items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1,320,567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1,224,002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900"/>
        <w:spacing w:after="0"/>
        <w:tabs>
          <w:tab w:leader="none" w:pos="6120" w:val="left"/>
        </w:tabs>
        <w:rPr>
          <w:sz w:val="20"/>
          <w:szCs w:val="20"/>
          <w:color w:val="auto"/>
        </w:rPr>
      </w:pPr>
      <w:r>
        <w:rPr>
          <w:rFonts w:ascii="Courier New" w:cs="Courier New" w:eastAsia="Courier New" w:hAnsi="Courier New"/>
          <w:sz w:val="15"/>
          <w:szCs w:val="15"/>
          <w:color w:val="auto"/>
        </w:rPr>
        <w:t>2,361,917</w:t>
      </w:r>
      <w:r>
        <w:rPr>
          <w:sz w:val="20"/>
          <w:szCs w:val="20"/>
          <w:color w:val="auto"/>
        </w:rPr>
        <w:tab/>
      </w:r>
      <w:r>
        <w:rPr>
          <w:rFonts w:ascii="Courier New" w:cs="Courier New" w:eastAsia="Courier New" w:hAnsi="Courier New"/>
          <w:sz w:val="15"/>
          <w:szCs w:val="15"/>
          <w:color w:val="auto"/>
        </w:rPr>
        <w:t>2,775,301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INVESTING ACTIVITIES</w:t>
            </w: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3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Additions to capital assets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(3,959,493)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(2,916,473)</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disposal of capital assets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94,751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Decrease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outstanding loan from parent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185,103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020" w:val="left"/>
        </w:tabs>
        <w:rPr>
          <w:sz w:val="20"/>
          <w:szCs w:val="20"/>
          <w:color w:val="auto"/>
        </w:rPr>
      </w:pPr>
      <w:r>
        <w:rPr>
          <w:rFonts w:ascii="Courier New" w:cs="Courier New" w:eastAsia="Courier New" w:hAnsi="Courier New"/>
          <w:sz w:val="15"/>
          <w:szCs w:val="15"/>
          <w:color w:val="auto"/>
        </w:rPr>
        <w:t>(3,679,639)</w:t>
        <w:tab/>
        <w:t>(2,893,927)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change in cash</w:t>
            </w:r>
          </w:p>
        </w:tc>
        <w:tc>
          <w:tcPr>
            <w:tcW w:w="2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(1,317,722)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(118,626)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17,186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135,812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(BANK INDEBTEDNESS), END OF YEAR</w:t>
            </w:r>
          </w:p>
        </w:tc>
        <w:tc>
          <w:tcPr>
            <w:tcW w:w="2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(1,300,536)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17,186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NOTES TO THE FINANCIAL STATEMENTS</w:t>
      </w:r>
    </w:p>
    <w:p>
      <w:pPr>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2"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statements of Les Entreprises de Rebuts Sanipan Inc. are prepared for the purpose of complying with the rules and regalations of the Securities and Exchange Commission (for inclusion in the current report on form 8K/A of USA Waste Services Inc.) and reflect the operations of the company with the exclusion of the subsidiaries, since the subsidiaries are not part of the sale agreement to USA Waste Services.</w:t>
      </w:r>
    </w:p>
    <w:p>
      <w:pPr>
        <w:spacing w:after="0" w:line="159"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AND NATURE OF ACTIVITIES</w:t>
      </w:r>
    </w:p>
    <w:p>
      <w:pPr>
        <w:spacing w:after="0" w:line="172" w:lineRule="exact"/>
        <w:rPr>
          <w:rFonts w:ascii="Courier New" w:cs="Courier New" w:eastAsia="Courier New" w:hAnsi="Courier New"/>
          <w:sz w:val="15"/>
          <w:szCs w:val="15"/>
          <w:color w:val="auto"/>
        </w:rPr>
      </w:pPr>
    </w:p>
    <w:p>
      <w:pPr>
        <w:jc w:val="both"/>
        <w:ind w:left="44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incorporated under the Canada Business Corporations Act. The Company is held 100% by Intersan Inc. and its principal activity is the operation of a landfill site.</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72"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have been prepared in accordance with accounting principles generally accepted in Canada. The significant accounting policies are:</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w:t>
      </w:r>
    </w:p>
    <w:p>
      <w:pPr>
        <w:spacing w:after="0" w:line="172" w:lineRule="exact"/>
        <w:rPr>
          <w:rFonts w:ascii="Courier New" w:cs="Courier New" w:eastAsia="Courier New" w:hAnsi="Courier New"/>
          <w:sz w:val="15"/>
          <w:szCs w:val="15"/>
          <w:color w:val="auto"/>
        </w:rPr>
      </w:pPr>
    </w:p>
    <w:p>
      <w:pPr>
        <w:ind w:left="440" w:right="393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investment in the subsidiaries is recorded at acquisition cost. Capital assets</w:t>
      </w:r>
    </w:p>
    <w:p>
      <w:pPr>
        <w:spacing w:after="0" w:line="14"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Capital assets are reported at cost and amortization is based on their estimated useful life at the following annual rates and terms: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060" w:type="dxa"/>
            <w:vAlign w:val="bottom"/>
          </w:tcPr>
          <w:p>
            <w:pPr>
              <w:ind w:left="140"/>
              <w:spacing w:after="0"/>
              <w:rPr>
                <w:sz w:val="20"/>
                <w:szCs w:val="20"/>
                <w:color w:val="auto"/>
              </w:rPr>
            </w:pPr>
            <w:r>
              <w:rPr>
                <w:rFonts w:ascii="Courier New" w:cs="Courier New" w:eastAsia="Courier New" w:hAnsi="Courier New"/>
                <w:sz w:val="15"/>
                <w:szCs w:val="15"/>
                <w:color w:val="auto"/>
              </w:rPr>
              <w:t>Method</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Rate/term</w:t>
            </w:r>
          </w:p>
        </w:tc>
      </w:tr>
      <w:tr>
        <w:trPr>
          <w:trHeight w:val="336"/>
        </w:trPr>
        <w:tc>
          <w:tcPr>
            <w:tcW w:w="3280" w:type="dxa"/>
            <w:vAlign w:val="bottom"/>
          </w:tcPr>
          <w:p>
            <w:pPr>
              <w:ind w:left="880"/>
              <w:spacing w:after="0"/>
              <w:rPr>
                <w:sz w:val="20"/>
                <w:szCs w:val="20"/>
                <w:color w:val="auto"/>
              </w:rPr>
            </w:pPr>
            <w:r>
              <w:rPr>
                <w:rFonts w:ascii="Courier New" w:cs="Courier New" w:eastAsia="Courier New" w:hAnsi="Courier New"/>
                <w:sz w:val="15"/>
                <w:szCs w:val="15"/>
                <w:color w:val="auto"/>
              </w:rPr>
              <w:t>Building</w:t>
            </w:r>
          </w:p>
        </w:tc>
        <w:tc>
          <w:tcPr>
            <w:tcW w:w="2060" w:type="dxa"/>
            <w:vAlign w:val="bottom"/>
          </w:tcPr>
          <w:p>
            <w:pPr>
              <w:ind w:left="140"/>
              <w:spacing w:after="0"/>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spacing w:after="0"/>
              <w:rPr>
                <w:sz w:val="24"/>
                <w:szCs w:val="2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Automotive equipment</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straight-line</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5 to 10 years</w:t>
            </w: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spacing w:after="0"/>
              <w:rPr>
                <w:sz w:val="14"/>
                <w:szCs w:val="1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spacing w:after="0"/>
              <w:rPr>
                <w:sz w:val="14"/>
                <w:szCs w:val="1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straight-line</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remaining lease</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w:t>
            </w:r>
          </w:p>
        </w:tc>
        <w:tc>
          <w:tcPr>
            <w:tcW w:w="1080" w:type="dxa"/>
            <w:vAlign w:val="bottom"/>
          </w:tcPr>
          <w:p>
            <w:pPr>
              <w:spacing w:after="0"/>
              <w:rPr>
                <w:sz w:val="14"/>
                <w:szCs w:val="14"/>
                <w:color w:val="auto"/>
              </w:rPr>
            </w:pP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Landfill site improvements</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landfill utilized</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capacity</w:t>
            </w: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declining balance</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4.   INVESTMENT, AT COST</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5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Shares of Sablix Inc., wholly-owned subsidiary</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w:t>
            </w:r>
          </w:p>
        </w:tc>
      </w:tr>
      <w:tr>
        <w:trPr>
          <w:trHeight w:val="168"/>
        </w:trPr>
        <w:tc>
          <w:tcPr>
            <w:tcW w:w="5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Shares of 2842-7979 Quebec Inc., wholly-owned subsidiary</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1,062,161</w:t>
            </w:r>
          </w:p>
        </w:tc>
      </w:tr>
    </w:tbl>
    <w:p>
      <w:pPr>
        <w:spacing w:after="0" w:line="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140" w:hanging="620"/>
        <w:spacing w:after="0" w:line="237" w:lineRule="auto"/>
        <w:tabs>
          <w:tab w:leader="none" w:pos="61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1,077,161</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237" w:lineRule="auto"/>
        <w:rPr>
          <w:sz w:val="20"/>
          <w:szCs w:val="20"/>
          <w:color w:val="auto"/>
        </w:rPr>
      </w:pPr>
      <w:r>
        <w:rPr>
          <w:rFonts w:ascii="Courier New" w:cs="Courier New" w:eastAsia="Courier New" w:hAnsi="Courier New"/>
          <w:sz w:val="15"/>
          <w:szCs w:val="15"/>
          <w:color w:val="auto"/>
        </w:rPr>
        <w:t>LES ENTREPRISES DE REBUTS SANIPAN INC.</w:t>
      </w:r>
    </w:p>
    <w:p>
      <w:pPr>
        <w:spacing w:after="0" w:line="238" w:lineRule="auto"/>
        <w:rPr>
          <w:sz w:val="20"/>
          <w:szCs w:val="20"/>
          <w:color w:val="auto"/>
        </w:rPr>
      </w:pPr>
      <w:r>
        <w:rPr>
          <w:rFonts w:ascii="Courier New" w:cs="Courier New" w:eastAsia="Courier New" w:hAnsi="Courier New"/>
          <w:sz w:val="15"/>
          <w:szCs w:val="15"/>
          <w:color w:val="auto"/>
        </w:rPr>
        <w:t>NOTES TO THE FINANCIAL STATEMENTS</w:t>
      </w:r>
    </w:p>
    <w:p>
      <w:pPr>
        <w:spacing w:after="0" w:line="237" w:lineRule="auto"/>
        <w:rPr>
          <w:sz w:val="20"/>
          <w:szCs w:val="20"/>
          <w:color w:val="auto"/>
        </w:rPr>
      </w:pPr>
      <w:r>
        <w:rPr>
          <w:rFonts w:ascii="Courier New" w:cs="Courier New" w:eastAsia="Courier New" w:hAnsi="Courier New"/>
          <w:sz w:val="15"/>
          <w:szCs w:val="15"/>
          <w:color w:val="auto"/>
        </w:rPr>
        <w:t>YEAR ENDED DECEMBERR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5.</w:t>
        <w:tab/>
        <w:t>CAPITAL ASSETS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spacing w:after="0"/>
              <w:rPr>
                <w:sz w:val="14"/>
                <w:szCs w:val="14"/>
                <w:color w:val="auto"/>
              </w:rPr>
            </w:pP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4"/>
              </w:rPr>
              <w:t>1994</w:t>
            </w:r>
          </w:p>
        </w:tc>
      </w:tr>
      <w:tr>
        <w:trPr>
          <w:trHeight w:val="168"/>
        </w:trPr>
        <w:tc>
          <w:tcPr>
            <w:tcW w:w="188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4"/>
              </w:rPr>
              <w:t>-------------------------------------</w:t>
            </w:r>
          </w:p>
        </w:tc>
        <w:tc>
          <w:tcPr>
            <w:tcW w:w="96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and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Book</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Book</w:t>
            </w:r>
          </w:p>
        </w:tc>
      </w:tr>
      <w:tr>
        <w:trPr>
          <w:trHeight w:val="168"/>
        </w:trPr>
        <w:tc>
          <w:tcPr>
            <w:tcW w:w="18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w:t>
            </w: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3"/>
              </w:rPr>
              <w:t>Value</w:t>
            </w:r>
          </w:p>
        </w:tc>
      </w:tr>
      <w:tr>
        <w:trPr>
          <w:trHeight w:val="168"/>
        </w:trPr>
        <w:tc>
          <w:tcPr>
            <w:tcW w:w="18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88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985,075</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985,075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985,075</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173,575</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47,061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126,514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132,078</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equipment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60,278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3,766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56,512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12,236</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2,214,466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141,663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2,072,803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272,364</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Landfill site</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improvements</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9,165,664</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1,827,851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7,337,813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6,154,166</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16,370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6,193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10,177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13,357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460"/>
        <w:spacing w:after="0"/>
        <w:tabs>
          <w:tab w:leader="none" w:pos="3660" w:val="left"/>
          <w:tab w:leader="none" w:pos="4720" w:val="left"/>
          <w:tab w:leader="none" w:pos="5940" w:val="left"/>
        </w:tabs>
        <w:rPr>
          <w:sz w:val="20"/>
          <w:szCs w:val="20"/>
          <w:color w:val="auto"/>
        </w:rPr>
      </w:pPr>
      <w:r>
        <w:rPr>
          <w:rFonts w:ascii="Courier New" w:cs="Courier New" w:eastAsia="Courier New" w:hAnsi="Courier New"/>
          <w:sz w:val="15"/>
          <w:szCs w:val="15"/>
          <w:color w:val="auto"/>
        </w:rPr>
        <w:t>12,615,428</w:t>
      </w:r>
      <w:r>
        <w:rPr>
          <w:sz w:val="20"/>
          <w:szCs w:val="20"/>
          <w:color w:val="auto"/>
        </w:rPr>
        <w:tab/>
      </w:r>
      <w:r>
        <w:rPr>
          <w:rFonts w:ascii="Courier New" w:cs="Courier New" w:eastAsia="Courier New" w:hAnsi="Courier New"/>
          <w:sz w:val="15"/>
          <w:szCs w:val="15"/>
          <w:color w:val="auto"/>
        </w:rPr>
        <w:t>2,026,534</w:t>
        <w:tab/>
        <w:t>10,588,894</w:t>
      </w:r>
      <w:r>
        <w:rPr>
          <w:sz w:val="20"/>
          <w:szCs w:val="20"/>
          <w:color w:val="auto"/>
        </w:rPr>
        <w:tab/>
      </w:r>
      <w:r>
        <w:rPr>
          <w:rFonts w:ascii="Courier New" w:cs="Courier New" w:eastAsia="Courier New" w:hAnsi="Courier New"/>
          <w:sz w:val="14"/>
          <w:szCs w:val="14"/>
          <w:color w:val="auto"/>
        </w:rPr>
        <w:t>7,569,276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CAPITAL</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Authorized</w:t>
      </w:r>
    </w:p>
    <w:p>
      <w:pPr>
        <w:spacing w:after="0" w:line="5"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An unlimited number of preferred shares, non-cumulative dividend at 12%, redeemable by the Company at an amount equal to the paid-up capital, without par value</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An unlimited number of common shares, voting, without par value</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2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820"/>
        <w:spacing w:after="0"/>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96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Issued</w:t>
      </w:r>
    </w:p>
    <w:p>
      <w:pPr>
        <w:ind w:left="980"/>
        <w:spacing w:after="0"/>
        <w:tabs>
          <w:tab w:leader="none" w:pos="1480" w:val="left"/>
          <w:tab w:leader="none" w:pos="4620" w:val="left"/>
          <w:tab w:leader="none" w:pos="6200" w:val="left"/>
        </w:tabs>
        <w:rPr>
          <w:sz w:val="20"/>
          <w:szCs w:val="20"/>
          <w:color w:val="auto"/>
        </w:rPr>
      </w:pPr>
      <w:r>
        <w:rPr>
          <w:rFonts w:ascii="Courier New" w:cs="Courier New" w:eastAsia="Courier New" w:hAnsi="Courier New"/>
          <w:sz w:val="15"/>
          <w:szCs w:val="15"/>
          <w:color w:val="auto"/>
        </w:rPr>
        <w:t>100</w:t>
        <w:tab/>
        <w:t>common shares</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4"/>
          <w:szCs w:val="14"/>
          <w:color w:val="auto"/>
        </w:rPr>
        <w:t>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sales and administrative expenses included management fees for an amount of $640,000 ($1,000,000 in 1994) payable to the parent company.</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342"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We have audited the accompanying historical summary of the net book value of property, plant and equipment of the Combined Ontario and Michigan Operations of the Solid Waste Division of Philip Environmental Inc. for the year ended December 31, 1995. This historical summary is the responsibility of the Company's management. Our responsibility is to express an opinion on the historical summary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an audit to obtain reasonable assurance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the historical summary. We believe that our audit provides a reasonable basis for our opinion.</w:t>
      </w:r>
    </w:p>
    <w:p>
      <w:pPr>
        <w:spacing w:after="0" w:line="178"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accompanying historical summary was prepared for the purpose of complying with the rules and regulations of the Securities and Exchange commission (for inclusion in the Current Report on Form 8K/A of USA Waste Services, Inc.) and is not intended to be a complete presentation of the net book value of property, plant and equipment of the Combined Ontario and Michigan Operations of the Solid Waste Division of Philip Environmental Inc.</w:t>
      </w:r>
    </w:p>
    <w:p>
      <w:pPr>
        <w:spacing w:after="0" w:line="166"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our opinion, the historical summary referred to above presents fairly, in all material respects, the net book value of property, plant and equipment described in Note 1 to the Combined Ontario and Michigan Operations of the Solid Waste Division of Philip Environmental Inc. for the year ended December 31, 1995 in conformity with generally accepted accounting principles.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line="237" w:lineRule="auto"/>
        <w:rPr>
          <w:sz w:val="20"/>
          <w:szCs w:val="20"/>
          <w:color w:val="auto"/>
        </w:rPr>
      </w:pPr>
      <w:r>
        <w:rPr>
          <w:rFonts w:ascii="Courier New" w:cs="Courier New" w:eastAsia="Courier New" w:hAnsi="Courier New"/>
          <w:sz w:val="15"/>
          <w:szCs w:val="15"/>
          <w:color w:val="auto"/>
        </w:rPr>
        <w:t>November 8,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SUMMARY OF THE NET BOOK VALUE OF</w:t>
      </w:r>
    </w:p>
    <w:p>
      <w:pPr>
        <w:spacing w:after="0" w:line="237" w:lineRule="auto"/>
        <w:rPr>
          <w:sz w:val="20"/>
          <w:szCs w:val="20"/>
          <w:color w:val="auto"/>
        </w:rPr>
      </w:pPr>
      <w:r>
        <w:rPr>
          <w:rFonts w:ascii="Courier New" w:cs="Courier New" w:eastAsia="Courier New" w:hAnsi="Courier New"/>
          <w:sz w:val="15"/>
          <w:szCs w:val="15"/>
          <w:color w:val="auto"/>
        </w:rPr>
        <w:t>PROPERTY, PLANT AND EQUIPMENT</w:t>
      </w:r>
    </w:p>
    <w:p>
      <w:pPr>
        <w:spacing w:after="0" w:line="238" w:lineRule="auto"/>
        <w:rPr>
          <w:sz w:val="20"/>
          <w:szCs w:val="20"/>
          <w:color w:val="auto"/>
        </w:rPr>
      </w:pPr>
      <w:r>
        <w:rPr>
          <w:rFonts w:ascii="Courier New" w:cs="Courier New" w:eastAsia="Courier New" w:hAnsi="Courier New"/>
          <w:sz w:val="15"/>
          <w:szCs w:val="15"/>
          <w:color w:val="auto"/>
        </w:rPr>
        <w:t>YEAR ENDED DECEMBER 31, 1995</w:t>
      </w:r>
    </w:p>
    <w:p>
      <w:pPr>
        <w:spacing w:after="0" w:line="237" w:lineRule="auto"/>
        <w:rPr>
          <w:sz w:val="20"/>
          <w:szCs w:val="20"/>
          <w:color w:val="auto"/>
        </w:rPr>
      </w:pPr>
      <w:r>
        <w:rPr>
          <w:rFonts w:ascii="Courier New" w:cs="Courier New" w:eastAsia="Courier New" w:hAnsi="Courier New"/>
          <w:sz w:val="15"/>
          <w:szCs w:val="15"/>
          <w:color w:val="auto"/>
        </w:rPr>
        <w:t>(ALL AMOUNTS ARE EXPRESSED IN '000S OF U.S. DOLLARS)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jc w:val="center"/>
        <w:ind w:left="1500"/>
        <w:spacing w:after="0"/>
        <w:rPr>
          <w:sz w:val="20"/>
          <w:szCs w:val="20"/>
          <w:color w:val="auto"/>
        </w:rPr>
      </w:pPr>
      <w:r>
        <w:rPr>
          <w:rFonts w:ascii="Courier New" w:cs="Courier New" w:eastAsia="Courier New" w:hAnsi="Courier New"/>
          <w:sz w:val="15"/>
          <w:szCs w:val="15"/>
          <w:color w:val="auto"/>
        </w:rPr>
        <w:t>DECEMBER 31,</w:t>
      </w:r>
    </w:p>
    <w:p>
      <w:pPr>
        <w:jc w:val="center"/>
        <w:ind w:left="1500"/>
        <w:spacing w:after="0" w:line="237" w:lineRule="auto"/>
        <w:rPr>
          <w:sz w:val="20"/>
          <w:szCs w:val="20"/>
          <w:color w:val="auto"/>
        </w:rPr>
      </w:pPr>
      <w:r>
        <w:rPr>
          <w:rFonts w:ascii="Courier New" w:cs="Courier New" w:eastAsia="Courier New" w:hAnsi="Courier New"/>
          <w:sz w:val="15"/>
          <w:szCs w:val="15"/>
          <w:color w:val="auto"/>
        </w:rPr>
        <w:t>1995</w:t>
      </w:r>
    </w:p>
    <w:p>
      <w:pPr>
        <w:jc w:val="center"/>
        <w:ind w:left="150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book value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21,480</w:t>
      </w:r>
    </w:p>
    <w:p>
      <w:pPr>
        <w:spacing w:after="0" w:line="173" w:lineRule="exact"/>
        <w:rPr>
          <w:sz w:val="20"/>
          <w:szCs w:val="20"/>
          <w:color w:val="auto"/>
        </w:rPr>
      </w:pPr>
    </w:p>
    <w:p>
      <w:pPr>
        <w:sectPr>
          <w:pgSz w:w="11900" w:h="16838" w:orient="portrait"/>
          <w:cols w:equalWidth="0" w:num="3">
            <w:col w:w="5240" w:space="720"/>
            <w:col w:w="80" w:space="260"/>
            <w:col w:w="39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Historical Summary of the Net Book Value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238" w:lineRule="auto"/>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237" w:lineRule="auto"/>
        <w:rPr>
          <w:sz w:val="20"/>
          <w:szCs w:val="20"/>
          <w:color w:val="auto"/>
        </w:rPr>
      </w:pPr>
      <w:r>
        <w:rPr>
          <w:rFonts w:ascii="Courier New" w:cs="Courier New" w:eastAsia="Courier New" w:hAnsi="Courier New"/>
          <w:sz w:val="15"/>
          <w:szCs w:val="15"/>
          <w:color w:val="auto"/>
        </w:rPr>
        <w:t>NOTES TO THE HISTORICAL SUMMARY OF THE NET BOOK VALUE OF</w:t>
      </w:r>
    </w:p>
    <w:p>
      <w:pPr>
        <w:spacing w:after="0" w:line="238" w:lineRule="auto"/>
        <w:rPr>
          <w:sz w:val="20"/>
          <w:szCs w:val="20"/>
          <w:color w:val="auto"/>
        </w:rPr>
      </w:pPr>
      <w:r>
        <w:rPr>
          <w:rFonts w:ascii="Courier New" w:cs="Courier New" w:eastAsia="Courier New" w:hAnsi="Courier New"/>
          <w:sz w:val="15"/>
          <w:szCs w:val="15"/>
          <w:color w:val="auto"/>
        </w:rPr>
        <w:t>PROPERTY, PLANT AND EQUIPMENT</w:t>
      </w:r>
    </w:p>
    <w:p>
      <w:pPr>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6199" w:hanging="350"/>
        <w:spacing w:after="0" w:line="465"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rFonts w:ascii="Courier New" w:cs="Courier New" w:eastAsia="Courier New" w:hAnsi="Courier New"/>
          <w:sz w:val="15"/>
          <w:szCs w:val="15"/>
          <w:color w:val="auto"/>
        </w:rPr>
      </w:pPr>
    </w:p>
    <w:p>
      <w:pPr>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Ontario and Michigan Operations of the Solid Waste Division of Philip Environmental Inc. (the "Company") included the assets of the following locations and entities: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Blackwell Road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Brampton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Brantford Collection</w:t>
      </w:r>
    </w:p>
    <w:p>
      <w:pPr>
        <w:ind w:left="360"/>
        <w:spacing w:after="0" w:line="237" w:lineRule="auto"/>
        <w:rPr>
          <w:sz w:val="20"/>
          <w:szCs w:val="20"/>
          <w:color w:val="auto"/>
        </w:rPr>
      </w:pPr>
      <w:r>
        <w:rPr>
          <w:rFonts w:ascii="Courier New" w:cs="Courier New" w:eastAsia="Courier New" w:hAnsi="Courier New"/>
          <w:sz w:val="15"/>
          <w:szCs w:val="15"/>
          <w:color w:val="auto"/>
        </w:rPr>
        <w:t>Gore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Hamilton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K &amp; E Waste Resource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MacGregor Road Transfer</w:t>
      </w:r>
    </w:p>
    <w:p>
      <w:pPr>
        <w:spacing w:after="0" w:line="237" w:lineRule="auto"/>
        <w:rPr>
          <w:sz w:val="20"/>
          <w:szCs w:val="20"/>
          <w:color w:val="auto"/>
        </w:rPr>
      </w:pPr>
      <w:r>
        <w:rPr>
          <w:rFonts w:ascii="Courier New" w:cs="Courier New" w:eastAsia="Courier New" w:hAnsi="Courier New"/>
          <w:sz w:val="15"/>
          <w:szCs w:val="15"/>
          <w:color w:val="auto"/>
        </w:rPr>
        <w:t>Michigan Collection</w:t>
      </w:r>
    </w:p>
    <w:p>
      <w:pPr>
        <w:spacing w:after="0" w:line="238" w:lineRule="auto"/>
        <w:rPr>
          <w:sz w:val="20"/>
          <w:szCs w:val="20"/>
          <w:color w:val="auto"/>
        </w:rPr>
      </w:pPr>
      <w:r>
        <w:rPr>
          <w:rFonts w:ascii="Courier New" w:cs="Courier New" w:eastAsia="Courier New" w:hAnsi="Courier New"/>
          <w:sz w:val="15"/>
          <w:szCs w:val="15"/>
          <w:color w:val="auto"/>
        </w:rPr>
        <w:t>Michigan Landfill</w:t>
      </w:r>
    </w:p>
    <w:p>
      <w:pPr>
        <w:spacing w:after="0" w:line="237" w:lineRule="auto"/>
        <w:rPr>
          <w:sz w:val="20"/>
          <w:szCs w:val="20"/>
          <w:color w:val="auto"/>
        </w:rPr>
      </w:pPr>
      <w:r>
        <w:rPr>
          <w:rFonts w:ascii="Courier New" w:cs="Courier New" w:eastAsia="Courier New" w:hAnsi="Courier New"/>
          <w:sz w:val="15"/>
          <w:szCs w:val="15"/>
          <w:color w:val="auto"/>
        </w:rPr>
        <w:t>Michigan Transfer</w:t>
      </w:r>
    </w:p>
    <w:p>
      <w:pPr>
        <w:spacing w:after="0" w:line="238" w:lineRule="auto"/>
        <w:rPr>
          <w:sz w:val="20"/>
          <w:szCs w:val="20"/>
          <w:color w:val="auto"/>
        </w:rPr>
      </w:pPr>
      <w:r>
        <w:rPr>
          <w:rFonts w:ascii="Courier New" w:cs="Courier New" w:eastAsia="Courier New" w:hAnsi="Courier New"/>
          <w:sz w:val="15"/>
          <w:szCs w:val="15"/>
          <w:color w:val="auto"/>
        </w:rPr>
        <w:t>Petrolia Landfill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Catherines Collection/Transfer</w:t>
      </w:r>
    </w:p>
    <w:p>
      <w:pPr>
        <w:spacing w:after="0" w:line="177" w:lineRule="exact"/>
        <w:rPr>
          <w:sz w:val="20"/>
          <w:szCs w:val="20"/>
          <w:color w:val="auto"/>
        </w:rPr>
      </w:pPr>
    </w:p>
    <w:p>
      <w:pPr>
        <w:sectPr>
          <w:pgSz w:w="11900" w:h="16838" w:orient="portrait"/>
          <w:cols w:equalWidth="0" w:num="2">
            <w:col w:w="3320" w:space="720"/>
            <w:col w:w="6199"/>
          </w:cols>
          <w:pgMar w:left="220" w:top="281" w:right="1440" w:bottom="1440" w:gutter="0" w:footer="0" w:header="0"/>
          <w:type w:val="continuous"/>
        </w:sectPr>
      </w:pPr>
    </w:p>
    <w:p>
      <w:pPr>
        <w:ind w:left="360" w:right="3759"/>
        <w:spacing w:after="0" w:line="234" w:lineRule="auto"/>
        <w:rPr>
          <w:sz w:val="20"/>
          <w:szCs w:val="20"/>
          <w:color w:val="auto"/>
        </w:rPr>
      </w:pPr>
      <w:r>
        <w:rPr>
          <w:rFonts w:ascii="Courier New" w:cs="Courier New" w:eastAsia="Courier New" w:hAnsi="Courier New"/>
          <w:sz w:val="15"/>
          <w:szCs w:val="15"/>
          <w:color w:val="auto"/>
        </w:rPr>
        <w:t>The assets of the Company were acquired by USA Waste Services, Inc. on August 24, 1996.</w:t>
      </w:r>
    </w:p>
    <w:p>
      <w:pPr>
        <w:spacing w:after="0" w:line="173"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The historical summary of the net book value of property, plant and equipment reflects the assets attributable to the operations of the Company acquired by USA Waste Services, Inc.</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Property, plant and equipment are stated at cost and are depreciated over their estimated useful lives generally on the following basis: buildings 20 to 40 years straight-line; equipment 5% to 30% straight-line. Landfill sites and improvements thereto are recorded at cost and amortized over the life of the landfill site based on the estimated landfill capacity utilized during the year. Operating costs associated with landfill sites are charged to operations as incurred.</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237" w:lineRule="auto"/>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spacing w:after="0" w:line="237" w:lineRule="auto"/>
        <w:rPr>
          <w:sz w:val="20"/>
          <w:szCs w:val="20"/>
          <w:color w:val="auto"/>
        </w:rPr>
      </w:pPr>
      <w:r>
        <w:rPr>
          <w:rFonts w:ascii="Courier New" w:cs="Courier New" w:eastAsia="Courier New" w:hAnsi="Courier New"/>
          <w:sz w:val="15"/>
          <w:szCs w:val="15"/>
          <w:color w:val="auto"/>
        </w:rPr>
        <w:t>USA Waste Services, Inc.</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historical summary of revenues and direct operating expenses of the Combined Ontario and Michigan Operations of the Solid Waste Division of Philip Environmental Inc. for the year ended December 31, 1995. This historical summary is the responsibility of the Company's management. Our responsibility is to express an opinion on the historical summary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an audit to obtain reasonable assurance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the historical summary. We believe that our audit provides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accompanying historical summary was prepared for the purpose of complying with the rules and regulations of the Securities and Exchange commission (for inclusion in the Current Report on Form 8K/A of USA Waste Services, Inc.) and is not intended to be a complete presentation of the revenues and direct operating expenses of the Combined Ontario and Michigan Operations of the Solid Waste Division of Philip Environmental Inc.</w:t>
      </w:r>
    </w:p>
    <w:p>
      <w:pPr>
        <w:spacing w:after="0" w:line="17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 our opinion, the historical summary referred to above presents fairly, in all material respects, the revenues and direct operating expenses described in Note 1 to the Combined Ontario and Michigan Operations of the Solid Waste Division of Philip Environmental Inc. for the year ended December 31, 1995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line="237" w:lineRule="auto"/>
        <w:rPr>
          <w:sz w:val="20"/>
          <w:szCs w:val="20"/>
          <w:color w:val="auto"/>
        </w:rPr>
      </w:pPr>
      <w:r>
        <w:rPr>
          <w:rFonts w:ascii="Courier New" w:cs="Courier New" w:eastAsia="Courier New" w:hAnsi="Courier New"/>
          <w:sz w:val="15"/>
          <w:szCs w:val="15"/>
          <w:color w:val="auto"/>
        </w:rPr>
        <w:t>November 8,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238" w:lineRule="auto"/>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237" w:lineRule="auto"/>
        <w:rPr>
          <w:sz w:val="20"/>
          <w:szCs w:val="20"/>
          <w:color w:val="auto"/>
        </w:rPr>
      </w:pPr>
      <w:r>
        <w:rPr>
          <w:rFonts w:ascii="Courier New" w:cs="Courier New" w:eastAsia="Courier New" w:hAnsi="Courier New"/>
          <w:sz w:val="15"/>
          <w:szCs w:val="15"/>
          <w:color w:val="auto"/>
        </w:rPr>
        <w:t>NOTES TO THE HISTORICAL SUMMARY OF REVENUES AND</w:t>
      </w:r>
    </w:p>
    <w:p>
      <w:pPr>
        <w:spacing w:after="0" w:line="238" w:lineRule="auto"/>
        <w:rPr>
          <w:sz w:val="20"/>
          <w:szCs w:val="20"/>
          <w:color w:val="auto"/>
        </w:rPr>
      </w:pPr>
      <w:r>
        <w:rPr>
          <w:rFonts w:ascii="Courier New" w:cs="Courier New" w:eastAsia="Courier New" w:hAnsi="Courier New"/>
          <w:sz w:val="15"/>
          <w:szCs w:val="15"/>
          <w:color w:val="auto"/>
        </w:rPr>
        <w:t>DIRECT OPERATING EXPENSES</w:t>
      </w:r>
    </w:p>
    <w:p>
      <w:pPr>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6199" w:hanging="350"/>
        <w:spacing w:after="0" w:line="465"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The Combined Ontario and Michigan Operations of the Solid Waste Division of Philip Environmental Inc. (the "Company") includes the operations of the following locations and entities: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Blackwell Road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Brampton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Brantford Collection</w:t>
      </w:r>
    </w:p>
    <w:p>
      <w:pPr>
        <w:ind w:left="360"/>
        <w:spacing w:after="0" w:line="237" w:lineRule="auto"/>
        <w:rPr>
          <w:sz w:val="20"/>
          <w:szCs w:val="20"/>
          <w:color w:val="auto"/>
        </w:rPr>
      </w:pPr>
      <w:r>
        <w:rPr>
          <w:rFonts w:ascii="Courier New" w:cs="Courier New" w:eastAsia="Courier New" w:hAnsi="Courier New"/>
          <w:sz w:val="15"/>
          <w:szCs w:val="15"/>
          <w:color w:val="auto"/>
        </w:rPr>
        <w:t>Gore Landfill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Hamilton Collection/Transfer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K &amp; E Waste Resource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MacGregor Road Transfer</w:t>
      </w:r>
    </w:p>
    <w:p>
      <w:pPr>
        <w:spacing w:after="0" w:line="237" w:lineRule="auto"/>
        <w:rPr>
          <w:sz w:val="20"/>
          <w:szCs w:val="20"/>
          <w:color w:val="auto"/>
        </w:rPr>
      </w:pPr>
      <w:r>
        <w:rPr>
          <w:rFonts w:ascii="Courier New" w:cs="Courier New" w:eastAsia="Courier New" w:hAnsi="Courier New"/>
          <w:sz w:val="15"/>
          <w:szCs w:val="15"/>
          <w:color w:val="auto"/>
        </w:rPr>
        <w:t>Michigan Collection</w:t>
      </w:r>
    </w:p>
    <w:p>
      <w:pPr>
        <w:spacing w:after="0" w:line="238" w:lineRule="auto"/>
        <w:rPr>
          <w:sz w:val="20"/>
          <w:szCs w:val="20"/>
          <w:color w:val="auto"/>
        </w:rPr>
      </w:pPr>
      <w:r>
        <w:rPr>
          <w:rFonts w:ascii="Courier New" w:cs="Courier New" w:eastAsia="Courier New" w:hAnsi="Courier New"/>
          <w:sz w:val="15"/>
          <w:szCs w:val="15"/>
          <w:color w:val="auto"/>
        </w:rPr>
        <w:t>Michigan Landfill</w:t>
      </w:r>
    </w:p>
    <w:p>
      <w:pPr>
        <w:spacing w:after="0" w:line="237" w:lineRule="auto"/>
        <w:rPr>
          <w:sz w:val="20"/>
          <w:szCs w:val="20"/>
          <w:color w:val="auto"/>
        </w:rPr>
      </w:pPr>
      <w:r>
        <w:rPr>
          <w:rFonts w:ascii="Courier New" w:cs="Courier New" w:eastAsia="Courier New" w:hAnsi="Courier New"/>
          <w:sz w:val="15"/>
          <w:szCs w:val="15"/>
          <w:color w:val="auto"/>
        </w:rPr>
        <w:t>Michigan Transfer</w:t>
      </w:r>
    </w:p>
    <w:p>
      <w:pPr>
        <w:spacing w:after="0" w:line="238" w:lineRule="auto"/>
        <w:rPr>
          <w:sz w:val="20"/>
          <w:szCs w:val="20"/>
          <w:color w:val="auto"/>
        </w:rPr>
      </w:pPr>
      <w:r>
        <w:rPr>
          <w:rFonts w:ascii="Courier New" w:cs="Courier New" w:eastAsia="Courier New" w:hAnsi="Courier New"/>
          <w:sz w:val="15"/>
          <w:szCs w:val="15"/>
          <w:color w:val="auto"/>
        </w:rPr>
        <w:t>Petrolia Landfill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Catherines Collection/Transfer</w:t>
      </w:r>
    </w:p>
    <w:p>
      <w:pPr>
        <w:spacing w:after="0" w:line="177"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ind w:left="360" w:right="3759"/>
        <w:spacing w:after="0" w:line="234" w:lineRule="auto"/>
        <w:rPr>
          <w:sz w:val="20"/>
          <w:szCs w:val="20"/>
          <w:color w:val="auto"/>
        </w:rPr>
      </w:pPr>
      <w:r>
        <w:rPr>
          <w:rFonts w:ascii="Courier New" w:cs="Courier New" w:eastAsia="Courier New" w:hAnsi="Courier New"/>
          <w:sz w:val="15"/>
          <w:szCs w:val="15"/>
          <w:color w:val="auto"/>
        </w:rPr>
        <w:t>The assets of the Company were acquired by USA Waste Services, Inc. on August 24, 1996.</w:t>
      </w:r>
    </w:p>
    <w:p>
      <w:pPr>
        <w:spacing w:after="0" w:line="173" w:lineRule="exact"/>
        <w:rPr>
          <w:sz w:val="20"/>
          <w:szCs w:val="20"/>
          <w:color w:val="auto"/>
        </w:rPr>
      </w:pPr>
    </w:p>
    <w:p>
      <w:pPr>
        <w:ind w:left="360" w:right="3499"/>
        <w:spacing w:after="0" w:line="235" w:lineRule="auto"/>
        <w:rPr>
          <w:sz w:val="20"/>
          <w:szCs w:val="20"/>
          <w:color w:val="auto"/>
        </w:rPr>
      </w:pPr>
      <w:r>
        <w:rPr>
          <w:rFonts w:ascii="Courier New" w:cs="Courier New" w:eastAsia="Courier New" w:hAnsi="Courier New"/>
          <w:sz w:val="15"/>
          <w:szCs w:val="15"/>
          <w:color w:val="auto"/>
        </w:rPr>
        <w:t>The historical summary of revenues and direct operating expenses reflect the operating revenues and expenses attributable to the operations of the Company acquired by USA Waste Services, Inc.</w:t>
      </w:r>
    </w:p>
    <w:p>
      <w:pPr>
        <w:spacing w:after="0" w:line="174" w:lineRule="exact"/>
        <w:rPr>
          <w:sz w:val="20"/>
          <w:szCs w:val="20"/>
          <w:color w:val="auto"/>
        </w:rPr>
      </w:pPr>
    </w:p>
    <w:p>
      <w:pPr>
        <w:ind w:left="360" w:right="3499"/>
        <w:spacing w:after="0" w:line="235" w:lineRule="auto"/>
        <w:rPr>
          <w:sz w:val="20"/>
          <w:szCs w:val="20"/>
          <w:color w:val="auto"/>
        </w:rPr>
      </w:pPr>
      <w:r>
        <w:rPr>
          <w:rFonts w:ascii="Courier New" w:cs="Courier New" w:eastAsia="Courier New" w:hAnsi="Courier New"/>
          <w:sz w:val="15"/>
          <w:szCs w:val="15"/>
          <w:color w:val="auto"/>
        </w:rPr>
        <w:t>The historical summary of revenues and direct operating expenses excludes management fees, other income, interest expense and income tax expense since these items are not considered comparable to those which will be reflected in future consolidated financial statements.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Revenues and operating expenses</w:t>
      </w:r>
    </w:p>
    <w:p>
      <w:pPr>
        <w:spacing w:after="0" w:line="173"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Revenue from solid waste is recognized upon receipt and acceptance of waste material. Treatment, transportation and disposal costs are accrued when the related revenues are recognized.</w:t>
      </w:r>
    </w:p>
    <w:p>
      <w:pPr>
        <w:spacing w:after="0" w:line="174" w:lineRule="exact"/>
        <w:rPr>
          <w:sz w:val="20"/>
          <w:szCs w:val="20"/>
          <w:color w:val="auto"/>
        </w:rPr>
      </w:pPr>
    </w:p>
    <w:p>
      <w:pPr>
        <w:ind w:left="360" w:right="3679"/>
        <w:spacing w:after="0" w:line="258" w:lineRule="auto"/>
        <w:rPr>
          <w:sz w:val="20"/>
          <w:szCs w:val="20"/>
          <w:color w:val="auto"/>
        </w:rPr>
      </w:pPr>
      <w:r>
        <w:rPr>
          <w:rFonts w:ascii="Courier New" w:cs="Courier New" w:eastAsia="Courier New" w:hAnsi="Courier New"/>
          <w:sz w:val="14"/>
          <w:szCs w:val="14"/>
          <w:color w:val="auto"/>
        </w:rPr>
        <w:t>The major components of expenses are cost of hauling and disposal, depreciation, amortization, salaries and related expenses, maintenance, insurance and selling general and administration expenses.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237" w:lineRule="auto"/>
        <w:rPr>
          <w:sz w:val="20"/>
          <w:szCs w:val="20"/>
          <w:color w:val="auto"/>
        </w:rPr>
      </w:pPr>
      <w:r>
        <w:rPr>
          <w:rFonts w:ascii="Courier New" w:cs="Courier New" w:eastAsia="Courier New" w:hAnsi="Courier New"/>
          <w:sz w:val="15"/>
          <w:szCs w:val="15"/>
          <w:color w:val="auto"/>
        </w:rPr>
        <w:t>COMBINED ONTARIO AND MICHIGAN OPERATIONS OF</w:t>
      </w:r>
    </w:p>
    <w:p>
      <w:pPr>
        <w:spacing w:after="0" w:line="238" w:lineRule="auto"/>
        <w:rPr>
          <w:sz w:val="20"/>
          <w:szCs w:val="20"/>
          <w:color w:val="auto"/>
        </w:rPr>
      </w:pPr>
      <w:r>
        <w:rPr>
          <w:rFonts w:ascii="Courier New" w:cs="Courier New" w:eastAsia="Courier New" w:hAnsi="Courier New"/>
          <w:sz w:val="15"/>
          <w:szCs w:val="15"/>
          <w:color w:val="auto"/>
        </w:rPr>
        <w:t>THE SOLID WASTE DIVISION OF PHILIP ENVIRONMENTAL INC.</w:t>
      </w:r>
    </w:p>
    <w:p>
      <w:pPr>
        <w:spacing w:after="0" w:line="237" w:lineRule="auto"/>
        <w:rPr>
          <w:sz w:val="20"/>
          <w:szCs w:val="20"/>
          <w:color w:val="auto"/>
        </w:rPr>
      </w:pPr>
      <w:r>
        <w:rPr>
          <w:rFonts w:ascii="Courier New" w:cs="Courier New" w:eastAsia="Courier New" w:hAnsi="Courier New"/>
          <w:sz w:val="15"/>
          <w:szCs w:val="15"/>
          <w:color w:val="auto"/>
        </w:rPr>
        <w:t>NOTES TO THE HISTORICAL SUMMARY OF REVENUES AND</w:t>
      </w:r>
    </w:p>
    <w:p>
      <w:pPr>
        <w:spacing w:after="0" w:line="238" w:lineRule="auto"/>
        <w:rPr>
          <w:sz w:val="20"/>
          <w:szCs w:val="20"/>
          <w:color w:val="auto"/>
        </w:rPr>
      </w:pPr>
      <w:r>
        <w:rPr>
          <w:rFonts w:ascii="Courier New" w:cs="Courier New" w:eastAsia="Courier New" w:hAnsi="Courier New"/>
          <w:sz w:val="15"/>
          <w:szCs w:val="15"/>
          <w:color w:val="auto"/>
        </w:rPr>
        <w:t>DIRECT OPERATING EXPENSES</w:t>
      </w:r>
    </w:p>
    <w:p>
      <w:pPr>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360" w:right="5239" w:hanging="350"/>
        <w:spacing w:after="0" w:line="465"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POLICES (CONTINUED) Environmental liability</w:t>
      </w:r>
    </w:p>
    <w:p>
      <w:pPr>
        <w:spacing w:after="0" w:line="14" w:lineRule="exact"/>
        <w:rPr>
          <w:rFonts w:ascii="Courier New" w:cs="Courier New" w:eastAsia="Courier New" w:hAnsi="Courier New"/>
          <w:sz w:val="15"/>
          <w:szCs w:val="15"/>
          <w:color w:val="auto"/>
        </w:rPr>
      </w:pPr>
    </w:p>
    <w:p>
      <w:pPr>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accrues for the estimated costs relating to the closure and post-closure monitoring of its landfill sites as well as remediation costs associated with its transfer and processing facilities. The Company charges earnings with these estimated future costs based on engineering estimates over the fill rate of landfill sites or the expected life of transfer and processing facilities. Amounts required to dispose of waste materials located at the Company's transfer and processing facilities are accrued when received.</w:t>
      </w:r>
    </w:p>
    <w:p>
      <w:pPr>
        <w:spacing w:after="0" w:line="170"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2" w:lineRule="exact"/>
        <w:rPr>
          <w:rFonts w:ascii="Courier New" w:cs="Courier New" w:eastAsia="Courier New" w:hAnsi="Courier New"/>
          <w:sz w:val="15"/>
          <w:szCs w:val="15"/>
          <w:color w:val="auto"/>
        </w:rPr>
      </w:pPr>
    </w:p>
    <w:p>
      <w:pPr>
        <w:ind w:left="3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are stated at cost and are depreciated over their estimated useful lives generally on the following basis: buildings 20 to 40 years straight-line; equipment 5% to 30% straight-line. Landfill sites and improvements thereto are recorded at cost and amortized over the life of the landfill site based on the estimated landfill capacity utilized during the year. Operating costs associated with landfill sites are charged to operations as incurred.</w:t>
      </w:r>
    </w:p>
    <w:p>
      <w:pPr>
        <w:spacing w:after="0" w:line="33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36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had revenue of $7,785,000 with other Philip Environmental Inc. operating units during the year ended December 31, 1995.</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w:t>
      </w:r>
    </w:p>
    <w:p>
      <w:pPr>
        <w:ind w:left="100"/>
        <w:spacing w:after="0" w:line="237" w:lineRule="auto"/>
        <w:rPr>
          <w:sz w:val="20"/>
          <w:szCs w:val="20"/>
          <w:color w:val="auto"/>
        </w:rPr>
      </w:pPr>
      <w:r>
        <w:rPr>
          <w:rFonts w:ascii="Courier New" w:cs="Courier New" w:eastAsia="Courier New" w:hAnsi="Courier New"/>
          <w:sz w:val="15"/>
          <w:szCs w:val="15"/>
          <w:color w:val="auto"/>
        </w:rPr>
        <w:t>Kasper Brothers, Inc.: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Kasper Brothers, Inc. as of September 30, 1995 and the related statements of operations and retained earnings and cash flows for the fiscal year then ended. These financial statements are the responsibility of the Company's management. Our responsibility is to express an opinion on these financial statements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Kasper Brothers, Inc. as of September 30, 1995 and the results of its operations and its cash flows for the fiscal year then ended in conformity with generally accepted accounting principles.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2400 Eleven Penn Center</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October 15,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jc w:val="center"/>
        <w:ind w:right="3319"/>
        <w:spacing w:after="0" w:line="237" w:lineRule="auto"/>
        <w:rPr>
          <w:sz w:val="20"/>
          <w:szCs w:val="20"/>
          <w:color w:val="auto"/>
        </w:rPr>
      </w:pPr>
      <w:r>
        <w:rPr>
          <w:rFonts w:ascii="Courier New" w:cs="Courier New" w:eastAsia="Courier New" w:hAnsi="Courier New"/>
          <w:sz w:val="15"/>
          <w:szCs w:val="15"/>
          <w:color w:val="auto"/>
        </w:rPr>
        <w:t>KASPER BROTHERS, INC.</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BALANCE SHEET</w:t>
      </w:r>
    </w:p>
    <w:p>
      <w:pPr>
        <w:ind w:left="2460"/>
        <w:spacing w:after="0" w:line="237" w:lineRule="auto"/>
        <w:rPr>
          <w:sz w:val="20"/>
          <w:szCs w:val="20"/>
          <w:color w:val="auto"/>
        </w:rPr>
      </w:pPr>
      <w:r>
        <w:rPr>
          <w:rFonts w:ascii="Courier New" w:cs="Courier New" w:eastAsia="Courier New" w:hAnsi="Courier New"/>
          <w:sz w:val="15"/>
          <w:szCs w:val="15"/>
          <w:color w:val="auto"/>
        </w:rPr>
        <w:t>AS OF SEPTEMBER 30,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ASSETS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36,070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Accounts receivable (net of allowance for doubtful accounts of $175,000)</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2,079,676</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212,658</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Bid bonds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91,419</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2,419,823</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4,814,516</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Containers and compactors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3,431,320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 furniture and equipment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110,025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8,355,861</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(6,628,865)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Net property and equipment</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1,726,996</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27,756</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$ 4,174,575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184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539,720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249,828</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corporate taxes payable</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792,548</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Loans payable - officers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1,518,968</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2,311,516</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$.1 stated value, 10,000 shares authorized,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1,862,059</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1,863,059</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$ 4,174,575</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jc w:val="center"/>
        <w:ind w:right="3319"/>
        <w:spacing w:after="0" w:line="237" w:lineRule="auto"/>
        <w:rPr>
          <w:sz w:val="20"/>
          <w:szCs w:val="20"/>
          <w:color w:val="auto"/>
        </w:rPr>
      </w:pPr>
      <w:r>
        <w:rPr>
          <w:rFonts w:ascii="Courier New" w:cs="Courier New" w:eastAsia="Courier New" w:hAnsi="Courier New"/>
          <w:sz w:val="15"/>
          <w:szCs w:val="15"/>
          <w:color w:val="auto"/>
        </w:rPr>
        <w:t>KASPER BROTHERS, INC.</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STATEMENT OF OPERATIONS AND RETAINED EARNINGS</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THE YEAR ENDED SEPTEMBER 30,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$ 13,524,467</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60" w:type="dxa"/>
            <w:vAlign w:val="bottom"/>
          </w:tcPr>
          <w:p>
            <w:pPr>
              <w:spacing w:after="0"/>
              <w:rPr>
                <w:sz w:val="24"/>
                <w:szCs w:val="2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8,410,654</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4,577,392</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845,923</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13,833,969</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(309,502)</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360" w:type="dxa"/>
            <w:vAlign w:val="bottom"/>
          </w:tcPr>
          <w:p>
            <w:pPr>
              <w:spacing w:after="0"/>
              <w:rPr>
                <w:sz w:val="24"/>
                <w:szCs w:val="2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(116,203)</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2,806</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(113,397)</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Loss before taxes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(422,899)</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Provision for state taxes</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4,000</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Net loss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(426,899)</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Retained earnings at September 30, 1994</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2,288,958</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Retained earnings at September 30, 1995</w:t>
            </w:r>
          </w:p>
        </w:tc>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1,862,059</w:t>
            </w:r>
          </w:p>
        </w:tc>
      </w:tr>
    </w:tbl>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7"/>
              </w:rPr>
              <w:t>KASPER BROTHERS, INC.</w:t>
            </w:r>
          </w:p>
        </w:tc>
        <w:tc>
          <w:tcPr>
            <w:tcW w:w="1400" w:type="dxa"/>
            <w:vAlign w:val="bottom"/>
          </w:tcPr>
          <w:p>
            <w:pPr>
              <w:spacing w:after="0"/>
              <w:rPr>
                <w:sz w:val="14"/>
                <w:szCs w:val="14"/>
                <w:color w:val="auto"/>
              </w:rPr>
            </w:pPr>
          </w:p>
        </w:tc>
      </w:tr>
      <w:tr>
        <w:trPr>
          <w:trHeight w:val="336"/>
        </w:trPr>
        <w:tc>
          <w:tcPr>
            <w:tcW w:w="5600" w:type="dxa"/>
            <w:vAlign w:val="bottom"/>
          </w:tcPr>
          <w:p>
            <w:pPr>
              <w:jc w:val="center"/>
              <w:ind w:left="1267"/>
              <w:spacing w:after="0"/>
              <w:rPr>
                <w:sz w:val="20"/>
                <w:szCs w:val="20"/>
                <w:color w:val="auto"/>
              </w:rPr>
            </w:pPr>
            <w:r>
              <w:rPr>
                <w:rFonts w:ascii="Courier New" w:cs="Courier New" w:eastAsia="Courier New" w:hAnsi="Courier New"/>
                <w:sz w:val="15"/>
                <w:szCs w:val="15"/>
                <w:color w:val="auto"/>
                <w:w w:val="97"/>
              </w:rPr>
              <w:t>STATEMENT OF CASH FLOWS</w:t>
            </w:r>
          </w:p>
        </w:tc>
        <w:tc>
          <w:tcPr>
            <w:tcW w:w="1400" w:type="dxa"/>
            <w:vAlign w:val="bottom"/>
          </w:tcPr>
          <w:p>
            <w:pPr>
              <w:spacing w:after="0"/>
              <w:rPr>
                <w:sz w:val="24"/>
                <w:szCs w:val="24"/>
                <w:color w:val="auto"/>
              </w:rPr>
            </w:pPr>
          </w:p>
        </w:tc>
      </w:tr>
      <w:tr>
        <w:trPr>
          <w:trHeight w:val="168"/>
        </w:trPr>
        <w:tc>
          <w:tcPr>
            <w:tcW w:w="56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7"/>
              </w:rPr>
              <w:t>FOR THE YEAR ENDED SEPTEMBER 30, 1995</w:t>
            </w:r>
          </w:p>
        </w:tc>
        <w:tc>
          <w:tcPr>
            <w:tcW w:w="1400" w:type="dxa"/>
            <w:vAlign w:val="bottom"/>
          </w:tcPr>
          <w:p>
            <w:pPr>
              <w:spacing w:after="0"/>
              <w:rPr>
                <w:sz w:val="14"/>
                <w:szCs w:val="14"/>
                <w:color w:val="auto"/>
              </w:rPr>
            </w:pPr>
          </w:p>
        </w:tc>
      </w:tr>
      <w:tr>
        <w:trPr>
          <w:trHeight w:val="673"/>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$(426,899)</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 to</w:t>
            </w:r>
          </w:p>
        </w:tc>
        <w:tc>
          <w:tcPr>
            <w:tcW w:w="140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845,923</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(2,806)</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428,743</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400" w:type="dxa"/>
            <w:vAlign w:val="bottom"/>
          </w:tcPr>
          <w:p>
            <w:pPr>
              <w:spacing w:after="0"/>
              <w:rPr>
                <w:sz w:val="14"/>
                <w:szCs w:val="14"/>
                <w:color w:val="auto"/>
              </w:rPr>
            </w:pP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accounts receivable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(352,697)</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 prepaid and other current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1,813</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 bid bonds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 other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accrued expenses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22,725</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corporate taxes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5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accounts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465,322</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986,707</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(820,073)</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8,293</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(811,780)</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loan repayments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(619,832)</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financing activities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(619,832)</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(444,905)</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480,975</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36,070</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Interest expense paid</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$ 128,500</w:t>
            </w:r>
          </w:p>
        </w:tc>
      </w:tr>
      <w:tr>
        <w:trPr>
          <w:trHeight w:val="168"/>
        </w:trPr>
        <w:tc>
          <w:tcPr>
            <w:tcW w:w="56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KASPER BROTHERS,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OPERATIONS:</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Kasper Brothers, Inc., a Pennsylvania Subchapter S Corporation, was incorporated October 1, 1992. The Company is in the business of collection, transportation and disposal of residential, commercial and industrial wastes and recyclables. Kasper Brothers, Inc. currently services the Philadelphia and New Jersey area.</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The significant accounting policies utilized in the preparation of the financial statements are as follows: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The Company considers all highly liquid investments with a maturity of three months or less at the time of purchase to be cash equivalents.</w:t>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Property and equipment are recorded at cost. Depreciation is computed using accelerated methods over the estimated useful lives of the assets, ranging from 5-7 years. Renewals and betterments that extend the economic useful lives of the related assets are capitalized. When property is retired or otherwise disposed of, the cost of the property and the related accumulated depreciation are removed from the accounts and any resulting gains or losses are reflected in current operations. Expenditures for maintenance and repairs are charged to expense as incurred.</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BID BONDS:</w:t>
      </w:r>
    </w:p>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The Company is required to place deposits with high credit quality financial institutions at the inception of certain contracts. The deposits are held in certificates of deposits with Mellon Bank.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outstanding letters of credit aggregating $39,500.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33</w:t>
      </w:r>
    </w:p>
    <w:p>
      <w:pPr>
        <w:ind w:left="175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67" w:lineRule="exact"/>
        <w:rPr>
          <w:sz w:val="20"/>
          <w:szCs w:val="20"/>
          <w:color w:val="auto"/>
        </w:rPr>
      </w:pPr>
    </w:p>
    <w:p>
      <w:pPr>
        <w:ind w:left="430" w:hanging="430"/>
        <w:spacing w:after="0"/>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166"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CONCENTRATION OF CREDIT RISK:</w:t>
      </w:r>
    </w:p>
    <w:p>
      <w:pPr>
        <w:spacing w:after="0" w:line="173" w:lineRule="exact"/>
        <w:rPr>
          <w:sz w:val="20"/>
          <w:szCs w:val="20"/>
          <w:color w:val="auto"/>
        </w:rPr>
      </w:pPr>
    </w:p>
    <w:p>
      <w:pPr>
        <w:ind w:left="430" w:right="3499"/>
        <w:spacing w:after="0" w:line="236" w:lineRule="auto"/>
        <w:rPr>
          <w:sz w:val="20"/>
          <w:szCs w:val="20"/>
          <w:color w:val="auto"/>
        </w:rPr>
      </w:pPr>
      <w:r>
        <w:rPr>
          <w:rFonts w:ascii="Courier New" w:cs="Courier New" w:eastAsia="Courier New" w:hAnsi="Courier New"/>
          <w:sz w:val="15"/>
          <w:szCs w:val="15"/>
          <w:color w:val="auto"/>
        </w:rPr>
        <w:t>The Company encounters, in the normal course of business, exposure to concentrations of credit risk with respect to trade receivables. Concentrations of credit risk with respect to trade receivables are limited due to the Company's large customer base. Ongoing credit evaluations of customers' financial condition are performed and, generally, no collateral is required. The Company maintains reserves for potential credit losses and such losses have not exceeded management's expectations.</w:t>
      </w:r>
    </w:p>
    <w:p>
      <w:pPr>
        <w:spacing w:after="0" w:line="171"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financial statement date and the reported amounts of revenues during the reporting period. Actual results could differ from those estimates.</w:t>
      </w:r>
    </w:p>
    <w:p>
      <w:pPr>
        <w:spacing w:after="0" w:line="168"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left="430" w:right="3399"/>
        <w:spacing w:after="0" w:line="236" w:lineRule="auto"/>
        <w:rPr>
          <w:sz w:val="20"/>
          <w:szCs w:val="20"/>
          <w:color w:val="auto"/>
        </w:rPr>
      </w:pPr>
      <w:r>
        <w:rPr>
          <w:rFonts w:ascii="Courier New" w:cs="Courier New" w:eastAsia="Courier New" w:hAnsi="Courier New"/>
          <w:sz w:val="15"/>
          <w:szCs w:val="15"/>
          <w:color w:val="auto"/>
        </w:rPr>
        <w:t>The Company has elected to be taxed under the provisions of Subchapter S of the Internal Revenue Code. Under such election, the Company's federal taxable income or loss are passed through to the individual shareholders. Therefore, no provision or liability for federal income tax has been included in these financial statements. The Company also elected Subchapter S status for state income tax purposes in Pennsylvania and New Jersey.</w:t>
      </w:r>
    </w:p>
    <w:p>
      <w:pPr>
        <w:spacing w:after="0" w:line="169" w:lineRule="exact"/>
        <w:rPr>
          <w:sz w:val="20"/>
          <w:szCs w:val="20"/>
          <w:color w:val="auto"/>
        </w:rPr>
      </w:pPr>
    </w:p>
    <w:p>
      <w:pPr>
        <w:ind w:left="430" w:hanging="430"/>
        <w:spacing w:after="0"/>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w:t>
      </w:r>
    </w:p>
    <w:p>
      <w:pPr>
        <w:spacing w:after="0" w:line="172" w:lineRule="exact"/>
        <w:rPr>
          <w:rFonts w:ascii="Courier New" w:cs="Courier New" w:eastAsia="Courier New" w:hAnsi="Courier New"/>
          <w:sz w:val="15"/>
          <w:szCs w:val="15"/>
          <w:color w:val="auto"/>
        </w:rPr>
      </w:pPr>
    </w:p>
    <w:p>
      <w:pPr>
        <w:ind w:left="43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profit sharing plan covering eligible employees. The Plan requires a two year waiting period for an employee to become eligible, and provides 100% immediate vesting. Company contributions are determined as a percentage of each eligible employee's salary. The contribution for the year ended September 30, 1995 was $222,618.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281"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34</w:t>
      </w:r>
    </w:p>
    <w:p>
      <w:pPr>
        <w:ind w:left="175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67" w:lineRule="exact"/>
        <w:rPr>
          <w:sz w:val="20"/>
          <w:szCs w:val="20"/>
          <w:color w:val="auto"/>
        </w:rPr>
      </w:pPr>
    </w:p>
    <w:p>
      <w:pPr>
        <w:ind w:left="430" w:hanging="430"/>
        <w:spacing w:after="0"/>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43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has outstanding uncollateralized loans to corporate officers Francis Kasprzak and John Kasprzak. The total loan balance at September 30, 1995 is $1,518,968. There are no specific repayment terms, but interest is paid at an annual rate of 9% on the outstanding balance. Interest expense incurred in connection with these loans was $128,500 for the year ended September 30, 1995.</w:t>
      </w:r>
    </w:p>
    <w:p>
      <w:pPr>
        <w:spacing w:after="0" w:line="174" w:lineRule="exact"/>
        <w:rPr>
          <w:rFonts w:ascii="Courier New" w:cs="Courier New" w:eastAsia="Courier New" w:hAnsi="Courier New"/>
          <w:sz w:val="15"/>
          <w:szCs w:val="15"/>
          <w:color w:val="auto"/>
        </w:rPr>
      </w:pPr>
    </w:p>
    <w:p>
      <w:pPr>
        <w:ind w:left="430" w:right="357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rents office space in Pennsylvania from the Betsy Ross Partnership, a related partnership. The partners are Francis Kasprzak, John Kasprzak, and Michael Kasper, who are the shareholders of Kasper Brothers, Inc. The lease is renewed annually. Rent expense for the year ended September 30, 1995 was $135,000.</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1996, all of the assets of Kasper Brothers, Inc. were acquired by USA Waste Services Inc. The total purchase price was $10,676,000. In addition to the purchase of all assets, the Company entered into a contract not to compete and several employment contracts in the amounts of $450,000 and $600,000, respectively.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35</w:t>
      </w:r>
    </w:p>
    <w:p>
      <w:pPr>
        <w:ind w:left="2200"/>
        <w:spacing w:after="0" w:line="237" w:lineRule="auto"/>
        <w:rPr>
          <w:sz w:val="20"/>
          <w:szCs w:val="20"/>
          <w:color w:val="auto"/>
        </w:rPr>
      </w:pPr>
      <w:r>
        <w:rPr>
          <w:rFonts w:ascii="Courier New" w:cs="Courier New" w:eastAsia="Courier New" w:hAnsi="Courier New"/>
          <w:sz w:val="15"/>
          <w:szCs w:val="15"/>
          <w:color w:val="auto"/>
        </w:rPr>
        <w:t>REPORT OF INDEPENDENT AUDITORS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Arnoni Group of Companies</w:t>
      </w:r>
    </w:p>
    <w:p>
      <w:pPr>
        <w:spacing w:after="0" w:line="237" w:lineRule="auto"/>
        <w:rPr>
          <w:sz w:val="20"/>
          <w:szCs w:val="20"/>
          <w:color w:val="auto"/>
        </w:rPr>
      </w:pPr>
      <w:r>
        <w:rPr>
          <w:rFonts w:ascii="Courier New" w:cs="Courier New" w:eastAsia="Courier New" w:hAnsi="Courier New"/>
          <w:sz w:val="15"/>
          <w:szCs w:val="15"/>
          <w:color w:val="auto"/>
        </w:rPr>
        <w:t>Pittsburgh, Pennsylvania</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year then ended. These combined financial statements are the responsibility of the Group's management. Our responsibility is to express an opinion on these combined financial statements based on our audits.</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Arnoni Group of Companies as of December 31, 1995, and the results of their operations and their cash flows for the year then ended in conformity with generally accepted accounting principles.</w:t>
      </w:r>
    </w:p>
    <w:p>
      <w:pPr>
        <w:spacing w:after="0" w:line="167"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/s/</w:t>
        <w:tab/>
        <w:t>KAPLAN SIPOS &amp; ASSOCIATES</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KAPLAN SIPOS &amp; ASSOCIATES</w:t>
      </w:r>
    </w:p>
    <w:p>
      <w:pPr>
        <w:ind w:left="3500"/>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March 11,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36</w:t>
      </w:r>
    </w:p>
    <w:tbl>
      <w:tblPr>
        <w:tblLayout w:type="fixed"/>
        <w:tblInd w:w="0" w:type="dxa"/>
        <w:tblCellMar>
          <w:top w:w="0" w:type="dxa"/>
          <w:left w:w="0" w:type="dxa"/>
          <w:bottom w:w="0" w:type="dxa"/>
          <w:right w:w="0" w:type="dxa"/>
        </w:tblCellMar>
      </w:tblPr>
      <w:tr>
        <w:trPr>
          <w:trHeight w:val="168"/>
        </w:trPr>
        <w:tc>
          <w:tcPr>
            <w:tcW w:w="538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THE ARNONI GROUP OF COMPANIES</w:t>
            </w:r>
          </w:p>
        </w:tc>
        <w:tc>
          <w:tcPr>
            <w:tcW w:w="1620" w:type="dxa"/>
            <w:vAlign w:val="bottom"/>
          </w:tcPr>
          <w:p>
            <w:pPr>
              <w:spacing w:after="0"/>
              <w:rPr>
                <w:sz w:val="14"/>
                <w:szCs w:val="14"/>
                <w:color w:val="auto"/>
              </w:rPr>
            </w:pPr>
          </w:p>
        </w:tc>
      </w:tr>
      <w:tr>
        <w:trPr>
          <w:trHeight w:val="168"/>
        </w:trPr>
        <w:tc>
          <w:tcPr>
            <w:tcW w:w="538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COMBINED BALANCE SHEET</w:t>
            </w:r>
          </w:p>
        </w:tc>
        <w:tc>
          <w:tcPr>
            <w:tcW w:w="1620" w:type="dxa"/>
            <w:vAlign w:val="bottom"/>
          </w:tcPr>
          <w:p>
            <w:pPr>
              <w:spacing w:after="0"/>
              <w:rPr>
                <w:sz w:val="14"/>
                <w:szCs w:val="14"/>
                <w:color w:val="auto"/>
              </w:rPr>
            </w:pPr>
          </w:p>
        </w:tc>
      </w:tr>
      <w:tr>
        <w:trPr>
          <w:trHeight w:val="168"/>
        </w:trPr>
        <w:tc>
          <w:tcPr>
            <w:tcW w:w="53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620" w:type="dxa"/>
            <w:vAlign w:val="bottom"/>
          </w:tcPr>
          <w:p>
            <w:pPr>
              <w:spacing w:after="0"/>
              <w:rPr>
                <w:sz w:val="14"/>
                <w:szCs w:val="14"/>
                <w:color w:val="auto"/>
              </w:rPr>
            </w:pPr>
          </w:p>
        </w:tc>
      </w:tr>
      <w:tr>
        <w:trPr>
          <w:trHeight w:val="336"/>
        </w:trPr>
        <w:tc>
          <w:tcPr>
            <w:tcW w:w="538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1620" w:type="dxa"/>
            <w:vAlign w:val="bottom"/>
          </w:tcPr>
          <w:p>
            <w:pPr>
              <w:spacing w:after="0"/>
              <w:rPr>
                <w:sz w:val="24"/>
                <w:szCs w:val="24"/>
                <w:color w:val="auto"/>
              </w:rPr>
            </w:pPr>
          </w:p>
        </w:tc>
      </w:tr>
      <w:tr>
        <w:trPr>
          <w:trHeight w:val="673"/>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$ 1,408,179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 Trade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1,244,742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Assets</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as to Use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365,525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744,412</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3,762,858</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15,262,655</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430,080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Escrow Funds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1,993,149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Limited as to Use</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Indenture of Trust</w:t>
            </w:r>
          </w:p>
        </w:tc>
        <w:tc>
          <w:tcPr>
            <w:tcW w:w="162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Held by Trustee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1,700,000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103,776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2,121,981</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Total Other Assets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6,348,986</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$25,374,499</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2200"/>
              <w:spacing w:after="0"/>
              <w:rPr>
                <w:sz w:val="20"/>
                <w:szCs w:val="20"/>
                <w:color w:val="auto"/>
              </w:rPr>
            </w:pPr>
            <w:r>
              <w:rPr>
                <w:rFonts w:ascii="Courier New" w:cs="Courier New" w:eastAsia="Courier New" w:hAnsi="Courier New"/>
                <w:sz w:val="15"/>
                <w:szCs w:val="15"/>
                <w:color w:val="auto"/>
              </w:rPr>
              <w:t>THE ARNONI GROUP OF COMPANIES</w:t>
            </w:r>
          </w:p>
        </w:tc>
        <w:tc>
          <w:tcPr>
            <w:tcW w:w="1620" w:type="dxa"/>
            <w:vAlign w:val="bottom"/>
          </w:tcPr>
          <w:p>
            <w:pPr>
              <w:spacing w:after="0"/>
              <w:rPr>
                <w:sz w:val="14"/>
                <w:szCs w:val="14"/>
                <w:color w:val="auto"/>
              </w:rPr>
            </w:pPr>
          </w:p>
        </w:tc>
      </w:tr>
      <w:tr>
        <w:trPr>
          <w:trHeight w:val="336"/>
        </w:trPr>
        <w:tc>
          <w:tcPr>
            <w:tcW w:w="538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1620" w:type="dxa"/>
            <w:vAlign w:val="bottom"/>
          </w:tcPr>
          <w:p>
            <w:pPr>
              <w:spacing w:after="0"/>
              <w:rPr>
                <w:sz w:val="24"/>
                <w:szCs w:val="24"/>
                <w:color w:val="auto"/>
              </w:rPr>
            </w:pPr>
          </w:p>
        </w:tc>
      </w:tr>
      <w:tr>
        <w:trPr>
          <w:trHeight w:val="168"/>
        </w:trPr>
        <w:tc>
          <w:tcPr>
            <w:tcW w:w="53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620" w:type="dxa"/>
            <w:vAlign w:val="bottom"/>
          </w:tcPr>
          <w:p>
            <w:pPr>
              <w:spacing w:after="0"/>
              <w:rPr>
                <w:sz w:val="14"/>
                <w:szCs w:val="14"/>
                <w:color w:val="auto"/>
              </w:rPr>
            </w:pPr>
          </w:p>
        </w:tc>
      </w:tr>
      <w:tr>
        <w:trPr>
          <w:trHeight w:val="336"/>
        </w:trPr>
        <w:tc>
          <w:tcPr>
            <w:tcW w:w="5380" w:type="dxa"/>
            <w:vAlign w:val="bottom"/>
          </w:tcPr>
          <w:p>
            <w:pPr>
              <w:ind w:left="2540"/>
              <w:spacing w:after="0"/>
              <w:rPr>
                <w:sz w:val="20"/>
                <w:szCs w:val="20"/>
                <w:color w:val="auto"/>
              </w:rPr>
            </w:pPr>
            <w:r>
              <w:rPr>
                <w:rFonts w:ascii="Courier New" w:cs="Courier New" w:eastAsia="Courier New" w:hAnsi="Courier New"/>
                <w:sz w:val="15"/>
                <w:szCs w:val="15"/>
                <w:color w:val="auto"/>
              </w:rPr>
              <w:t>LIABILITIES AND EQUITY</w:t>
            </w:r>
          </w:p>
        </w:tc>
        <w:tc>
          <w:tcPr>
            <w:tcW w:w="1620" w:type="dxa"/>
            <w:vAlign w:val="bottom"/>
          </w:tcPr>
          <w:p>
            <w:pPr>
              <w:spacing w:after="0"/>
              <w:rPr>
                <w:sz w:val="24"/>
                <w:szCs w:val="24"/>
                <w:color w:val="auto"/>
              </w:rPr>
            </w:pPr>
          </w:p>
        </w:tc>
      </w:tr>
      <w:tr>
        <w:trPr>
          <w:trHeight w:val="673"/>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Current Liabilities: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Accounts Payable - Trade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497,918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1,642,706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Unearned Revenue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678,294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Landfill Closure Costs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801,446</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Liabilities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3,620,364</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Long-Term Liabilities:</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Current Portion</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117,207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Landfill Closure Costs,</w:t>
            </w:r>
          </w:p>
        </w:tc>
        <w:tc>
          <w:tcPr>
            <w:tcW w:w="1620" w:type="dxa"/>
            <w:vAlign w:val="bottom"/>
          </w:tcPr>
          <w:p>
            <w:pPr>
              <w:spacing w:after="0"/>
              <w:rPr>
                <w:sz w:val="14"/>
                <w:szCs w:val="1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Current Portion</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4,131,241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1620" w:type="dxa"/>
            <w:vAlign w:val="bottom"/>
          </w:tcPr>
          <w:p>
            <w:pPr>
              <w:spacing w:after="0"/>
              <w:rPr>
                <w:sz w:val="14"/>
                <w:szCs w:val="1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Portion</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15,118,426</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22,987,238</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1,292</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Equity:</w:t>
            </w:r>
          </w:p>
        </w:tc>
        <w:tc>
          <w:tcPr>
            <w:tcW w:w="162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Contributed Capital</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308,511</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2,077,458</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Equity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2,385,969</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Equity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$25,374,499</w:t>
            </w:r>
          </w:p>
        </w:tc>
      </w:tr>
      <w:tr>
        <w:trPr>
          <w:trHeight w:val="168"/>
        </w:trPr>
        <w:tc>
          <w:tcPr>
            <w:tcW w:w="538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38</w:t>
      </w:r>
    </w:p>
    <w:tbl>
      <w:tblPr>
        <w:tblLayout w:type="fixed"/>
        <w:tblInd w:w="0" w:type="dxa"/>
        <w:tblCellMar>
          <w:top w:w="0" w:type="dxa"/>
          <w:left w:w="0" w:type="dxa"/>
          <w:bottom w:w="0" w:type="dxa"/>
          <w:right w:w="0" w:type="dxa"/>
        </w:tblCellMar>
      </w:tblPr>
      <w:tr>
        <w:trPr>
          <w:trHeight w:val="168"/>
        </w:trPr>
        <w:tc>
          <w:tcPr>
            <w:tcW w:w="574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THE ARNONI GROUP OF COMPANIES</w:t>
            </w:r>
          </w:p>
        </w:tc>
        <w:tc>
          <w:tcPr>
            <w:tcW w:w="1260" w:type="dxa"/>
            <w:vAlign w:val="bottom"/>
          </w:tcPr>
          <w:p>
            <w:pPr>
              <w:spacing w:after="0"/>
              <w:rPr>
                <w:sz w:val="14"/>
                <w:szCs w:val="14"/>
                <w:color w:val="auto"/>
              </w:rPr>
            </w:pPr>
          </w:p>
        </w:tc>
      </w:tr>
      <w:tr>
        <w:trPr>
          <w:trHeight w:val="336"/>
        </w:trPr>
        <w:tc>
          <w:tcPr>
            <w:tcW w:w="5740" w:type="dxa"/>
            <w:vAlign w:val="bottom"/>
          </w:tcPr>
          <w:p>
            <w:pPr>
              <w:ind w:left="1240"/>
              <w:spacing w:after="0"/>
              <w:rPr>
                <w:sz w:val="20"/>
                <w:szCs w:val="20"/>
                <w:color w:val="auto"/>
              </w:rPr>
            </w:pPr>
            <w:r>
              <w:rPr>
                <w:rFonts w:ascii="Courier New" w:cs="Courier New" w:eastAsia="Courier New" w:hAnsi="Courier New"/>
                <w:sz w:val="15"/>
                <w:szCs w:val="15"/>
                <w:color w:val="auto"/>
                <w:w w:val="99"/>
              </w:rPr>
              <w:t>COMBINED STATEMENT OF INCOME AND RETAINED EARNINGS</w:t>
            </w:r>
          </w:p>
        </w:tc>
        <w:tc>
          <w:tcPr>
            <w:tcW w:w="1260" w:type="dxa"/>
            <w:vAlign w:val="bottom"/>
          </w:tcPr>
          <w:p>
            <w:pPr>
              <w:spacing w:after="0"/>
              <w:rPr>
                <w:sz w:val="24"/>
                <w:szCs w:val="24"/>
                <w:color w:val="auto"/>
              </w:rPr>
            </w:pPr>
          </w:p>
        </w:tc>
      </w:tr>
      <w:tr>
        <w:trPr>
          <w:trHeight w:val="168"/>
        </w:trPr>
        <w:tc>
          <w:tcPr>
            <w:tcW w:w="57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1260" w:type="dxa"/>
            <w:vAlign w:val="bottom"/>
          </w:tcPr>
          <w:p>
            <w:pPr>
              <w:spacing w:after="0"/>
              <w:rPr>
                <w:sz w:val="14"/>
                <w:szCs w:val="14"/>
                <w:color w:val="auto"/>
              </w:rPr>
            </w:pPr>
          </w:p>
        </w:tc>
      </w:tr>
      <w:tr>
        <w:trPr>
          <w:trHeight w:val="673"/>
        </w:trPr>
        <w:tc>
          <w:tcPr>
            <w:tcW w:w="5740" w:type="dxa"/>
            <w:vAlign w:val="bottom"/>
          </w:tcPr>
          <w:p>
            <w:pPr>
              <w:spacing w:after="0"/>
              <w:rPr>
                <w:sz w:val="20"/>
                <w:szCs w:val="20"/>
                <w:color w:val="auto"/>
              </w:rPr>
            </w:pPr>
            <w:r>
              <w:rPr>
                <w:rFonts w:ascii="Courier New" w:cs="Courier New" w:eastAsia="Courier New" w:hAnsi="Courier New"/>
                <w:sz w:val="15"/>
                <w:szCs w:val="15"/>
                <w:color w:val="auto"/>
              </w:rPr>
              <w:t>Disposal Fees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$ 13,541,456</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92,828</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13,634,284</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7,255,263</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1,816,204</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Depletion and 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3,169,601</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12,241,068</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1060"/>
              <w:spacing w:after="0"/>
              <w:rPr>
                <w:sz w:val="20"/>
                <w:szCs w:val="20"/>
                <w:color w:val="auto"/>
              </w:rPr>
            </w:pPr>
            <w:r>
              <w:rPr>
                <w:rFonts w:ascii="Courier New" w:cs="Courier New" w:eastAsia="Courier New" w:hAnsi="Courier New"/>
                <w:sz w:val="15"/>
                <w:szCs w:val="15"/>
                <w:color w:val="auto"/>
              </w:rPr>
              <w:t>Income From Operations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1,393,216</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(1,658,743)</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and Expenses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367,754</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Income (Loss) Before</w:t>
            </w:r>
          </w:p>
        </w:tc>
        <w:tc>
          <w:tcPr>
            <w:tcW w:w="1260" w:type="dxa"/>
            <w:vAlign w:val="bottom"/>
          </w:tcPr>
          <w:p>
            <w:pPr>
              <w:spacing w:after="0"/>
              <w:rPr>
                <w:sz w:val="14"/>
                <w:szCs w:val="14"/>
                <w:color w:val="auto"/>
              </w:rPr>
            </w:pPr>
          </w:p>
        </w:tc>
      </w:tr>
      <w:tr>
        <w:trPr>
          <w:trHeight w:val="168"/>
        </w:trPr>
        <w:tc>
          <w:tcPr>
            <w:tcW w:w="5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102,227</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4,139</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1060"/>
              <w:spacing w:after="0"/>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106,366</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Retained Earnings - Beginning</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2,126,537</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(155,445)</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Retained Earnings - Ending</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2,077,458</w:t>
            </w:r>
          </w:p>
        </w:tc>
      </w:tr>
      <w:tr>
        <w:trPr>
          <w:trHeight w:val="168"/>
        </w:trPr>
        <w:tc>
          <w:tcPr>
            <w:tcW w:w="57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39</w:t>
      </w:r>
    </w:p>
    <w:tbl>
      <w:tblPr>
        <w:tblLayout w:type="fixed"/>
        <w:tblInd w:w="0" w:type="dxa"/>
        <w:tblCellMar>
          <w:top w:w="0" w:type="dxa"/>
          <w:left w:w="0" w:type="dxa"/>
          <w:bottom w:w="0" w:type="dxa"/>
          <w:right w:w="0" w:type="dxa"/>
        </w:tblCellMar>
      </w:tblPr>
      <w:tr>
        <w:trPr>
          <w:trHeight w:val="168"/>
        </w:trPr>
        <w:tc>
          <w:tcPr>
            <w:tcW w:w="55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THE ARNONI GROUP OF COMPANIES</w:t>
            </w:r>
          </w:p>
        </w:tc>
        <w:tc>
          <w:tcPr>
            <w:tcW w:w="1480" w:type="dxa"/>
            <w:vAlign w:val="bottom"/>
          </w:tcPr>
          <w:p>
            <w:pPr>
              <w:spacing w:after="0"/>
              <w:rPr>
                <w:sz w:val="14"/>
                <w:szCs w:val="14"/>
                <w:color w:val="auto"/>
              </w:rPr>
            </w:pPr>
          </w:p>
        </w:tc>
      </w:tr>
      <w:tr>
        <w:trPr>
          <w:trHeight w:val="336"/>
        </w:trPr>
        <w:tc>
          <w:tcPr>
            <w:tcW w:w="5520" w:type="dxa"/>
            <w:vAlign w:val="bottom"/>
          </w:tcPr>
          <w:p>
            <w:pPr>
              <w:ind w:left="2100"/>
              <w:spacing w:after="0"/>
              <w:rPr>
                <w:sz w:val="20"/>
                <w:szCs w:val="20"/>
                <w:color w:val="auto"/>
              </w:rPr>
            </w:pPr>
            <w:r>
              <w:rPr>
                <w:rFonts w:ascii="Courier New" w:cs="Courier New" w:eastAsia="Courier New" w:hAnsi="Courier New"/>
                <w:sz w:val="15"/>
                <w:szCs w:val="15"/>
                <w:color w:val="auto"/>
              </w:rPr>
              <w:t>COMBINED STATEMENT OF CASH FLOWS</w:t>
            </w:r>
          </w:p>
        </w:tc>
        <w:tc>
          <w:tcPr>
            <w:tcW w:w="1480" w:type="dxa"/>
            <w:vAlign w:val="bottom"/>
          </w:tcPr>
          <w:p>
            <w:pPr>
              <w:spacing w:after="0"/>
              <w:rPr>
                <w:sz w:val="24"/>
                <w:szCs w:val="24"/>
                <w:color w:val="auto"/>
              </w:rPr>
            </w:pPr>
          </w:p>
        </w:tc>
      </w:tr>
      <w:tr>
        <w:trPr>
          <w:trHeight w:val="168"/>
        </w:trPr>
        <w:tc>
          <w:tcPr>
            <w:tcW w:w="55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1480" w:type="dxa"/>
            <w:vAlign w:val="bottom"/>
          </w:tcPr>
          <w:p>
            <w:pPr>
              <w:spacing w:after="0"/>
              <w:rPr>
                <w:sz w:val="14"/>
                <w:szCs w:val="14"/>
                <w:color w:val="auto"/>
              </w:rPr>
            </w:pP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80" w:type="dxa"/>
            <w:vAlign w:val="bottom"/>
          </w:tcPr>
          <w:p>
            <w:pPr>
              <w:spacing w:after="0"/>
              <w:rPr>
                <w:sz w:val="24"/>
                <w:szCs w:val="2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106,366</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Items Included in</w:t>
            </w:r>
          </w:p>
        </w:tc>
        <w:tc>
          <w:tcPr>
            <w:tcW w:w="1480" w:type="dxa"/>
            <w:vAlign w:val="bottom"/>
          </w:tcPr>
          <w:p>
            <w:pPr>
              <w:spacing w:after="0"/>
              <w:rPr>
                <w:sz w:val="14"/>
                <w:szCs w:val="14"/>
                <w:color w:val="auto"/>
              </w:rPr>
            </w:pP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Depletion and Amortization</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3,342,053</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Minority Interest in the Group</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(4,138)</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Assets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(20,638)</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w:t>
            </w:r>
          </w:p>
        </w:tc>
        <w:tc>
          <w:tcPr>
            <w:tcW w:w="1480" w:type="dxa"/>
            <w:vAlign w:val="bottom"/>
          </w:tcPr>
          <w:p>
            <w:pPr>
              <w:spacing w:after="0"/>
              <w:rPr>
                <w:sz w:val="14"/>
                <w:szCs w:val="14"/>
                <w:color w:val="auto"/>
              </w:rPr>
            </w:pP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 - Trade</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236,725</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480" w:type="dxa"/>
            <w:vAlign w:val="bottom"/>
          </w:tcPr>
          <w:p>
            <w:pPr>
              <w:spacing w:after="0"/>
              <w:rPr>
                <w:sz w:val="14"/>
                <w:szCs w:val="14"/>
                <w:color w:val="auto"/>
              </w:rPr>
            </w:pPr>
          </w:p>
        </w:tc>
      </w:tr>
      <w:tr>
        <w:trPr>
          <w:trHeight w:val="168"/>
        </w:trPr>
        <w:tc>
          <w:tcPr>
            <w:tcW w:w="5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(30,717)</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Escrow Funds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(217,158)</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225,470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 - Trade</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156,109</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Landfill Closure Costs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36,508</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(122,548)</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Unearned Revenue</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(526,067)</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FLOWS FROM</w:t>
            </w:r>
          </w:p>
        </w:tc>
        <w:tc>
          <w:tcPr>
            <w:tcW w:w="1480" w:type="dxa"/>
            <w:vAlign w:val="bottom"/>
          </w:tcPr>
          <w:p>
            <w:pPr>
              <w:spacing w:after="0"/>
              <w:rPr>
                <w:sz w:val="14"/>
                <w:szCs w:val="14"/>
                <w:color w:val="auto"/>
              </w:rPr>
            </w:pPr>
          </w:p>
        </w:tc>
      </w:tr>
      <w:tr>
        <w:trPr>
          <w:trHeight w:val="168"/>
        </w:trPr>
        <w:tc>
          <w:tcPr>
            <w:tcW w:w="55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3,181,215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48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Investing of Assets Held in Trust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32,280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44,500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Acquired</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(2,782,985)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FLOWS FROM</w:t>
            </w:r>
          </w:p>
        </w:tc>
        <w:tc>
          <w:tcPr>
            <w:tcW w:w="1480" w:type="dxa"/>
            <w:vAlign w:val="bottom"/>
          </w:tcPr>
          <w:p>
            <w:pPr>
              <w:spacing w:after="0"/>
              <w:rPr>
                <w:sz w:val="14"/>
                <w:szCs w:val="14"/>
                <w:color w:val="auto"/>
              </w:rPr>
            </w:pPr>
          </w:p>
        </w:tc>
      </w:tr>
      <w:tr>
        <w:trPr>
          <w:trHeight w:val="168"/>
        </w:trPr>
        <w:tc>
          <w:tcPr>
            <w:tcW w:w="55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(2,706,205)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48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Proceeds From Issuance of Long-Term Debt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1,099,880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(1,403,878)</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(155,445)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FLOWS FROM</w:t>
            </w:r>
          </w:p>
        </w:tc>
        <w:tc>
          <w:tcPr>
            <w:tcW w:w="1480" w:type="dxa"/>
            <w:vAlign w:val="bottom"/>
          </w:tcPr>
          <w:p>
            <w:pPr>
              <w:spacing w:after="0"/>
              <w:rPr>
                <w:sz w:val="14"/>
                <w:szCs w:val="14"/>
                <w:color w:val="auto"/>
              </w:rPr>
            </w:pPr>
          </w:p>
        </w:tc>
      </w:tr>
      <w:tr>
        <w:trPr>
          <w:trHeight w:val="168"/>
        </w:trPr>
        <w:tc>
          <w:tcPr>
            <w:tcW w:w="55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(459,443)</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 and Cash Equivalents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15,567</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1,392,612</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Ending</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$ 1,408,179</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40</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 OF CASH FLOWS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FOR THE YEAR ENDED DECEMBER 31, 1995</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During the Year For:</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$1,670,443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500" w:space="720"/>
            <w:col w:w="4019"/>
          </w:cols>
          <w:pgMar w:left="220" w:top="281"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500" w:space="720"/>
            <w:col w:w="40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Refinancing of Long-Term Debt Obligations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150,296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00" w:space="720"/>
            <w:col w:w="4019"/>
          </w:cols>
          <w:pgMar w:left="220" w:top="281" w:right="1440" w:bottom="1440" w:gutter="0" w:footer="0" w:header="0"/>
          <w:type w:val="continuous"/>
        </w:sectPr>
      </w:pPr>
    </w:p>
    <w:p>
      <w:pPr>
        <w:spacing w:after="0" w:line="14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41</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w:t>
      </w:r>
    </w:p>
    <w:p>
      <w:pPr>
        <w:spacing w:after="0" w:line="173" w:lineRule="exact"/>
        <w:rPr>
          <w:sz w:val="20"/>
          <w:szCs w:val="20"/>
          <w:color w:val="auto"/>
        </w:rPr>
      </w:pPr>
    </w:p>
    <w:p>
      <w:pPr>
        <w:ind w:right="3499" w:firstLine="612"/>
        <w:spacing w:after="0" w:line="236" w:lineRule="auto"/>
        <w:rPr>
          <w:sz w:val="20"/>
          <w:szCs w:val="20"/>
          <w:color w:val="auto"/>
        </w:rPr>
      </w:pPr>
      <w:r>
        <w:rPr>
          <w:rFonts w:ascii="Courier New" w:cs="Courier New" w:eastAsia="Courier New" w:hAnsi="Courier New"/>
          <w:sz w:val="15"/>
          <w:szCs w:val="15"/>
          <w:color w:val="auto"/>
        </w:rPr>
        <w:t>The combined financial statements of The Arnoni Group of Companies are presented on the accrual basis of accounting and are prepared in conformity with generally accepted accounting principles. In order to facilitate the understanding of the data included in the financial statements, summarized below are the more significant accounting policies: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759" w:firstLine="612"/>
        <w:spacing w:after="0" w:line="236" w:lineRule="auto"/>
        <w:rPr>
          <w:sz w:val="20"/>
          <w:szCs w:val="20"/>
          <w:color w:val="auto"/>
        </w:rPr>
      </w:pPr>
      <w:r>
        <w:rPr>
          <w:rFonts w:ascii="Courier New" w:cs="Courier New" w:eastAsia="Courier New" w:hAnsi="Courier New"/>
          <w:sz w:val="15"/>
          <w:szCs w:val="15"/>
          <w:color w:val="auto"/>
        </w:rPr>
        <w:t>The Arnoni Group of Companies (the Group) encompasses five commonly controlled companies operating in the non-hazardous solid waste disposal industry. Included in the Group are The Arnoni Group, Inc., M.C. Arnoni Company, South Hills Disposal Company, Cochran Mill Associates, Inc., and Arnoni Family Partnership.</w:t>
      </w:r>
    </w:p>
    <w:p>
      <w:pPr>
        <w:spacing w:after="0" w:line="174" w:lineRule="exact"/>
        <w:rPr>
          <w:sz w:val="20"/>
          <w:szCs w:val="20"/>
          <w:color w:val="auto"/>
        </w:rPr>
      </w:pPr>
    </w:p>
    <w:p>
      <w:pPr>
        <w:ind w:left="1240" w:right="3319" w:hanging="618"/>
        <w:spacing w:after="0" w:line="235"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Arnoni Group, Inc. was incorporated on December 23, 1991 and was organized under the laws of the Commonwealth of Pennsylvania. The Company provides management and administrative services to its affiliated companies.</w:t>
      </w:r>
    </w:p>
    <w:p>
      <w:pPr>
        <w:spacing w:after="0" w:line="175" w:lineRule="exact"/>
        <w:rPr>
          <w:rFonts w:ascii="Courier New" w:cs="Courier New" w:eastAsia="Courier New" w:hAnsi="Courier New"/>
          <w:sz w:val="15"/>
          <w:szCs w:val="15"/>
          <w:color w:val="auto"/>
        </w:rPr>
      </w:pPr>
    </w:p>
    <w:p>
      <w:pPr>
        <w:ind w:left="1240" w:right="3319" w:hanging="618"/>
        <w:spacing w:after="0" w:line="235"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 Arnoni Company was formed on December 9, 1960 and was organized under the laws of the Commonwealth of Pennsylvania. The Company is a landfill owner/operator with facilities in Allegheny and Washington Counties, Pennsylvania.</w:t>
      </w:r>
    </w:p>
    <w:p>
      <w:pPr>
        <w:spacing w:after="0" w:line="175" w:lineRule="exact"/>
        <w:rPr>
          <w:rFonts w:ascii="Courier New" w:cs="Courier New" w:eastAsia="Courier New" w:hAnsi="Courier New"/>
          <w:sz w:val="15"/>
          <w:szCs w:val="15"/>
          <w:color w:val="auto"/>
        </w:rPr>
      </w:pPr>
    </w:p>
    <w:p>
      <w:pPr>
        <w:ind w:left="1240" w:right="3319" w:hanging="618"/>
        <w:spacing w:after="0" w:line="256" w:lineRule="auto"/>
        <w:tabs>
          <w:tab w:leader="none" w:pos="12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South Hills Disposal Company was formed on July 18, 1949 and was organized under the laws of the Commonwealth of Pennsylvania. The Company provides residential and commercial waste collection services to the metropolitan Pittsburgh, Pennsylvania area.</w:t>
      </w:r>
    </w:p>
    <w:p>
      <w:pPr>
        <w:spacing w:after="0" w:line="164" w:lineRule="exact"/>
        <w:rPr>
          <w:rFonts w:ascii="Courier New" w:cs="Courier New" w:eastAsia="Courier New" w:hAnsi="Courier New"/>
          <w:sz w:val="14"/>
          <w:szCs w:val="14"/>
          <w:color w:val="auto"/>
        </w:rPr>
      </w:pPr>
    </w:p>
    <w:p>
      <w:pPr>
        <w:ind w:left="1240" w:right="3319" w:hanging="618"/>
        <w:spacing w:after="0" w:line="258" w:lineRule="auto"/>
        <w:tabs>
          <w:tab w:leader="none" w:pos="12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Cochran Mill Associates, Inc. was incorporated on January 25, 1991 and was organized under the laws of the Commonwealth of Pennsylvania. The Company provides other waste industry services.</w:t>
      </w:r>
    </w:p>
    <w:p>
      <w:pPr>
        <w:spacing w:after="0" w:line="161" w:lineRule="exact"/>
        <w:rPr>
          <w:rFonts w:ascii="Courier New" w:cs="Courier New" w:eastAsia="Courier New" w:hAnsi="Courier New"/>
          <w:sz w:val="14"/>
          <w:szCs w:val="14"/>
          <w:color w:val="auto"/>
        </w:rPr>
      </w:pPr>
    </w:p>
    <w:p>
      <w:pPr>
        <w:ind w:left="1240" w:right="3399" w:hanging="618"/>
        <w:spacing w:after="0" w:line="258" w:lineRule="auto"/>
        <w:tabs>
          <w:tab w:leader="none" w:pos="12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Arnoni Family Partnership was organized as a general partnership under the Pennsylvania Uniform Partnership Act. The Partnership participates in real estate and other investment activities.</w:t>
      </w:r>
    </w:p>
    <w:p>
      <w:pPr>
        <w:spacing w:after="0" w:line="15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Principles of Combination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combined 1995 financial statements of the Group include the financial position, results of operations and cash flows of The Arnoni Group, Inc., M.C. Arnoni Company, South Hills Disposal Company Cochran Mill Associates, Inc., and Arnoni Family Partnership. All significant intercompany accounts and transactions have been eliminated.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42</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 (CONTINUED)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Estimates Used By Management</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Management uses estimates and assumptions in preparing financial statements in accordance with generally accepted accounting principles. Those estimates and assumptions affect the reported amount of assets and liabilities, the disclosure of contingent assets and liabilities, and the reported revenues and expenses. Actual results could vary from the estimates that were used.</w:t>
      </w:r>
    </w:p>
    <w:p>
      <w:pPr>
        <w:spacing w:after="0" w:line="15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The Group recognizes revenue at the time waste disposal services are provided.</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Amortization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Intangible assets include goodwill, organization costs, acquired contracts, non-compete covenants and other fees. Intangible assets are presented net of accumulated amortization of $223,730 and $467,309 in 1995 and 1994, respectively. Amortization expense charged to operations in 1995 and 1994 was $33,660 and $110,032, respectively.</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Depreciation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cost of property, equipment and leasehold improvements is depreciated over the estimated useful lives of the related assets. Depreciation is computed on the straight-line and accelerated methods for financial reporting purposes and accelerated methods allowed under the Internal Revenue Code for income tax purposes.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Depletion</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Landfill and landfill improvement costs, which have been incurred or estimated for the development of the entire permitted site, including engineering and professional costs associated with landfill construction, are depleted based upon total units of airspace filled during the year in relation to estimated total permitted airspace capacity. Land held for future development, outside of the currently permitted area, is excluded from depletion.</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Cash Flows</w:t>
      </w:r>
    </w:p>
    <w:p>
      <w:pPr>
        <w:spacing w:after="0" w:line="173" w:lineRule="exact"/>
        <w:rPr>
          <w:sz w:val="20"/>
          <w:szCs w:val="20"/>
          <w:color w:val="auto"/>
        </w:rPr>
      </w:pPr>
    </w:p>
    <w:p>
      <w:pPr>
        <w:ind w:right="3759" w:firstLine="612"/>
        <w:spacing w:after="0" w:line="235" w:lineRule="auto"/>
        <w:rPr>
          <w:sz w:val="20"/>
          <w:szCs w:val="20"/>
          <w:color w:val="auto"/>
        </w:rPr>
      </w:pPr>
      <w:r>
        <w:rPr>
          <w:rFonts w:ascii="Courier New" w:cs="Courier New" w:eastAsia="Courier New" w:hAnsi="Courier New"/>
          <w:sz w:val="15"/>
          <w:szCs w:val="15"/>
          <w:color w:val="auto"/>
        </w:rPr>
        <w:t>The Group considers all short-term unrestricted investments with an original maturity of three months or less to be cash equivalents for the statement of cash flows.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43</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 (CONTINUED)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M.C. Arnoni Company, South Hills Disposal Company, The Arnoni Group, Inc. and Cochran Mill Associates, Inc. have elected treatment as small business corporations (S Corporations) for federal and state income taxation purposes. This election relieves the Companies of most federal and state income tax liability, with income being taxable directly to the stockholders.</w:t>
      </w:r>
    </w:p>
    <w:p>
      <w:pPr>
        <w:spacing w:after="0" w:line="163" w:lineRule="exact"/>
        <w:rPr>
          <w:sz w:val="20"/>
          <w:szCs w:val="20"/>
          <w:color w:val="auto"/>
        </w:rPr>
      </w:pPr>
    </w:p>
    <w:p>
      <w:pPr>
        <w:ind w:right="3939" w:firstLine="612"/>
        <w:spacing w:after="0" w:line="234" w:lineRule="auto"/>
        <w:rPr>
          <w:sz w:val="20"/>
          <w:szCs w:val="20"/>
          <w:color w:val="auto"/>
        </w:rPr>
      </w:pPr>
      <w:r>
        <w:rPr>
          <w:rFonts w:ascii="Courier New" w:cs="Courier New" w:eastAsia="Courier New" w:hAnsi="Courier New"/>
          <w:sz w:val="15"/>
          <w:szCs w:val="15"/>
          <w:color w:val="auto"/>
        </w:rPr>
        <w:t>M.C. Arnoni Company and South Hills Disposal Company organized as Pennsylvania business trusts effective February 28, 1993.</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Bad Debts on Accounts Receivable</w:t>
      </w:r>
    </w:p>
    <w:p>
      <w:pPr>
        <w:spacing w:after="0" w:line="173"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The Group uses the direct write-off method of recognizing bad debts, as such amounts are normally not significant.</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Concentration of Credit Risk</w:t>
      </w:r>
    </w:p>
    <w:p>
      <w:pPr>
        <w:spacing w:after="0" w:line="173"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The Group grants credit to its customers, substantially all of whom are either; a) located in the Pittsburgh, Pennsylvania metropolitan area or b) involved with the waste industry.</w:t>
      </w:r>
    </w:p>
    <w:p>
      <w:pPr>
        <w:spacing w:after="0" w:line="174"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The Group maintains balances on deposit with financial institutions at times, such balances exceed the maximum amount of coverage provided by the institutions' insurance programs.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Landfill Expansion Project Costs</w:t>
      </w:r>
    </w:p>
    <w:p>
      <w:pPr>
        <w:spacing w:after="0" w:line="173" w:lineRule="exact"/>
        <w:rPr>
          <w:sz w:val="20"/>
          <w:szCs w:val="20"/>
          <w:color w:val="auto"/>
        </w:rPr>
      </w:pPr>
    </w:p>
    <w:p>
      <w:pPr>
        <w:ind w:right="3319" w:firstLine="612"/>
        <w:spacing w:after="0" w:line="258" w:lineRule="auto"/>
        <w:rPr>
          <w:sz w:val="20"/>
          <w:szCs w:val="20"/>
          <w:color w:val="auto"/>
        </w:rPr>
      </w:pPr>
      <w:r>
        <w:rPr>
          <w:rFonts w:ascii="Courier New" w:cs="Courier New" w:eastAsia="Courier New" w:hAnsi="Courier New"/>
          <w:sz w:val="14"/>
          <w:szCs w:val="14"/>
          <w:color w:val="auto"/>
        </w:rPr>
        <w:t>In connection with landfill expansion plans, the Group incurs engineering, construction and professional costs. Costs associated with successful expansion applications are capitalized as part of the landfill site.</w:t>
      </w:r>
    </w:p>
    <w:p>
      <w:pPr>
        <w:spacing w:after="0" w:line="15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Accrued Landfill costs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Group records landfill closure liabilities based upon estimates provided by the Group's internal engineers. The expense of closure activities is recognized ratably over the useful life of the landfill, based upon total units of airspace filled during the year. The portion of the recognized closure liability that is allocable to unutilized sections of the landfill has been recorded as a deferred charge. The deferred charge will be amortized to expense, ratably, as related portions of the landfill are utilized. Management anticipates that in 1996 landfill permit modifications will be submitted by the Group and if approved, significant changes in the landfill closure estimate calculations may result.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44</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 (CONTINUED)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Escrow Funds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Pennsylvania Department of Environmental Resources requires landfill operators to post bonds in order to operate in Pennsylvania. In addition, there are collateral bond requirements for landfill expansion and closure obligations. The Group has satisfied such requirements by delivering letters of credit backed by marketable securities.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Long-Term Investments</w:t>
      </w:r>
    </w:p>
    <w:p>
      <w:pPr>
        <w:spacing w:after="0" w:line="173" w:lineRule="exact"/>
        <w:rPr>
          <w:sz w:val="20"/>
          <w:szCs w:val="20"/>
          <w:color w:val="auto"/>
        </w:rPr>
      </w:pPr>
    </w:p>
    <w:p>
      <w:pPr>
        <w:ind w:right="3319" w:firstLine="612"/>
        <w:spacing w:after="0" w:line="261" w:lineRule="auto"/>
        <w:rPr>
          <w:sz w:val="20"/>
          <w:szCs w:val="20"/>
          <w:color w:val="auto"/>
        </w:rPr>
      </w:pPr>
      <w:r>
        <w:rPr>
          <w:rFonts w:ascii="Courier New" w:cs="Courier New" w:eastAsia="Courier New" w:hAnsi="Courier New"/>
          <w:sz w:val="14"/>
          <w:szCs w:val="14"/>
          <w:color w:val="auto"/>
        </w:rPr>
        <w:t>The Group's long-term investments include investments in certain real estate and equity securities recorded at cost, which approximate market values.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PROPERTY, PLANT AND EQUIPMENT</w:t>
      </w:r>
    </w:p>
    <w:p>
      <w:pPr>
        <w:spacing w:after="0" w:line="173"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The following is a summary of property, plant and equipment - at cost, less accumulated depreciation:</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Landfill</w:t>
            </w:r>
          </w:p>
        </w:tc>
        <w:tc>
          <w:tcPr>
            <w:tcW w:w="2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$ 18,897,540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296,096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Improvements</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101,468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720,152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Furniture and Equipment</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219,593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4,739,980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4,415,796</w:t>
            </w:r>
          </w:p>
        </w:tc>
      </w:tr>
      <w:tr>
        <w:trPr>
          <w:trHeight w:val="168"/>
        </w:trPr>
        <w:tc>
          <w:tcPr>
            <w:tcW w:w="4040" w:type="dxa"/>
            <w:vAlign w:val="bottom"/>
          </w:tcPr>
          <w:p>
            <w:pPr>
              <w:spacing w:after="0"/>
              <w:rPr>
                <w:sz w:val="14"/>
                <w:szCs w:val="14"/>
                <w:color w:val="auto"/>
              </w:rPr>
            </w:pP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29,390,625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Depletion</w:t>
            </w:r>
          </w:p>
        </w:tc>
        <w:tc>
          <w:tcPr>
            <w:tcW w:w="252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Depreciation</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(14,127,970)</w:t>
            </w:r>
          </w:p>
        </w:tc>
      </w:tr>
      <w:tr>
        <w:trPr>
          <w:trHeight w:val="168"/>
        </w:trPr>
        <w:tc>
          <w:tcPr>
            <w:tcW w:w="4040" w:type="dxa"/>
            <w:vAlign w:val="bottom"/>
          </w:tcPr>
          <w:p>
            <w:pPr>
              <w:spacing w:after="0"/>
              <w:rPr>
                <w:sz w:val="14"/>
                <w:szCs w:val="14"/>
                <w:color w:val="auto"/>
              </w:rPr>
            </w:pP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$ 15,262,655</w:t>
      </w:r>
    </w:p>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Depletion and depreciation expense charged to operations was $3,135,941 in 1995. Depreciation charges capitalized as part of the landfill site construction amounted to $172,452 in 1995.</w:t>
      </w:r>
    </w:p>
    <w:p>
      <w:pPr>
        <w:spacing w:after="0" w:line="174" w:lineRule="exact"/>
        <w:rPr>
          <w:sz w:val="20"/>
          <w:szCs w:val="20"/>
          <w:color w:val="auto"/>
        </w:rPr>
      </w:pPr>
    </w:p>
    <w:p>
      <w:pPr>
        <w:ind w:right="3759" w:firstLine="612"/>
        <w:spacing w:after="0" w:line="234" w:lineRule="auto"/>
        <w:rPr>
          <w:sz w:val="20"/>
          <w:szCs w:val="20"/>
          <w:color w:val="auto"/>
        </w:rPr>
      </w:pPr>
      <w:r>
        <w:rPr>
          <w:rFonts w:ascii="Courier New" w:cs="Courier New" w:eastAsia="Courier New" w:hAnsi="Courier New"/>
          <w:sz w:val="15"/>
          <w:szCs w:val="15"/>
          <w:color w:val="auto"/>
        </w:rPr>
        <w:t>Various pieces of machinery and equipment are pledged as collateral for loans.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45</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ASSETS LIMITED AS TO USE</w:t>
      </w:r>
    </w:p>
    <w:p>
      <w:pPr>
        <w:spacing w:after="0" w:line="173"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Pursuant to the terms of the agreement to finance the construction of its landfill expansion, the following funds are held in trust at December 31, 1995:</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Debt Service Reserve Fund</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$ 1,743,836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Service Fund</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218,860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Fund</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93,621</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2,056,317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9,208</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2,065,525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Assets to be Used</w:t>
            </w:r>
          </w:p>
        </w:tc>
        <w:tc>
          <w:tcPr>
            <w:tcW w:w="262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Within One Year</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(365,525)</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$ 1,700,000</w:t>
            </w:r>
          </w:p>
        </w:tc>
      </w:tr>
      <w:tr>
        <w:trPr>
          <w:trHeight w:val="168"/>
        </w:trPr>
        <w:tc>
          <w:tcPr>
            <w:tcW w:w="394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The funds held by trustee consist of the following securities which are valued at cost at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U.S. Treasury Notes</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$1,688,578</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Money Market Investments</w:t>
            </w: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367,739</w:t>
            </w:r>
          </w:p>
        </w:tc>
      </w:tr>
      <w:tr>
        <w:trPr>
          <w:trHeight w:val="168"/>
        </w:trPr>
        <w:tc>
          <w:tcPr>
            <w:tcW w:w="390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2,056,317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9,208</w:t>
            </w:r>
          </w:p>
        </w:tc>
      </w:tr>
      <w:tr>
        <w:trPr>
          <w:trHeight w:val="168"/>
        </w:trPr>
        <w:tc>
          <w:tcPr>
            <w:tcW w:w="390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$2,065,525</w:t>
      </w:r>
    </w:p>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right="3499" w:firstLine="612"/>
        <w:spacing w:after="0" w:line="234" w:lineRule="auto"/>
        <w:rPr>
          <w:sz w:val="20"/>
          <w:szCs w:val="20"/>
          <w:color w:val="auto"/>
        </w:rPr>
      </w:pPr>
      <w:r>
        <w:rPr>
          <w:rFonts w:ascii="Courier New" w:cs="Courier New" w:eastAsia="Courier New" w:hAnsi="Courier New"/>
          <w:sz w:val="15"/>
          <w:szCs w:val="15"/>
          <w:color w:val="auto"/>
        </w:rPr>
        <w:t>The fair market value of the trusteed funds approximates $2,085,793 at December 31, 1995.</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The trusteed funds were created pursuant to an indenture of trust upon the issuance of Industrial Revenue Bonds to finance the construction of the Group's landfill expansion. The funds were established to; a) provide a vehicle for the payment of the principal and interest on the Group's debt obligation arising from the bond issuance, b) provide a vehicle for the disbursement of funds related to the construction of landfill expansion facilities, c) accumulate and disburse funds for the Group's operations and maintenance and d) accumulate and disburse funds for arbitrage rebate requirements.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ARNONI GROUP OF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BORROWED FUNDS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Following is a summary of borrowed funds at December 31, 1995: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Revenue Bonds</w:t>
      </w:r>
    </w:p>
    <w:p>
      <w:pPr>
        <w:spacing w:after="0" w:line="237" w:lineRule="auto"/>
        <w:rPr>
          <w:sz w:val="20"/>
          <w:szCs w:val="20"/>
          <w:color w:val="auto"/>
        </w:rPr>
      </w:pPr>
      <w:r>
        <w:rPr>
          <w:rFonts w:ascii="Courier New" w:cs="Courier New" w:eastAsia="Courier New" w:hAnsi="Courier New"/>
          <w:sz w:val="15"/>
          <w:szCs w:val="15"/>
          <w:color w:val="auto"/>
        </w:rPr>
        <w:t>Description: Installment Debt</w:t>
      </w:r>
    </w:p>
    <w:p>
      <w:pPr>
        <w:spacing w:after="0" w:line="238" w:lineRule="auto"/>
        <w:rPr>
          <w:sz w:val="20"/>
          <w:szCs w:val="20"/>
          <w:color w:val="auto"/>
        </w:rPr>
      </w:pPr>
      <w:r>
        <w:rPr>
          <w:rFonts w:ascii="Courier New" w:cs="Courier New" w:eastAsia="Courier New" w:hAnsi="Courier New"/>
          <w:sz w:val="15"/>
          <w:szCs w:val="15"/>
          <w:color w:val="auto"/>
        </w:rPr>
        <w:t>Maturity Date: November 1, 2006</w:t>
      </w:r>
    </w:p>
    <w:p>
      <w:pPr>
        <w:spacing w:after="0" w:line="237" w:lineRule="auto"/>
        <w:rPr>
          <w:sz w:val="20"/>
          <w:szCs w:val="20"/>
          <w:color w:val="auto"/>
        </w:rPr>
      </w:pPr>
      <w:r>
        <w:rPr>
          <w:rFonts w:ascii="Courier New" w:cs="Courier New" w:eastAsia="Courier New" w:hAnsi="Courier New"/>
          <w:sz w:val="15"/>
          <w:szCs w:val="15"/>
          <w:color w:val="auto"/>
        </w:rPr>
        <w:t>Interest Rate: Applicable Bond</w:t>
      </w:r>
    </w:p>
    <w:p>
      <w:pPr>
        <w:ind w:left="440"/>
        <w:spacing w:after="0" w:line="238" w:lineRule="auto"/>
        <w:rPr>
          <w:sz w:val="20"/>
          <w:szCs w:val="20"/>
          <w:color w:val="auto"/>
        </w:rPr>
      </w:pPr>
      <w:r>
        <w:rPr>
          <w:rFonts w:ascii="Courier New" w:cs="Courier New" w:eastAsia="Courier New" w:hAnsi="Courier New"/>
          <w:sz w:val="15"/>
          <w:szCs w:val="15"/>
          <w:color w:val="auto"/>
        </w:rPr>
        <w:t>Rate at Issue Date</w:t>
      </w:r>
    </w:p>
    <w:p>
      <w:pPr>
        <w:spacing w:after="0" w:line="237" w:lineRule="auto"/>
        <w:rPr>
          <w:sz w:val="20"/>
          <w:szCs w:val="20"/>
          <w:color w:val="auto"/>
        </w:rPr>
      </w:pPr>
      <w:r>
        <w:rPr>
          <w:rFonts w:ascii="Courier New" w:cs="Courier New" w:eastAsia="Courier New" w:hAnsi="Courier New"/>
          <w:sz w:val="15"/>
          <w:szCs w:val="15"/>
          <w:color w:val="auto"/>
        </w:rPr>
        <w:t>Secured By: First mortgage on</w:t>
      </w:r>
    </w:p>
    <w:p>
      <w:pPr>
        <w:ind w:left="440"/>
        <w:spacing w:after="0" w:line="238" w:lineRule="auto"/>
        <w:rPr>
          <w:sz w:val="20"/>
          <w:szCs w:val="20"/>
          <w:color w:val="auto"/>
        </w:rPr>
      </w:pPr>
      <w:r>
        <w:rPr>
          <w:rFonts w:ascii="Courier New" w:cs="Courier New" w:eastAsia="Courier New" w:hAnsi="Courier New"/>
          <w:sz w:val="15"/>
          <w:szCs w:val="15"/>
          <w:color w:val="auto"/>
        </w:rPr>
        <w:t>landfill facilities and security</w:t>
      </w:r>
    </w:p>
    <w:p>
      <w:pPr>
        <w:ind w:left="440"/>
        <w:spacing w:after="0" w:line="237" w:lineRule="auto"/>
        <w:rPr>
          <w:sz w:val="20"/>
          <w:szCs w:val="20"/>
          <w:color w:val="auto"/>
        </w:rPr>
      </w:pPr>
      <w:r>
        <w:rPr>
          <w:rFonts w:ascii="Courier New" w:cs="Courier New" w:eastAsia="Courier New" w:hAnsi="Courier New"/>
          <w:sz w:val="15"/>
          <w:szCs w:val="15"/>
          <w:color w:val="auto"/>
        </w:rPr>
        <w:t>interest in unexpended funds</w:t>
      </w:r>
    </w:p>
    <w:p>
      <w:pPr>
        <w:spacing w:after="0" w:line="238" w:lineRule="auto"/>
        <w:rPr>
          <w:sz w:val="20"/>
          <w:szCs w:val="20"/>
          <w:color w:val="auto"/>
        </w:rPr>
      </w:pPr>
      <w:r>
        <w:rPr>
          <w:rFonts w:ascii="Courier New" w:cs="Courier New" w:eastAsia="Courier New" w:hAnsi="Courier New"/>
          <w:sz w:val="15"/>
          <w:szCs w:val="15"/>
          <w:color w:val="auto"/>
        </w:rPr>
        <w:t>Repayment Terms: Annual principal</w:t>
      </w:r>
    </w:p>
    <w:p>
      <w:pPr>
        <w:ind w:left="440"/>
        <w:spacing w:after="0" w:line="238" w:lineRule="auto"/>
        <w:rPr>
          <w:sz w:val="20"/>
          <w:szCs w:val="20"/>
          <w:color w:val="auto"/>
        </w:rPr>
      </w:pPr>
      <w:r>
        <w:rPr>
          <w:rFonts w:ascii="Courier New" w:cs="Courier New" w:eastAsia="Courier New" w:hAnsi="Courier New"/>
          <w:sz w:val="15"/>
          <w:szCs w:val="15"/>
          <w:color w:val="auto"/>
        </w:rPr>
        <w:t>payments due and payable each November 1,</w:t>
      </w:r>
    </w:p>
    <w:p>
      <w:pPr>
        <w:ind w:left="440"/>
        <w:spacing w:after="0" w:line="237" w:lineRule="auto"/>
        <w:rPr>
          <w:sz w:val="20"/>
          <w:szCs w:val="20"/>
          <w:color w:val="auto"/>
        </w:rPr>
      </w:pPr>
      <w:r>
        <w:rPr>
          <w:rFonts w:ascii="Courier New" w:cs="Courier New" w:eastAsia="Courier New" w:hAnsi="Courier New"/>
          <w:sz w:val="15"/>
          <w:szCs w:val="15"/>
          <w:color w:val="auto"/>
        </w:rPr>
        <w:t>ranging from $790,000 in 1996 to</w:t>
      </w:r>
    </w:p>
    <w:p>
      <w:pPr>
        <w:ind w:left="440"/>
        <w:spacing w:after="0" w:line="238" w:lineRule="auto"/>
        <w:rPr>
          <w:sz w:val="20"/>
          <w:szCs w:val="20"/>
          <w:color w:val="auto"/>
        </w:rPr>
      </w:pPr>
      <w:r>
        <w:rPr>
          <w:rFonts w:ascii="Courier New" w:cs="Courier New" w:eastAsia="Courier New" w:hAnsi="Courier New"/>
          <w:sz w:val="15"/>
          <w:szCs w:val="15"/>
          <w:color w:val="auto"/>
        </w:rPr>
        <w:t>$2,010,000 in 2006 plus interest</w:t>
      </w:r>
    </w:p>
    <w:tbl>
      <w:tblPr>
        <w:tblLayout w:type="fixed"/>
        <w:tblInd w:w="0" w:type="dxa"/>
        <w:tblCellMar>
          <w:top w:w="0" w:type="dxa"/>
          <w:left w:w="0" w:type="dxa"/>
          <w:bottom w:w="0" w:type="dxa"/>
          <w:right w:w="0" w:type="dxa"/>
        </w:tblCellMar>
      </w:tblP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Covenants: Provisions of the loan</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agreement require the Group to</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maintain certain debt covenants</w:t>
            </w: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$14,480,000</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Notes Payable - Various</w:t>
            </w:r>
          </w:p>
        </w:tc>
        <w:tc>
          <w:tcPr>
            <w:tcW w:w="36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21 Installment Loans</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 Various dates</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ranging from October, 1996 to</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January, 2001</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Rates vary from</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6.96% to 9.80%</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By: Equipment</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Term: Monthly principal</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and interest payments of $79,917</w:t>
            </w: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2,031,729</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Mortgages Payable</w:t>
            </w:r>
          </w:p>
        </w:tc>
        <w:tc>
          <w:tcPr>
            <w:tcW w:w="36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2 Installment Loans</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 Various dates</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ranging from October, 1997 to</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February, 2001</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Rates vary from</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8.5% to 9%</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By: Property</w:t>
            </w:r>
          </w:p>
        </w:tc>
        <w:tc>
          <w:tcPr>
            <w:tcW w:w="36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Terms: Monthly principal</w:t>
            </w:r>
          </w:p>
        </w:tc>
        <w:tc>
          <w:tcPr>
            <w:tcW w:w="36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interest Payments of $1,936</w:t>
            </w: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68,875</w:t>
            </w:r>
          </w:p>
        </w:tc>
      </w:tr>
      <w:tr>
        <w:trPr>
          <w:trHeight w:val="168"/>
        </w:trPr>
        <w:tc>
          <w:tcPr>
            <w:tcW w:w="3340" w:type="dxa"/>
            <w:vAlign w:val="bottom"/>
          </w:tcPr>
          <w:p>
            <w:pPr>
              <w:spacing w:after="0"/>
              <w:rPr>
                <w:sz w:val="14"/>
                <w:szCs w:val="14"/>
                <w:color w:val="auto"/>
              </w:rPr>
            </w:pP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Subtotal</w:t>
            </w:r>
          </w:p>
        </w:tc>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$16,580,604</w:t>
            </w:r>
          </w:p>
        </w:tc>
      </w:tr>
      <w:tr>
        <w:trPr>
          <w:trHeight w:val="168"/>
        </w:trPr>
        <w:tc>
          <w:tcPr>
            <w:tcW w:w="3340" w:type="dxa"/>
            <w:vAlign w:val="bottom"/>
          </w:tcPr>
          <w:p>
            <w:pPr>
              <w:spacing w:after="0"/>
              <w:rPr>
                <w:sz w:val="14"/>
                <w:szCs w:val="14"/>
                <w:color w:val="auto"/>
              </w:rPr>
            </w:pPr>
          </w:p>
        </w:tc>
        <w:tc>
          <w:tcPr>
            <w:tcW w:w="3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340" w:type="dxa"/>
            <w:vAlign w:val="bottom"/>
          </w:tcPr>
          <w:p>
            <w:pPr>
              <w:spacing w:after="0"/>
              <w:rPr>
                <w:sz w:val="24"/>
                <w:szCs w:val="24"/>
                <w:color w:val="auto"/>
              </w:rPr>
            </w:pPr>
          </w:p>
        </w:tc>
        <w:tc>
          <w:tcPr>
            <w:tcW w:w="366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46</w:t>
            </w:r>
          </w:p>
        </w:tc>
      </w:tr>
    </w:tbl>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47</w:t>
      </w:r>
    </w:p>
    <w:tbl>
      <w:tblPr>
        <w:tblLayout w:type="fixed"/>
        <w:tblInd w:w="0" w:type="dxa"/>
        <w:tblCellMar>
          <w:top w:w="0" w:type="dxa"/>
          <w:left w:w="0" w:type="dxa"/>
          <w:bottom w:w="0" w:type="dxa"/>
          <w:right w:w="0" w:type="dxa"/>
        </w:tblCellMar>
      </w:tblPr>
      <w:tr>
        <w:trPr>
          <w:trHeight w:val="168"/>
        </w:trPr>
        <w:tc>
          <w:tcPr>
            <w:tcW w:w="5600" w:type="dxa"/>
            <w:vAlign w:val="bottom"/>
          </w:tcPr>
          <w:p>
            <w:pPr>
              <w:jc w:val="center"/>
              <w:ind w:left="1267"/>
              <w:spacing w:after="0" w:line="168" w:lineRule="exact"/>
              <w:rPr>
                <w:sz w:val="20"/>
                <w:szCs w:val="20"/>
                <w:color w:val="auto"/>
              </w:rPr>
            </w:pPr>
            <w:r>
              <w:rPr>
                <w:rFonts w:ascii="Courier New" w:cs="Courier New" w:eastAsia="Courier New" w:hAnsi="Courier New"/>
                <w:sz w:val="15"/>
                <w:szCs w:val="15"/>
                <w:color w:val="auto"/>
                <w:w w:val="97"/>
              </w:rPr>
              <w:t>THE ARNONI GROUP OF COMPANIES</w:t>
            </w:r>
          </w:p>
        </w:tc>
        <w:tc>
          <w:tcPr>
            <w:tcW w:w="1400" w:type="dxa"/>
            <w:vAlign w:val="bottom"/>
          </w:tcPr>
          <w:p>
            <w:pPr>
              <w:spacing w:after="0"/>
              <w:rPr>
                <w:sz w:val="14"/>
                <w:szCs w:val="14"/>
                <w:color w:val="auto"/>
              </w:rPr>
            </w:pPr>
          </w:p>
        </w:tc>
      </w:tr>
      <w:tr>
        <w:trPr>
          <w:trHeight w:val="336"/>
        </w:trPr>
        <w:tc>
          <w:tcPr>
            <w:tcW w:w="5600" w:type="dxa"/>
            <w:vAlign w:val="bottom"/>
          </w:tcPr>
          <w:p>
            <w:pPr>
              <w:ind w:left="1840"/>
              <w:spacing w:after="0"/>
              <w:rPr>
                <w:sz w:val="20"/>
                <w:szCs w:val="20"/>
                <w:color w:val="auto"/>
              </w:rPr>
            </w:pPr>
            <w:r>
              <w:rPr>
                <w:rFonts w:ascii="Courier New" w:cs="Courier New" w:eastAsia="Courier New" w:hAnsi="Courier New"/>
                <w:sz w:val="15"/>
                <w:szCs w:val="15"/>
                <w:color w:val="auto"/>
              </w:rPr>
              <w:t>NOTES TO COMBINED FINANCIAL STATEMENTS</w:t>
            </w:r>
          </w:p>
        </w:tc>
        <w:tc>
          <w:tcPr>
            <w:tcW w:w="1400" w:type="dxa"/>
            <w:vAlign w:val="bottom"/>
          </w:tcPr>
          <w:p>
            <w:pPr>
              <w:spacing w:after="0"/>
              <w:rPr>
                <w:sz w:val="24"/>
                <w:szCs w:val="24"/>
                <w:color w:val="auto"/>
              </w:rPr>
            </w:pPr>
          </w:p>
        </w:tc>
      </w:tr>
      <w:tr>
        <w:trPr>
          <w:trHeight w:val="168"/>
        </w:trPr>
        <w:tc>
          <w:tcPr>
            <w:tcW w:w="56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6"/>
              </w:rPr>
              <w:t>DECEMBER 31, 1995</w:t>
            </w:r>
          </w:p>
        </w:tc>
        <w:tc>
          <w:tcPr>
            <w:tcW w:w="1400" w:type="dxa"/>
            <w:vAlign w:val="bottom"/>
          </w:tcPr>
          <w:p>
            <w:pPr>
              <w:spacing w:after="0"/>
              <w:rPr>
                <w:sz w:val="14"/>
                <w:szCs w:val="14"/>
                <w:color w:val="auto"/>
              </w:rPr>
            </w:pPr>
          </w:p>
        </w:tc>
      </w:tr>
      <w:tr>
        <w:trPr>
          <w:trHeight w:val="168"/>
        </w:trPr>
        <w:tc>
          <w:tcPr>
            <w:tcW w:w="56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6"/>
              </w:rPr>
              <w:t>(CONTINUED)</w:t>
            </w:r>
          </w:p>
        </w:tc>
        <w:tc>
          <w:tcPr>
            <w:tcW w:w="140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NOTE D - BORROWED FUNDS (CONTINUED)</w:t>
            </w:r>
          </w:p>
        </w:tc>
        <w:tc>
          <w:tcPr>
            <w:tcW w:w="1400" w:type="dxa"/>
            <w:vAlign w:val="bottom"/>
          </w:tcPr>
          <w:p>
            <w:pPr>
              <w:spacing w:after="0"/>
              <w:rPr>
                <w:sz w:val="24"/>
                <w:szCs w:val="24"/>
                <w:color w:val="auto"/>
              </w:rPr>
            </w:pPr>
          </w:p>
        </w:tc>
      </w:tr>
      <w:tr>
        <w:trPr>
          <w:trHeight w:val="673"/>
        </w:trPr>
        <w:tc>
          <w:tcPr>
            <w:tcW w:w="5600" w:type="dxa"/>
            <w:vAlign w:val="bottom"/>
          </w:tcPr>
          <w:p>
            <w:pPr>
              <w:spacing w:after="0"/>
              <w:rPr>
                <w:sz w:val="20"/>
                <w:szCs w:val="20"/>
                <w:color w:val="auto"/>
              </w:rPr>
            </w:pPr>
            <w:r>
              <w:rPr>
                <w:rFonts w:ascii="Courier New" w:cs="Courier New" w:eastAsia="Courier New" w:hAnsi="Courier New"/>
                <w:sz w:val="15"/>
                <w:szCs w:val="15"/>
                <w:color w:val="auto"/>
              </w:rPr>
              <w:t>Balance Forward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$16,580,604</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Note Payable - Individual</w:t>
            </w:r>
          </w:p>
        </w:tc>
        <w:tc>
          <w:tcPr>
            <w:tcW w:w="140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Installment Loan</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 Date: January, 1999</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8%</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By: Real and Personal Property</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Terms: Monthly principal</w:t>
            </w:r>
          </w:p>
        </w:tc>
        <w:tc>
          <w:tcPr>
            <w:tcW w:w="140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interest payments of $5,455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180,528</w:t>
            </w:r>
          </w:p>
        </w:tc>
      </w:tr>
      <w:tr>
        <w:trPr>
          <w:trHeight w:val="168"/>
        </w:trPr>
        <w:tc>
          <w:tcPr>
            <w:tcW w:w="56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$16,761,132</w:t>
            </w:r>
          </w:p>
        </w:tc>
      </w:tr>
      <w:tr>
        <w:trPr>
          <w:trHeight w:val="168"/>
        </w:trPr>
        <w:tc>
          <w:tcPr>
            <w:tcW w:w="56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$ 1,642,706</w:t>
            </w: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Portion</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15,118,426</w:t>
            </w:r>
          </w:p>
        </w:tc>
      </w:tr>
      <w:tr>
        <w:trPr>
          <w:trHeight w:val="168"/>
        </w:trPr>
        <w:tc>
          <w:tcPr>
            <w:tcW w:w="56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$16,761,132</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Following are maturities of long term debt for each of the next five year and in the aggregate:</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$1,642,706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1,556,801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1,418,764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1,241,895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1,225,882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9,675,084</w:t>
            </w:r>
          </w:p>
        </w:tc>
      </w:tr>
      <w:tr>
        <w:trPr>
          <w:trHeight w:val="168"/>
        </w:trPr>
        <w:tc>
          <w:tcPr>
            <w:tcW w:w="298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$16,761,132</w:t>
            </w:r>
          </w:p>
        </w:tc>
      </w:tr>
      <w:tr>
        <w:trPr>
          <w:trHeight w:val="168"/>
        </w:trPr>
        <w:tc>
          <w:tcPr>
            <w:tcW w:w="298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99" w:firstLine="612"/>
        <w:spacing w:after="0" w:line="261" w:lineRule="auto"/>
        <w:rPr>
          <w:sz w:val="20"/>
          <w:szCs w:val="20"/>
          <w:color w:val="auto"/>
        </w:rPr>
      </w:pPr>
      <w:r>
        <w:rPr>
          <w:rFonts w:ascii="Courier New" w:cs="Courier New" w:eastAsia="Courier New" w:hAnsi="Courier New"/>
          <w:sz w:val="14"/>
          <w:szCs w:val="14"/>
          <w:color w:val="auto"/>
        </w:rPr>
        <w:t>At December 31, 1995, the Group had total bank commitments of $500,000 on a line of credit, of which $500,000 was available at December 31, 1995.</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ARNONI GROUP OF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29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29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LANDFILL CLOSURE LIABILITIES</w:t>
      </w:r>
    </w:p>
    <w:p>
      <w:pPr>
        <w:spacing w:after="0" w:line="173"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Landfill closure activities involve monitoring and maintaining the landfill for a twenty year period subsequent to closing of the landfill. Based upon estimates by the Group's internal engineers, the total anticipated and accrued landfill closure costs as of December 31, 1995 amounted to $4,131,241. Closure obligations which are required to be satisfied within one year are classified as a current liability in the financial statements.</w:t>
      </w:r>
    </w:p>
    <w:p>
      <w:pPr>
        <w:spacing w:after="0" w:line="16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portion of the recognized closure liability that is allocable to unutilized sections of the landfill has been recorded as a deferred charge and included in other assets. This deferred charge amounted to $2,475,600 at December 31, 1995. The portion of the deferred charge that is expected to be recognized within one year is classified as a current asset in the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PENSION PLAN</w:t>
      </w:r>
    </w:p>
    <w:p>
      <w:pPr>
        <w:spacing w:after="0" w:line="173" w:lineRule="exact"/>
        <w:rPr>
          <w:sz w:val="20"/>
          <w:szCs w:val="20"/>
          <w:color w:val="auto"/>
        </w:rPr>
      </w:pPr>
    </w:p>
    <w:p>
      <w:pPr>
        <w:ind w:right="3399" w:firstLine="612"/>
        <w:spacing w:after="0" w:line="256" w:lineRule="auto"/>
        <w:rPr>
          <w:sz w:val="20"/>
          <w:szCs w:val="20"/>
          <w:color w:val="auto"/>
        </w:rPr>
      </w:pPr>
      <w:r>
        <w:rPr>
          <w:rFonts w:ascii="Courier New" w:cs="Courier New" w:eastAsia="Courier New" w:hAnsi="Courier New"/>
          <w:sz w:val="14"/>
          <w:szCs w:val="14"/>
          <w:color w:val="auto"/>
        </w:rPr>
        <w:t>The Group maintains a defined contribution pension plan that covers all employees that meet the eligibility requirements. Pension costs are determined at the discretion of the Board of Directors, and are accrued and funded on a current basis. Also, the Group makes union pension contributions for employees working under union arrangements. Pension costs amounted to $49,896 in 1995.</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CONTRIBUTED CAPITAL</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following summarizes the Group's capitalization as of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Arnoni Group, Inc. - Common Stock; No Par Value,</w:t>
      </w:r>
    </w:p>
    <w:p>
      <w:pPr>
        <w:ind w:left="1840"/>
        <w:spacing w:after="0" w:line="237" w:lineRule="auto"/>
        <w:rPr>
          <w:sz w:val="20"/>
          <w:szCs w:val="20"/>
          <w:color w:val="auto"/>
        </w:rPr>
      </w:pPr>
      <w:r>
        <w:rPr>
          <w:rFonts w:ascii="Courier New" w:cs="Courier New" w:eastAsia="Courier New" w:hAnsi="Courier New"/>
          <w:sz w:val="15"/>
          <w:szCs w:val="15"/>
          <w:color w:val="auto"/>
        </w:rPr>
        <w:t>10,000 Shares Authorized, Issued and outstanding.</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Arnoni Family Partnership - Partners' Capital</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M.C. Arnoni Company - Trust Units; No Par Value,</w:t>
      </w:r>
    </w:p>
    <w:p>
      <w:pPr>
        <w:ind w:left="1840"/>
        <w:spacing w:after="0" w:line="237" w:lineRule="auto"/>
        <w:rPr>
          <w:sz w:val="20"/>
          <w:szCs w:val="20"/>
          <w:color w:val="auto"/>
        </w:rPr>
      </w:pPr>
      <w:r>
        <w:rPr>
          <w:rFonts w:ascii="Courier New" w:cs="Courier New" w:eastAsia="Courier New" w:hAnsi="Courier New"/>
          <w:sz w:val="15"/>
          <w:szCs w:val="15"/>
          <w:color w:val="auto"/>
        </w:rPr>
        <w:t>1,000 Shares Authorized, 530 Shares Issued and</w:t>
      </w:r>
    </w:p>
    <w:p>
      <w:pPr>
        <w:ind w:left="1840"/>
        <w:spacing w:after="0" w:line="238" w:lineRule="auto"/>
        <w:rPr>
          <w:sz w:val="20"/>
          <w:szCs w:val="20"/>
          <w:color w:val="auto"/>
        </w:rPr>
      </w:pPr>
      <w:r>
        <w:rPr>
          <w:rFonts w:ascii="Courier New" w:cs="Courier New" w:eastAsia="Courier New" w:hAnsi="Courier New"/>
          <w:sz w:val="15"/>
          <w:szCs w:val="15"/>
          <w:color w:val="auto"/>
        </w:rPr>
        <w:t>Outstanding.</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South Hills Disposal Company - Trust Units; No Par Value,</w:t>
      </w:r>
    </w:p>
    <w:p>
      <w:pPr>
        <w:jc w:val="right"/>
        <w:ind w:right="3399"/>
        <w:spacing w:after="0" w:line="237" w:lineRule="auto"/>
        <w:rPr>
          <w:sz w:val="20"/>
          <w:szCs w:val="20"/>
          <w:color w:val="auto"/>
        </w:rPr>
      </w:pPr>
      <w:r>
        <w:rPr>
          <w:rFonts w:ascii="Courier New" w:cs="Courier New" w:eastAsia="Courier New" w:hAnsi="Courier New"/>
          <w:sz w:val="15"/>
          <w:szCs w:val="15"/>
          <w:color w:val="auto"/>
        </w:rPr>
        <w:t>500 Shares Authorized, 100 Shares Issued and Outstanding.</w:t>
      </w:r>
    </w:p>
    <w:p>
      <w:pPr>
        <w:spacing w:after="0" w:line="173" w:lineRule="exact"/>
        <w:rPr>
          <w:sz w:val="20"/>
          <w:szCs w:val="20"/>
          <w:color w:val="auto"/>
        </w:rPr>
      </w:pPr>
    </w:p>
    <w:p>
      <w:pPr>
        <w:ind w:left="1840" w:right="3839" w:hanging="611"/>
        <w:spacing w:after="0" w:line="261" w:lineRule="auto"/>
        <w:rPr>
          <w:sz w:val="20"/>
          <w:szCs w:val="20"/>
          <w:color w:val="auto"/>
        </w:rPr>
      </w:pPr>
      <w:r>
        <w:rPr>
          <w:rFonts w:ascii="Courier New" w:cs="Courier New" w:eastAsia="Courier New" w:hAnsi="Courier New"/>
          <w:sz w:val="14"/>
          <w:szCs w:val="14"/>
          <w:color w:val="auto"/>
        </w:rPr>
        <w:t>Cochran Mill Associates, Inc. - Common Stock; $1 Par Value, 5,000 Shares Authorized, Issued and Outstanding.</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49</w:t>
      </w:r>
    </w:p>
    <w:p>
      <w:pPr>
        <w:ind w:left="2200"/>
        <w:spacing w:after="0" w:line="237" w:lineRule="auto"/>
        <w:rPr>
          <w:sz w:val="20"/>
          <w:szCs w:val="20"/>
          <w:color w:val="auto"/>
        </w:rPr>
      </w:pPr>
      <w:r>
        <w:rPr>
          <w:rFonts w:ascii="Courier New" w:cs="Courier New" w:eastAsia="Courier New" w:hAnsi="Courier New"/>
          <w:sz w:val="15"/>
          <w:szCs w:val="15"/>
          <w:color w:val="auto"/>
        </w:rPr>
        <w:t>THE ARNONI GROUP OF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COMMITMENTS AND CONTINGENCIES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the normal Course of business, the Group makes commitments to complete contracts at specified rates and dates. Further, the Group has entered into an agreement to lease a portion of it's landfill property for landfill gas commercial processing; as well as a disposal agreement with a customer that commits up to approximately fifteen percent (15%) of daily landfill capacity through December, 1997.</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Group is committed to provide collateral bonding to the Pennsylvania Department of Environmental Resources to satisfy the Department's requirements. The Group has pledged as security for three (3) letters of credit issued to the Department, securities having a cost which approximates fair market value of $1,983,995 as collateral.</w:t>
      </w:r>
    </w:p>
    <w:p>
      <w:pPr>
        <w:spacing w:after="0" w:line="174"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The Group has been named as defendant in various legal actions arising out of the normal conduct of its business. In the opinion of management, based on the advice of legal counsel, the suits are without merit; management intends to vigorously defend its position.</w:t>
      </w:r>
    </w:p>
    <w:p>
      <w:pPr>
        <w:spacing w:after="0" w:line="175"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The Group carries a wide range of insurance coverage for the protection of the Group's assets and operations, including environmental impairment insurance. However, in the event uninsured losses occur, the Group's net income and financial position could be materially affected.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spacing w:after="0" w:line="238" w:lineRule="auto"/>
        <w:rPr>
          <w:sz w:val="20"/>
          <w:szCs w:val="20"/>
          <w:color w:val="auto"/>
        </w:rPr>
      </w:pPr>
      <w:r>
        <w:rPr>
          <w:rFonts w:ascii="Courier New" w:cs="Courier New" w:eastAsia="Courier New" w:hAnsi="Courier New"/>
          <w:sz w:val="15"/>
          <w:szCs w:val="15"/>
          <w:color w:val="auto"/>
        </w:rPr>
        <w:t>Altamonte Springs, Florida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Jennings Environmental Services, Inc. (an S corporation) as of December 31, 1995 and the related statements, of income and changes in stockholders' equity and the statement of cash flows for the year then ended. These financial statements are the responsibility of the Company's management. Our responsibility is to express an opinion on these financial statements based on our audit.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from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Jennings Environmental Services, Inc. as of December 31, 1995, and the results of its operations and its cash flows for the year then ended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BLAKE, KUEHLER, BABIONE &amp; POOL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237" w:lineRule="auto"/>
        <w:rPr>
          <w:sz w:val="20"/>
          <w:szCs w:val="20"/>
          <w:color w:val="auto"/>
        </w:rPr>
      </w:pPr>
      <w:r>
        <w:rPr>
          <w:rFonts w:ascii="Courier New" w:cs="Courier New" w:eastAsia="Courier New" w:hAnsi="Courier New"/>
          <w:sz w:val="15"/>
          <w:szCs w:val="15"/>
          <w:color w:val="auto"/>
        </w:rPr>
        <w:t>March 18,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51</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Balance Sheet</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ind w:left="32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118,740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470,869</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 advances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14,209</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605,963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60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2,105,356</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Deposits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8,763</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Bonds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 costs, net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8,980</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22,243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$ 2,733,562</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1840"/>
              <w:spacing w:after="0"/>
              <w:rPr>
                <w:sz w:val="20"/>
                <w:szCs w:val="20"/>
                <w:color w:val="auto"/>
              </w:rPr>
            </w:pPr>
            <w:r>
              <w:rPr>
                <w:rFonts w:ascii="Courier New" w:cs="Courier New" w:eastAsia="Courier New" w:hAnsi="Courier New"/>
                <w:sz w:val="15"/>
                <w:szCs w:val="15"/>
                <w:color w:val="auto"/>
              </w:rPr>
              <w:t>LIABILITIES AND STOCKHOLDERS' EQUITY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179,252</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Line of credit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payables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45,926</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from stockholder</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536,419</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1,086,597</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1,015,368</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from stockholder</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long-term liabilities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1,015,368</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2,101,965</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79,970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605,930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6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(54,303)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6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631,597</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$ 2,733,562</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52</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Statement of Income</w:t>
      </w:r>
    </w:p>
    <w:tbl>
      <w:tblPr>
        <w:tblLayout w:type="fixed"/>
        <w:tblInd w:w="0" w:type="dxa"/>
        <w:tblCellMar>
          <w:top w:w="0" w:type="dxa"/>
          <w:left w:w="0" w:type="dxa"/>
          <w:bottom w:w="0" w:type="dxa"/>
          <w:right w:w="0" w:type="dxa"/>
        </w:tblCellMar>
      </w:tblPr>
      <w:tr>
        <w:trPr>
          <w:trHeight w:val="168"/>
        </w:trPr>
        <w:tc>
          <w:tcPr>
            <w:tcW w:w="55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1480" w:type="dxa"/>
            <w:vAlign w:val="bottom"/>
          </w:tcPr>
          <w:p>
            <w:pPr>
              <w:spacing w:after="0"/>
              <w:rPr>
                <w:sz w:val="14"/>
                <w:szCs w:val="14"/>
                <w:color w:val="auto"/>
              </w:rPr>
            </w:pP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8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 revenues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$ 4,598,237</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disposal and franchise fees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1,408,126</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Net revenues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3,190,111</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1,806,381</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Income from operations</w:t>
            </w:r>
          </w:p>
        </w:tc>
        <w:tc>
          <w:tcPr>
            <w:tcW w:w="1480" w:type="dxa"/>
            <w:vAlign w:val="bottom"/>
          </w:tcPr>
          <w:p>
            <w:pPr>
              <w:spacing w:after="0"/>
              <w:rPr>
                <w:sz w:val="24"/>
                <w:szCs w:val="24"/>
                <w:color w:val="auto"/>
              </w:rPr>
            </w:pPr>
          </w:p>
        </w:tc>
      </w:tr>
      <w:tr>
        <w:trPr>
          <w:trHeight w:val="168"/>
        </w:trPr>
        <w:tc>
          <w:tcPr>
            <w:tcW w:w="5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before depreciation</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1,383,730</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(649,959)</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Income from operations</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733,771</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(179,775)</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553,996</w:t>
            </w:r>
          </w:p>
        </w:tc>
      </w:tr>
      <w:tr>
        <w:trPr>
          <w:trHeight w:val="168"/>
        </w:trPr>
        <w:tc>
          <w:tcPr>
            <w:tcW w:w="552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53</w:t>
      </w:r>
    </w:p>
    <w:p>
      <w:pPr>
        <w:ind w:left="1840"/>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ind w:left="1580"/>
        <w:spacing w:after="0" w:line="238" w:lineRule="auto"/>
        <w:rPr>
          <w:sz w:val="20"/>
          <w:szCs w:val="20"/>
          <w:color w:val="auto"/>
        </w:rPr>
      </w:pPr>
      <w:r>
        <w:rPr>
          <w:rFonts w:ascii="Courier New" w:cs="Courier New" w:eastAsia="Courier New" w:hAnsi="Courier New"/>
          <w:sz w:val="15"/>
          <w:szCs w:val="15"/>
          <w:color w:val="auto"/>
        </w:rPr>
        <w:t>Statement of Changes in Stockholders' Equity</w:t>
      </w:r>
    </w:p>
    <w:p>
      <w:pPr>
        <w:ind w:left="1940"/>
        <w:spacing w:after="0" w:line="237" w:lineRule="auto"/>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par value, 1,000,000 shares authorized,</w:t>
      </w:r>
    </w:p>
    <w:p>
      <w:pPr>
        <w:ind w:left="440"/>
        <w:spacing w:after="0" w:line="237" w:lineRule="auto"/>
        <w:rPr>
          <w:sz w:val="20"/>
          <w:szCs w:val="20"/>
          <w:color w:val="auto"/>
        </w:rPr>
      </w:pPr>
      <w:r>
        <w:rPr>
          <w:rFonts w:ascii="Courier New" w:cs="Courier New" w:eastAsia="Courier New" w:hAnsi="Courier New"/>
          <w:sz w:val="15"/>
          <w:szCs w:val="15"/>
          <w:color w:val="auto"/>
        </w:rPr>
        <w:t>799,700 shares issued and outstanding at</w:t>
      </w:r>
    </w:p>
    <w:p>
      <w:pPr>
        <w:ind w:left="440"/>
        <w:spacing w:after="0" w:line="238"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79,528</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issued during the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79,970</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2380"/>
              <w:spacing w:after="0"/>
              <w:rPr>
                <w:sz w:val="20"/>
                <w:szCs w:val="20"/>
                <w:color w:val="auto"/>
              </w:rPr>
            </w:pPr>
            <w:r>
              <w:rPr>
                <w:rFonts w:ascii="Courier New" w:cs="Courier New" w:eastAsia="Courier New" w:hAnsi="Courier New"/>
                <w:sz w:val="15"/>
                <w:szCs w:val="15"/>
                <w:color w:val="auto"/>
              </w:rPr>
              <w:t>Additional Paid-in Capital</w:t>
            </w:r>
          </w:p>
        </w:tc>
        <w:tc>
          <w:tcPr>
            <w:tcW w:w="1620" w:type="dxa"/>
            <w:vAlign w:val="bottom"/>
          </w:tcPr>
          <w:p>
            <w:pPr>
              <w:spacing w:after="0"/>
              <w:rPr>
                <w:sz w:val="24"/>
                <w:szCs w:val="24"/>
                <w:color w:val="auto"/>
              </w:rPr>
            </w:pPr>
          </w:p>
        </w:tc>
      </w:tr>
      <w:tr>
        <w:trPr>
          <w:trHeight w:val="168"/>
        </w:trPr>
        <w:tc>
          <w:tcPr>
            <w:tcW w:w="538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$ 534,972</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issued during the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70,958</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$ 605,930</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2380"/>
              <w:spacing w:after="0"/>
              <w:rPr>
                <w:sz w:val="20"/>
                <w:szCs w:val="20"/>
                <w:color w:val="auto"/>
              </w:rPr>
            </w:pPr>
            <w:r>
              <w:rPr>
                <w:rFonts w:ascii="Courier New" w:cs="Courier New" w:eastAsia="Courier New" w:hAnsi="Courier New"/>
                <w:sz w:val="15"/>
                <w:szCs w:val="15"/>
                <w:color w:val="auto"/>
              </w:rPr>
              <w:t>Retained Earnings Deficit</w:t>
            </w:r>
          </w:p>
        </w:tc>
        <w:tc>
          <w:tcPr>
            <w:tcW w:w="1620" w:type="dxa"/>
            <w:vAlign w:val="bottom"/>
          </w:tcPr>
          <w:p>
            <w:pPr>
              <w:spacing w:after="0"/>
              <w:rPr>
                <w:sz w:val="24"/>
                <w:szCs w:val="24"/>
                <w:color w:val="auto"/>
              </w:rPr>
            </w:pPr>
          </w:p>
        </w:tc>
      </w:tr>
      <w:tr>
        <w:trPr>
          <w:trHeight w:val="168"/>
        </w:trPr>
        <w:tc>
          <w:tcPr>
            <w:tcW w:w="538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previously reported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$(720,799)</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Adjustment for understatement of</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112,500</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162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restated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(608,299)</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553,996</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440"/>
              <w:spacing w:after="0"/>
              <w:rPr>
                <w:sz w:val="20"/>
                <w:szCs w:val="20"/>
                <w:color w:val="auto"/>
              </w:rPr>
            </w:pPr>
            <w:r>
              <w:rPr>
                <w:rFonts w:ascii="Courier New" w:cs="Courier New" w:eastAsia="Courier New" w:hAnsi="Courier New"/>
                <w:sz w:val="15"/>
                <w:szCs w:val="15"/>
                <w:color w:val="auto"/>
              </w:rPr>
              <w:t>Balance end of year</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(54,303)</w:t>
            </w:r>
          </w:p>
        </w:tc>
      </w:tr>
      <w:tr>
        <w:trPr>
          <w:trHeight w:val="168"/>
        </w:trPr>
        <w:tc>
          <w:tcPr>
            <w:tcW w:w="53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JENNINGS ENVIRONMENTAL SERVICES, INC.</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Statement of Cash Flows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For the year ended December 31, 1995</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553,996</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(loss)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operating activities: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651,295</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(164,441)</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employee advances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(1,145)</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prepaid expenses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(14,209)</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22,367</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payables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44,972</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528,839</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1,082,835</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payments for the purchase of property</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(516,491)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(516,491)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Net borrowing (repayment) on stockholder loan</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payments for loan costs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(7,414)</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Repayment on line of credit</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(450,197)</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provided (used) by</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(458,811)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increase in cash and equivalents</w:t>
            </w:r>
          </w:p>
        </w:tc>
        <w:tc>
          <w:tcPr>
            <w:tcW w:w="5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107,533</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and equivalents, beginning of year</w:t>
            </w:r>
          </w:p>
        </w:tc>
        <w:tc>
          <w:tcPr>
            <w:tcW w:w="5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11,207</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and equivalents, end of year</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118,740</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55</w:t>
      </w:r>
    </w:p>
    <w:tbl>
      <w:tblPr>
        <w:tblLayout w:type="fixed"/>
        <w:tblInd w:w="0" w:type="dxa"/>
        <w:tblCellMar>
          <w:top w:w="0" w:type="dxa"/>
          <w:left w:w="0" w:type="dxa"/>
          <w:bottom w:w="0" w:type="dxa"/>
          <w:right w:w="0" w:type="dxa"/>
        </w:tblCellMar>
      </w:tblPr>
      <w:tr>
        <w:trPr>
          <w:trHeight w:val="168"/>
        </w:trPr>
        <w:tc>
          <w:tcPr>
            <w:tcW w:w="5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JENNINGS ENVIRONMENTAL SERVICES, INC.</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Statements of Cash Flows (Continued)</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2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5520" w:type="dxa"/>
            <w:vAlign w:val="bottom"/>
          </w:tcPr>
          <w:p>
            <w:pPr>
              <w:spacing w:after="0"/>
              <w:rPr>
                <w:sz w:val="20"/>
                <w:szCs w:val="20"/>
                <w:color w:val="auto"/>
              </w:rPr>
            </w:pPr>
            <w:r>
              <w:rPr>
                <w:rFonts w:ascii="Courier New" w:cs="Courier New" w:eastAsia="Courier New" w:hAnsi="Courier New"/>
                <w:sz w:val="15"/>
                <w:szCs w:val="15"/>
                <w:color w:val="auto"/>
              </w:rPr>
              <w:t>Supplemental disclosures for cash flow information:</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year for:</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Interest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158,441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Schedule of noncash investing and financing activities: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Acquisition of property and equipment:</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520" w:type="dxa"/>
            <w:vAlign w:val="bottom"/>
          </w:tcPr>
          <w:p>
            <w:pPr>
              <w:ind w:left="700"/>
              <w:spacing w:after="0"/>
              <w:rPr>
                <w:sz w:val="20"/>
                <w:szCs w:val="20"/>
                <w:color w:val="auto"/>
              </w:rPr>
            </w:pPr>
            <w:r>
              <w:rPr>
                <w:rFonts w:ascii="Courier New" w:cs="Courier New" w:eastAsia="Courier New" w:hAnsi="Courier New"/>
                <w:sz w:val="15"/>
                <w:szCs w:val="15"/>
                <w:color w:val="auto"/>
              </w:rPr>
              <w:t>Cost of property and equipment acquired</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$ 1,171,693</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Capital stock issued</w:t>
            </w: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(46,600)</w:t>
            </w: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debt incurred</w:t>
            </w: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(608,602)</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paid to acquire property and equipment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516,491</w:t>
            </w:r>
          </w:p>
        </w:tc>
      </w:tr>
      <w:tr>
        <w:trPr>
          <w:trHeight w:val="168"/>
        </w:trPr>
        <w:tc>
          <w:tcPr>
            <w:tcW w:w="552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56</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the Business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is a full service environmental services firm, collecting and transporting waste and recyclable materials to designated sites for reuse or disposal. The Company's operations are in the Central Florida area.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The Company recognizes income from recycling and refuse collection as it is earned. Prebilled amounts are not recorded until the Company performs the service. Revenue from material resale is recognized when materials are sold.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uses the reserve method for uncollectible accounts. The allowance for doubtful accounts was $10,000 as of December 31, 1995. Bad debt expense for the year ended December 31, 1995 was $22,292. Customers are primarily commercial and industrial building owners and contractors in the Central Florida area. In the normal course of business, the Company extends unsecured credit to its customers.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Property and equipment is recorded at cost. Property and equipment is depreciated over the lives established by the Modified Accelerated Cost Recovery System (MACRS), which are shorter than the estimated useful lives that would have been used under generally accepted accounting principles. This variance caused by using MACRS is not considered material. The estimated useful lives of the property and equipment range from five to seven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the purpose of the statements of cash flows, the Company considers all highly liquid investments purchased with a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changed its tax status from nontaxable to taxable effective January 1, 1996. After that date, the financial statements will provide for the income tax effect of earnings reported in the statements, including taxes currently due and taxes deferred as different accounting methods are used for financial and income tax reporting.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57</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(Continued)</w:t>
      </w:r>
    </w:p>
    <w:p>
      <w:pPr>
        <w:spacing w:after="0" w:line="173"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Prior to the change in tax status, the Company did not record an income tax provision as income and losses were reported directly by the stockholders under provisions of Subchapter S of the Internal Revenue Code.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Costs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Loan closing costs. are amortized on a straight-line basis over the life of the loan.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Risk</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Company's cash funds are located in a single-financial institution. The amounts on deposit at December 31, 1995 exceeded the $100,000 federally insured limit.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Management has made a number of estimates and assumptions relating to the reporting of assets and liabilities and the disclosure of contingent assets and liabilities to prepare these financial statements in conformity with generally accepted accounting principles. Actual results could differ from those estimates.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at December 31, 1995 consists of:</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2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$ 1,907,748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Roll-off containers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1,550,596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Non roll-off containers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189,959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24,959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20,516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Computers and software</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9,130</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3,702,908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(1,597,552)</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$ 2,105,356</w:t>
            </w:r>
          </w:p>
        </w:tc>
      </w:tr>
      <w:tr>
        <w:trPr>
          <w:trHeight w:val="168"/>
        </w:trPr>
        <w:tc>
          <w:tcPr>
            <w:tcW w:w="4120" w:type="dxa"/>
            <w:vAlign w:val="bottom"/>
          </w:tcPr>
          <w:p>
            <w:pPr>
              <w:spacing w:after="0"/>
              <w:rPr>
                <w:sz w:val="14"/>
                <w:szCs w:val="14"/>
                <w:color w:val="auto"/>
              </w:rPr>
            </w:pP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58</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LINE OF CREDIT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available a $300,000 line of credit, which is due on demand and matures October 31, 2000. Interest is payable monthly at the bank's prime lending rate. The total outstanding balance was $150,000 as of December 31, 1995. The line of credit is collateralized by certain equipment and is also personally guaranteed by the principal stockholder.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at December 31, 1995: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8.25% installment notes payable to</w:t>
      </w:r>
    </w:p>
    <w:p>
      <w:pPr>
        <w:spacing w:after="0" w:line="237" w:lineRule="auto"/>
        <w:rPr>
          <w:sz w:val="20"/>
          <w:szCs w:val="20"/>
          <w:color w:val="auto"/>
        </w:rPr>
      </w:pPr>
      <w:r>
        <w:rPr>
          <w:rFonts w:ascii="Courier New" w:cs="Courier New" w:eastAsia="Courier New" w:hAnsi="Courier New"/>
          <w:sz w:val="15"/>
          <w:szCs w:val="15"/>
          <w:color w:val="auto"/>
        </w:rPr>
        <w:t>a bank in monthly installments including</w:t>
      </w:r>
    </w:p>
    <w:p>
      <w:pPr>
        <w:spacing w:after="0" w:line="238" w:lineRule="auto"/>
        <w:rPr>
          <w:sz w:val="20"/>
          <w:szCs w:val="20"/>
          <w:color w:val="auto"/>
        </w:rPr>
      </w:pPr>
      <w:r>
        <w:rPr>
          <w:rFonts w:ascii="Courier New" w:cs="Courier New" w:eastAsia="Courier New" w:hAnsi="Courier New"/>
          <w:sz w:val="15"/>
          <w:szCs w:val="15"/>
          <w:color w:val="auto"/>
        </w:rPr>
        <w:t>principal and interest, maturing</w:t>
      </w:r>
    </w:p>
    <w:p>
      <w:pPr>
        <w:spacing w:after="0" w:line="237" w:lineRule="auto"/>
        <w:rPr>
          <w:sz w:val="20"/>
          <w:szCs w:val="20"/>
          <w:color w:val="auto"/>
        </w:rPr>
      </w:pPr>
      <w:r>
        <w:rPr>
          <w:rFonts w:ascii="Courier New" w:cs="Courier New" w:eastAsia="Courier New" w:hAnsi="Courier New"/>
          <w:sz w:val="15"/>
          <w:szCs w:val="15"/>
          <w:color w:val="auto"/>
        </w:rPr>
        <w:t>October 2000 as follows (see note</w:t>
      </w:r>
    </w:p>
    <w:p>
      <w:pPr>
        <w:spacing w:after="0" w:line="238" w:lineRule="auto"/>
        <w:rPr>
          <w:sz w:val="20"/>
          <w:szCs w:val="20"/>
          <w:color w:val="auto"/>
        </w:rPr>
      </w:pPr>
      <w:r>
        <w:rPr>
          <w:rFonts w:ascii="Courier New" w:cs="Courier New" w:eastAsia="Courier New" w:hAnsi="Courier New"/>
          <w:sz w:val="15"/>
          <w:szCs w:val="15"/>
          <w:color w:val="auto"/>
        </w:rPr>
        <w:t>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Monthly installment of $24,205</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$730,847</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Monthly installment of $4,320</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206,046</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Monthly installment of $1,975</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94,137</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9.75% installment note payable to a bank</w:t>
            </w:r>
          </w:p>
        </w:tc>
        <w:tc>
          <w:tcPr>
            <w:tcW w:w="204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monthly installments of $15,622</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including principal and interest, secured</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by transportation equipment, maturing</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1998, refinanced in 1995</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8.25% installment note payable to a bank</w:t>
            </w:r>
          </w:p>
        </w:tc>
        <w:tc>
          <w:tcPr>
            <w:tcW w:w="204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monthly installments of $2,920</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including principal and interest, secured</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by transportation equipment, maturing</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1999, refinanced in 1995</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6.18% installment note payable to GMAC</w:t>
            </w:r>
          </w:p>
        </w:tc>
        <w:tc>
          <w:tcPr>
            <w:tcW w:w="204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monthly installments of $380</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including principal and interest, secured</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by transportation equipment, maturing</w:t>
            </w:r>
          </w:p>
        </w:tc>
        <w:tc>
          <w:tcPr>
            <w:tcW w:w="20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1996, paid off in 1995</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841"/>
        </w:trPr>
        <w:tc>
          <w:tcPr>
            <w:tcW w:w="4960" w:type="dxa"/>
            <w:vAlign w:val="bottom"/>
          </w:tcPr>
          <w:p>
            <w:pPr>
              <w:ind w:left="3420"/>
              <w:spacing w:after="0"/>
              <w:rPr>
                <w:sz w:val="20"/>
                <w:szCs w:val="20"/>
                <w:color w:val="auto"/>
              </w:rPr>
            </w:pPr>
            <w:r>
              <w:rPr>
                <w:rFonts w:ascii="Courier New" w:cs="Courier New" w:eastAsia="Courier New" w:hAnsi="Courier New"/>
                <w:sz w:val="15"/>
                <w:szCs w:val="15"/>
                <w:color w:val="auto"/>
              </w:rPr>
              <w:t>58</w:t>
            </w:r>
          </w:p>
        </w:tc>
        <w:tc>
          <w:tcPr>
            <w:tcW w:w="2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59</w:t>
      </w:r>
    </w:p>
    <w:tbl>
      <w:tblPr>
        <w:tblLayout w:type="fixed"/>
        <w:tblInd w:w="0" w:type="dxa"/>
        <w:tblCellMar>
          <w:top w:w="0" w:type="dxa"/>
          <w:left w:w="0" w:type="dxa"/>
          <w:bottom w:w="0" w:type="dxa"/>
          <w:right w:w="0" w:type="dxa"/>
        </w:tblCellMar>
      </w:tblPr>
      <w:tr>
        <w:trPr>
          <w:trHeight w:val="168"/>
        </w:trPr>
        <w:tc>
          <w:tcPr>
            <w:tcW w:w="840" w:type="dxa"/>
            <w:vAlign w:val="bottom"/>
          </w:tcPr>
          <w:p>
            <w:pPr>
              <w:spacing w:after="0"/>
              <w:rPr>
                <w:sz w:val="14"/>
                <w:szCs w:val="14"/>
                <w:color w:val="auto"/>
              </w:rPr>
            </w:pPr>
          </w:p>
        </w:tc>
        <w:tc>
          <w:tcPr>
            <w:tcW w:w="468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JENNING ENVIRONMENTAL SERVICES, INC.</w:t>
            </w:r>
          </w:p>
        </w:tc>
        <w:tc>
          <w:tcPr>
            <w:tcW w:w="14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68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68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48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4 --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LONG-TERM DEBT (Continued)</w:t>
            </w:r>
          </w:p>
        </w:tc>
        <w:tc>
          <w:tcPr>
            <w:tcW w:w="1480" w:type="dxa"/>
            <w:vAlign w:val="bottom"/>
          </w:tcPr>
          <w:p>
            <w:pPr>
              <w:spacing w:after="0"/>
              <w:rPr>
                <w:sz w:val="24"/>
                <w:szCs w:val="24"/>
                <w:color w:val="auto"/>
              </w:rPr>
            </w:pPr>
          </w:p>
        </w:tc>
      </w:tr>
      <w:tr>
        <w:trPr>
          <w:trHeight w:val="673"/>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10.50% installment note payable in</w:t>
            </w:r>
          </w:p>
        </w:tc>
        <w:tc>
          <w:tcPr>
            <w:tcW w:w="1480" w:type="dxa"/>
            <w:vAlign w:val="bottom"/>
          </w:tcPr>
          <w:p>
            <w:pPr>
              <w:spacing w:after="0"/>
              <w:rPr>
                <w:sz w:val="24"/>
                <w:szCs w:val="2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monthly installments of $1,492 including</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interest, secured by</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refuse containers, maturing January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18,347</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9.50%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$1,654</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refuse containers,</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maturing December 1996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18,781</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8.25%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$1,722</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transportation</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equipment, maturing June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27,573</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8.75%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$2,955</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refuse containers,</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maturing October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59,940</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8.75%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$8,480</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transportation</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equipment, maturing November 1997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179,123</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8.75%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$4,012</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transportation</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equipment, maturing April 1999</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138,468</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11.00% installment note payable to a</w:t>
            </w:r>
          </w:p>
        </w:tc>
        <w:tc>
          <w:tcPr>
            <w:tcW w:w="1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in monthly installments</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$3,192</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 principal and</w:t>
            </w:r>
          </w:p>
        </w:tc>
        <w:tc>
          <w:tcPr>
            <w:tcW w:w="14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refuse containers,</w:t>
            </w:r>
          </w:p>
        </w:tc>
        <w:tc>
          <w:tcPr>
            <w:tcW w:w="148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maturing April 1998</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78,525</w:t>
            </w:r>
          </w:p>
        </w:tc>
      </w:tr>
      <w:tr>
        <w:trPr>
          <w:trHeight w:val="168"/>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rPr>
              <w:t>Total long-term debt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1,551,787</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(536,419)</w:t>
            </w:r>
          </w:p>
        </w:tc>
      </w:tr>
      <w:tr>
        <w:trPr>
          <w:trHeight w:val="168"/>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$ 1,015,368</w:t>
            </w:r>
          </w:p>
        </w:tc>
      </w:tr>
      <w:tr>
        <w:trPr>
          <w:trHeight w:val="168"/>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840" w:type="dxa"/>
            <w:vAlign w:val="bottom"/>
          </w:tcPr>
          <w:p>
            <w:pPr>
              <w:spacing w:after="0"/>
              <w:rPr>
                <w:sz w:val="24"/>
                <w:szCs w:val="24"/>
                <w:color w:val="auto"/>
              </w:rPr>
            </w:pPr>
          </w:p>
        </w:tc>
        <w:tc>
          <w:tcPr>
            <w:tcW w:w="4680" w:type="dxa"/>
            <w:vAlign w:val="bottom"/>
          </w:tcPr>
          <w:p>
            <w:pPr>
              <w:ind w:left="2580"/>
              <w:spacing w:after="0"/>
              <w:rPr>
                <w:sz w:val="20"/>
                <w:szCs w:val="20"/>
                <w:color w:val="auto"/>
              </w:rPr>
            </w:pPr>
            <w:r>
              <w:rPr>
                <w:rFonts w:ascii="Courier New" w:cs="Courier New" w:eastAsia="Courier New" w:hAnsi="Courier New"/>
                <w:sz w:val="15"/>
                <w:szCs w:val="15"/>
                <w:color w:val="auto"/>
              </w:rPr>
              <w:t>59</w:t>
            </w:r>
          </w:p>
        </w:tc>
        <w:tc>
          <w:tcPr>
            <w:tcW w:w="14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60</w:t>
      </w:r>
    </w:p>
    <w:p>
      <w:pPr>
        <w:jc w:val="center"/>
        <w:ind w:right="331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LONG-TERM DEBT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first three installment notes to a bank listed above are aggregated under a master note to the bank in the amount of $2,000,000. This note bears interest at .5% below the bank's prime rate at the time of any advance under the note, and matures five years after the date of such advance. This note is collateralized by substantially all business assets and is guaranteed by the principal stockholder of the Company.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principal portion of long-term debt matures according to the following schedule:</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760" w:type="dxa"/>
            <w:vAlign w:val="bottom"/>
          </w:tcPr>
          <w:p>
            <w:pPr>
              <w:jc w:val="right"/>
              <w:ind w:right="2327"/>
              <w:spacing w:after="0"/>
              <w:rPr>
                <w:sz w:val="20"/>
                <w:szCs w:val="20"/>
                <w:color w:val="auto"/>
              </w:rPr>
            </w:pPr>
            <w:r>
              <w:rPr>
                <w:rFonts w:ascii="Courier New" w:cs="Courier New" w:eastAsia="Courier New" w:hAnsi="Courier New"/>
                <w:sz w:val="15"/>
                <w:szCs w:val="15"/>
                <w:color w:val="auto"/>
                <w:w w:val="94"/>
              </w:rPr>
              <w:t>1996</w:t>
            </w:r>
          </w:p>
        </w:tc>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$536,419</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1997</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520,137</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1998</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351,431</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1999</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83,236</w:t>
            </w:r>
          </w:p>
        </w:tc>
      </w:tr>
      <w:tr>
        <w:trPr>
          <w:trHeight w:val="168"/>
        </w:trPr>
        <w:tc>
          <w:tcPr>
            <w:tcW w:w="276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4"/>
              </w:rPr>
              <w:t>2000</w:t>
            </w: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60,564</w:t>
            </w:r>
          </w:p>
        </w:tc>
      </w:tr>
      <w:tr>
        <w:trPr>
          <w:trHeight w:val="168"/>
        </w:trPr>
        <w:tc>
          <w:tcPr>
            <w:tcW w:w="2760" w:type="dxa"/>
            <w:vAlign w:val="bottom"/>
          </w:tcPr>
          <w:p>
            <w:pPr>
              <w:spacing w:after="0"/>
              <w:rPr>
                <w:sz w:val="14"/>
                <w:szCs w:val="14"/>
                <w:color w:val="auto"/>
              </w:rPr>
            </w:pP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$1,551,787</w:t>
            </w:r>
          </w:p>
        </w:tc>
      </w:tr>
      <w:tr>
        <w:trPr>
          <w:trHeight w:val="168"/>
        </w:trPr>
        <w:tc>
          <w:tcPr>
            <w:tcW w:w="2760" w:type="dxa"/>
            <w:vAlign w:val="bottom"/>
          </w:tcPr>
          <w:p>
            <w:pPr>
              <w:spacing w:after="0"/>
              <w:rPr>
                <w:sz w:val="14"/>
                <w:szCs w:val="14"/>
                <w:color w:val="auto"/>
              </w:rPr>
            </w:pPr>
          </w:p>
        </w:tc>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Total interest costs incurred and expensed on the above notes was $158,441 for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STOCKHOLDER LOANS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Loans from stockholder are unsecured, bear interest at the blended annual rate published by the Internal Revenue Service, and are payable on demand.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RELATED PARTY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Banking Relations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principal stockholder is a director of Huntington National Bank (formerly security National Bank). The Company had $118,740 on deposit at this bank as of December 31, 1995. The Company also has its line of credit and installment debt obligations at this bank. The principal balance of these loans as of December 31, 1995 was $1,181,030.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Loans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discussed in Note 5, the Company had stockholder loans payable of $175,000 as of December 31, 1995. In February 1996, $100,000 of the loan outstanding was repaid. Accrued interest on the stockholder loan as of December 31, 1995 was $21,334.</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61</w:t>
      </w:r>
    </w:p>
    <w:p>
      <w:pPr>
        <w:jc w:val="center"/>
        <w:ind w:right="3299"/>
        <w:spacing w:after="0" w:line="237" w:lineRule="auto"/>
        <w:rPr>
          <w:sz w:val="20"/>
          <w:szCs w:val="20"/>
          <w:color w:val="auto"/>
        </w:rPr>
      </w:pPr>
      <w:r>
        <w:rPr>
          <w:rFonts w:ascii="Courier New" w:cs="Courier New" w:eastAsia="Courier New" w:hAnsi="Courier New"/>
          <w:sz w:val="15"/>
          <w:szCs w:val="15"/>
          <w:color w:val="auto"/>
        </w:rPr>
        <w:t>JENNINGS ENVIRONMENTAL SERVICES, INC.</w:t>
      </w:r>
    </w:p>
    <w:p>
      <w:pPr>
        <w:jc w:val="center"/>
        <w:ind w:right="3299"/>
        <w:spacing w:after="0" w:line="238" w:lineRule="auto"/>
        <w:rPr>
          <w:sz w:val="20"/>
          <w:szCs w:val="20"/>
          <w:color w:val="auto"/>
        </w:rPr>
      </w:pPr>
      <w:r>
        <w:rPr>
          <w:rFonts w:ascii="Courier New" w:cs="Courier New" w:eastAsia="Courier New" w:hAnsi="Courier New"/>
          <w:sz w:val="15"/>
          <w:szCs w:val="15"/>
          <w:color w:val="auto"/>
        </w:rPr>
        <w:t>Notes to Financial Statements</w:t>
      </w:r>
    </w:p>
    <w:p>
      <w:pPr>
        <w:jc w:val="center"/>
        <w:ind w:right="3299"/>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RELATED PARTY TRANSACTIONS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Fees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Company retains a law firm in which a stockholder of the company is a partner. The amount of fees paid to this firm in 1995 was $24,585.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LEASES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has noncancellable operating leases for office and shop facilities that expire through 1999. Future minimum lease payments under the operating-leases at December 31, 1995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jc w:val="right"/>
              <w:ind w:right="3347"/>
              <w:spacing w:after="0"/>
              <w:rPr>
                <w:sz w:val="20"/>
                <w:szCs w:val="20"/>
                <w:color w:val="auto"/>
              </w:rPr>
            </w:pPr>
            <w:r>
              <w:rPr>
                <w:rFonts w:ascii="Courier New" w:cs="Courier New" w:eastAsia="Courier New" w:hAnsi="Courier New"/>
                <w:sz w:val="15"/>
                <w:szCs w:val="15"/>
                <w:color w:val="auto"/>
              </w:rPr>
              <w:t>1996</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$45,775</w:t>
            </w:r>
          </w:p>
        </w:tc>
      </w:tr>
      <w:tr>
        <w:trPr>
          <w:trHeight w:val="168"/>
        </w:trPr>
        <w:tc>
          <w:tcPr>
            <w:tcW w:w="4040" w:type="dxa"/>
            <w:vAlign w:val="bottom"/>
          </w:tcPr>
          <w:p>
            <w:pPr>
              <w:jc w:val="right"/>
              <w:ind w:right="3347"/>
              <w:spacing w:after="0" w:line="168" w:lineRule="exact"/>
              <w:rPr>
                <w:sz w:val="20"/>
                <w:szCs w:val="20"/>
                <w:color w:val="auto"/>
              </w:rPr>
            </w:pPr>
            <w:r>
              <w:rPr>
                <w:rFonts w:ascii="Courier New" w:cs="Courier New" w:eastAsia="Courier New" w:hAnsi="Courier New"/>
                <w:sz w:val="15"/>
                <w:szCs w:val="15"/>
                <w:color w:val="auto"/>
              </w:rPr>
              <w:t>1997</w:t>
            </w: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46,423</w:t>
            </w:r>
          </w:p>
        </w:tc>
      </w:tr>
      <w:tr>
        <w:trPr>
          <w:trHeight w:val="168"/>
        </w:trPr>
        <w:tc>
          <w:tcPr>
            <w:tcW w:w="4040" w:type="dxa"/>
            <w:vAlign w:val="bottom"/>
          </w:tcPr>
          <w:p>
            <w:pPr>
              <w:jc w:val="right"/>
              <w:ind w:right="3347"/>
              <w:spacing w:after="0" w:line="168" w:lineRule="exact"/>
              <w:rPr>
                <w:sz w:val="20"/>
                <w:szCs w:val="20"/>
                <w:color w:val="auto"/>
              </w:rPr>
            </w:pPr>
            <w:r>
              <w:rPr>
                <w:rFonts w:ascii="Courier New" w:cs="Courier New" w:eastAsia="Courier New" w:hAnsi="Courier New"/>
                <w:sz w:val="15"/>
                <w:szCs w:val="15"/>
                <w:color w:val="auto"/>
              </w:rPr>
              <w:t>1998</w:t>
            </w: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42,685</w:t>
            </w:r>
          </w:p>
        </w:tc>
      </w:tr>
      <w:tr>
        <w:trPr>
          <w:trHeight w:val="168"/>
        </w:trPr>
        <w:tc>
          <w:tcPr>
            <w:tcW w:w="4040" w:type="dxa"/>
            <w:vAlign w:val="bottom"/>
          </w:tcPr>
          <w:p>
            <w:pPr>
              <w:jc w:val="right"/>
              <w:ind w:right="3347"/>
              <w:spacing w:after="0" w:line="168" w:lineRule="exact"/>
              <w:rPr>
                <w:sz w:val="20"/>
                <w:szCs w:val="20"/>
                <w:color w:val="auto"/>
              </w:rPr>
            </w:pPr>
            <w:r>
              <w:rPr>
                <w:rFonts w:ascii="Courier New" w:cs="Courier New" w:eastAsia="Courier New" w:hAnsi="Courier New"/>
                <w:sz w:val="15"/>
                <w:szCs w:val="15"/>
                <w:color w:val="auto"/>
              </w:rPr>
              <w:t>1999</w:t>
            </w: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4040" w:type="dxa"/>
            <w:vAlign w:val="bottom"/>
          </w:tcPr>
          <w:p>
            <w:pPr>
              <w:spacing w:after="0"/>
              <w:rPr>
                <w:sz w:val="14"/>
                <w:szCs w:val="14"/>
                <w:color w:val="auto"/>
              </w:rPr>
            </w:pP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6"/>
              </w:rPr>
              <w:t>Total minimum lease payments</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$159,883</w:t>
            </w:r>
          </w:p>
        </w:tc>
      </w:tr>
      <w:tr>
        <w:trPr>
          <w:trHeight w:val="168"/>
        </w:trPr>
        <w:tc>
          <w:tcPr>
            <w:tcW w:w="4040" w:type="dxa"/>
            <w:vAlign w:val="bottom"/>
          </w:tcPr>
          <w:p>
            <w:pPr>
              <w:spacing w:after="0"/>
              <w:rPr>
                <w:sz w:val="14"/>
                <w:szCs w:val="14"/>
                <w:color w:val="auto"/>
              </w:rPr>
            </w:pPr>
          </w:p>
        </w:tc>
        <w:tc>
          <w:tcPr>
            <w:tcW w:w="2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99"/>
        <w:spacing w:after="0" w:line="234" w:lineRule="auto"/>
        <w:rPr>
          <w:sz w:val="20"/>
          <w:szCs w:val="20"/>
          <w:color w:val="auto"/>
        </w:rPr>
      </w:pPr>
      <w:r>
        <w:rPr>
          <w:rFonts w:ascii="Courier New" w:cs="Courier New" w:eastAsia="Courier New" w:hAnsi="Courier New"/>
          <w:sz w:val="15"/>
          <w:szCs w:val="15"/>
          <w:color w:val="auto"/>
        </w:rPr>
        <w:t>Total rent payments under the operating leases was $42,300 for the year ended December 31,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PRIOR PERIOD ADJUSTMENT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Certain errors resulting in an understatement of previously reported accounts receivable and income as of December 31, 1994, in the amount of $112,500, were discovered by management of the Company subsequent to the issuance of the Company's financial statements on April 11, 1995. Accordingly, an adjustment has been made to net income for the year ended December 31, 1994, and retained earnings as of January 1, 1995, to correct the error.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62</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80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237" w:lineRule="auto"/>
        <w:rPr>
          <w:sz w:val="20"/>
          <w:szCs w:val="20"/>
          <w:color w:val="auto"/>
        </w:rPr>
      </w:pPr>
      <w:r>
        <w:rPr>
          <w:rFonts w:ascii="Courier New" w:cs="Courier New" w:eastAsia="Courier New" w:hAnsi="Courier New"/>
          <w:sz w:val="15"/>
          <w:szCs w:val="15"/>
          <w:color w:val="auto"/>
        </w:rPr>
        <w:t>Pen Argyl, Pennsylvania</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Grand Central Sanitation, Inc. and Related Companies as of December 31, 1995, and the related combined statements of income, stockholders' equity and cash flows for the year then ended.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statements presentation. We believe that our audits provide a reasonable basis for our opinion.</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Grand Central Sanitation, Inc. and Related Companies as of December 31, 1995, and the results of their operations and their cash flows for the years then ended in conformity with generally accepted accounting principles.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Our audits were made for the purpose of forming an opinion on the basic financial statements taken as a whole. The accompanying supplementary information is presented only for purposes of additional analysis and is not a required part of the basic financial statements. Such information has been subjected to the auditing procedures applied in the audits of the basic financial statements and, in our opinion, is fairly stated in all material respects in relation to the basic financial statements taken as a whole.</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 BUCKNO LISICKY &amp;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Allentown, Pennsylvania</w:t>
      </w:r>
    </w:p>
    <w:p>
      <w:pPr>
        <w:spacing w:after="0" w:line="237" w:lineRule="auto"/>
        <w:rPr>
          <w:sz w:val="20"/>
          <w:szCs w:val="20"/>
          <w:color w:val="auto"/>
        </w:rPr>
      </w:pPr>
      <w:r>
        <w:rPr>
          <w:rFonts w:ascii="Courier New" w:cs="Courier New" w:eastAsia="Courier New" w:hAnsi="Courier New"/>
          <w:sz w:val="15"/>
          <w:szCs w:val="15"/>
          <w:color w:val="auto"/>
        </w:rPr>
        <w:t>September 19, 1996</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63</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tbl>
      <w:tblPr>
        <w:tblLayout w:type="fixed"/>
        <w:tblInd w:w="0" w:type="dxa"/>
        <w:tblCellMar>
          <w:top w:w="0" w:type="dxa"/>
          <w:left w:w="0" w:type="dxa"/>
          <w:bottom w:w="0" w:type="dxa"/>
          <w:right w:w="0" w:type="dxa"/>
        </w:tblCellMar>
      </w:tblPr>
      <w:tr>
        <w:trPr>
          <w:trHeight w:val="169"/>
        </w:trPr>
        <w:tc>
          <w:tcPr>
            <w:tcW w:w="456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AND RELATED COMPANIES</w:t>
            </w:r>
          </w:p>
        </w:tc>
        <w:tc>
          <w:tcPr>
            <w:tcW w:w="1040" w:type="dxa"/>
            <w:vAlign w:val="bottom"/>
          </w:tcPr>
          <w:p>
            <w:pPr>
              <w:spacing w:after="0"/>
              <w:rPr>
                <w:sz w:val="14"/>
                <w:szCs w:val="14"/>
                <w:color w:val="auto"/>
              </w:rPr>
            </w:pPr>
          </w:p>
        </w:tc>
      </w:tr>
      <w:tr>
        <w:trPr>
          <w:trHeight w:val="336"/>
        </w:trPr>
        <w:tc>
          <w:tcPr>
            <w:tcW w:w="456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1040" w:type="dxa"/>
            <w:vAlign w:val="bottom"/>
          </w:tcPr>
          <w:p>
            <w:pPr>
              <w:spacing w:after="0"/>
              <w:rPr>
                <w:sz w:val="24"/>
                <w:szCs w:val="24"/>
                <w:color w:val="auto"/>
              </w:rPr>
            </w:pPr>
          </w:p>
        </w:tc>
      </w:tr>
      <w:tr>
        <w:trPr>
          <w:trHeight w:val="168"/>
        </w:trPr>
        <w:tc>
          <w:tcPr>
            <w:tcW w:w="456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040" w:type="dxa"/>
            <w:vAlign w:val="bottom"/>
          </w:tcPr>
          <w:p>
            <w:pPr>
              <w:spacing w:after="0"/>
              <w:rPr>
                <w:sz w:val="14"/>
                <w:szCs w:val="14"/>
                <w:color w:val="auto"/>
              </w:rPr>
            </w:pPr>
          </w:p>
        </w:tc>
      </w:tr>
      <w:tr>
        <w:trPr>
          <w:trHeight w:val="673"/>
        </w:trPr>
        <w:tc>
          <w:tcPr>
            <w:tcW w:w="4560" w:type="dxa"/>
            <w:vAlign w:val="bottom"/>
          </w:tcPr>
          <w:p>
            <w:pPr>
              <w:ind w:left="1500"/>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166,238</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280,651</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2,829,550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trade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2,498,766</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Bid deposits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11,419</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149,974</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1400"/>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5,936,598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 and land improvements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18,767,429</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Quarry rights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 and building improvements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2,729,491</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Office equipment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726,776</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Autos and trucks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10,114,121</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Equipment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22,081,893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Containers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3,862,190</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58,656,900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39,163,607</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1400"/>
              <w:spacing w:after="0"/>
              <w:rPr>
                <w:sz w:val="20"/>
                <w:szCs w:val="20"/>
                <w:color w:val="auto"/>
              </w:rPr>
            </w:pPr>
            <w:r>
              <w:rPr>
                <w:rFonts w:ascii="Courier New" w:cs="Courier New" w:eastAsia="Courier New" w:hAnsi="Courier New"/>
                <w:sz w:val="15"/>
                <w:szCs w:val="15"/>
                <w:color w:val="auto"/>
              </w:rPr>
              <w:t>Property and equipment, net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19,493,293</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New routes, less accumulated amortization</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$495,400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669,370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receivable, related parties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30,183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surrender value, officers' life</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insurance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1,801,281</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1,167,850</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other assets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3,668,684</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$29,098,575</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64</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tbl>
      <w:tblPr>
        <w:tblLayout w:type="fixed"/>
        <w:tblInd w:w="0" w:type="dxa"/>
        <w:tblCellMar>
          <w:top w:w="0" w:type="dxa"/>
          <w:left w:w="0" w:type="dxa"/>
          <w:bottom w:w="0" w:type="dxa"/>
          <w:right w:w="0" w:type="dxa"/>
        </w:tblCellMar>
      </w:tblPr>
      <w:tr>
        <w:trPr>
          <w:trHeight w:val="169"/>
        </w:trPr>
        <w:tc>
          <w:tcPr>
            <w:tcW w:w="456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AND RELATED COMPANIES</w:t>
            </w:r>
          </w:p>
        </w:tc>
        <w:tc>
          <w:tcPr>
            <w:tcW w:w="1040" w:type="dxa"/>
            <w:vAlign w:val="bottom"/>
          </w:tcPr>
          <w:p>
            <w:pPr>
              <w:spacing w:after="0"/>
              <w:rPr>
                <w:sz w:val="14"/>
                <w:szCs w:val="14"/>
                <w:color w:val="auto"/>
              </w:rPr>
            </w:pPr>
          </w:p>
        </w:tc>
      </w:tr>
      <w:tr>
        <w:trPr>
          <w:trHeight w:val="336"/>
        </w:trPr>
        <w:tc>
          <w:tcPr>
            <w:tcW w:w="456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1040" w:type="dxa"/>
            <w:vAlign w:val="bottom"/>
          </w:tcPr>
          <w:p>
            <w:pPr>
              <w:spacing w:after="0"/>
              <w:rPr>
                <w:sz w:val="24"/>
                <w:szCs w:val="24"/>
                <w:color w:val="auto"/>
              </w:rPr>
            </w:pPr>
          </w:p>
        </w:tc>
      </w:tr>
      <w:tr>
        <w:trPr>
          <w:trHeight w:val="168"/>
        </w:trPr>
        <w:tc>
          <w:tcPr>
            <w:tcW w:w="456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04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1040" w:type="dxa"/>
            <w:vAlign w:val="bottom"/>
          </w:tcPr>
          <w:p>
            <w:pPr>
              <w:spacing w:after="0"/>
              <w:rPr>
                <w:sz w:val="24"/>
                <w:szCs w:val="24"/>
                <w:color w:val="auto"/>
              </w:rPr>
            </w:pPr>
          </w:p>
        </w:tc>
      </w:tr>
      <w:tr>
        <w:trPr>
          <w:trHeight w:val="505"/>
        </w:trPr>
        <w:tc>
          <w:tcPr>
            <w:tcW w:w="4560" w:type="dxa"/>
            <w:vAlign w:val="bottom"/>
          </w:tcPr>
          <w:p>
            <w:pPr>
              <w:ind w:left="620"/>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 payable, bank</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250,000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3,228,763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1,825,953</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profit sharing</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interest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16,497</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Payroll taxes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293,660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Landfill fees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355,330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Unearned revenue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597,575</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6,667,778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payable, less current maturities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10,891,692</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Landfill taxes payable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356,292</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589,447</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long-term liabilities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11,837,431</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Landfill closure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2,048,247</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payable, stockholders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1,303,261</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3,351,508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24"/>
                <w:szCs w:val="2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par value $100 per share;</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 20,000 shares; issued and</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outstanding 2,000 shares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par value $1 per share;</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 10,000 shares; issued and</w:t>
            </w:r>
          </w:p>
        </w:tc>
        <w:tc>
          <w:tcPr>
            <w:tcW w:w="10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outstanding 8,400 shares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8,400</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3,901,272</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3,132,186</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stockholders' equity</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7,241,858</w:t>
            </w:r>
          </w:p>
        </w:tc>
      </w:tr>
      <w:tr>
        <w:trPr>
          <w:trHeight w:val="168"/>
        </w:trPr>
        <w:tc>
          <w:tcPr>
            <w:tcW w:w="4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w:t>
            </w:r>
          </w:p>
        </w:tc>
        <w:tc>
          <w:tcPr>
            <w:tcW w:w="1040" w:type="dxa"/>
            <w:vAlign w:val="bottom"/>
          </w:tcPr>
          <w:p>
            <w:pPr>
              <w:spacing w:after="0"/>
              <w:rPr>
                <w:sz w:val="24"/>
                <w:szCs w:val="2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$29,098,575</w:t>
            </w:r>
          </w:p>
        </w:tc>
      </w:tr>
    </w:tbl>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65</w:t>
      </w: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3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7"/>
              </w:rPr>
              <w:t>GRAND CENTRAL SANITATION, INC.</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AND RELATED COMPANIES</w:t>
            </w:r>
          </w:p>
        </w:tc>
      </w:tr>
      <w:tr>
        <w:trPr>
          <w:trHeight w:val="336"/>
        </w:trPr>
        <w:tc>
          <w:tcPr>
            <w:tcW w:w="2160" w:type="dxa"/>
            <w:vAlign w:val="bottom"/>
          </w:tcPr>
          <w:p>
            <w:pPr>
              <w:spacing w:after="0"/>
              <w:rPr>
                <w:sz w:val="24"/>
                <w:szCs w:val="24"/>
                <w:color w:val="auto"/>
              </w:rPr>
            </w:pPr>
          </w:p>
        </w:tc>
        <w:tc>
          <w:tcPr>
            <w:tcW w:w="35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COMBINED STATEMENT OF INCOME</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Year Ended December 31, 1995</w:t>
            </w:r>
          </w:p>
        </w:tc>
      </w:tr>
      <w:tr>
        <w:trPr>
          <w:trHeight w:val="6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Refuse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$ 32,933,990</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Real estate rentals</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88,314</w:t>
            </w:r>
          </w:p>
        </w:tc>
      </w:tr>
      <w:tr>
        <w:trPr>
          <w:trHeight w:val="336"/>
        </w:trPr>
        <w:tc>
          <w:tcPr>
            <w:tcW w:w="2160" w:type="dxa"/>
            <w:vAlign w:val="bottom"/>
          </w:tcPr>
          <w:p>
            <w:pPr>
              <w:spacing w:after="0"/>
              <w:rPr>
                <w:sz w:val="24"/>
                <w:szCs w:val="24"/>
                <w:color w:val="auto"/>
              </w:rPr>
            </w:pPr>
          </w:p>
        </w:tc>
        <w:tc>
          <w:tcPr>
            <w:tcW w:w="3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33,022,304</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25,988,080</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3,853,230</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4"/>
                <w:szCs w:val="24"/>
                <w:color w:val="auto"/>
              </w:rPr>
            </w:pPr>
          </w:p>
        </w:tc>
        <w:tc>
          <w:tcPr>
            <w:tcW w:w="3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29,841,310</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ind w:left="700"/>
              <w:spacing w:after="0"/>
              <w:rPr>
                <w:sz w:val="20"/>
                <w:szCs w:val="20"/>
                <w:color w:val="auto"/>
              </w:rPr>
            </w:pPr>
            <w:r>
              <w:rPr>
                <w:rFonts w:ascii="Courier New" w:cs="Courier New" w:eastAsia="Courier New" w:hAnsi="Courier New"/>
                <w:sz w:val="15"/>
                <w:szCs w:val="15"/>
                <w:color w:val="auto"/>
              </w:rPr>
              <w:t>Operating</w:t>
            </w:r>
          </w:p>
        </w:tc>
        <w:tc>
          <w:tcPr>
            <w:tcW w:w="3540" w:type="dxa"/>
            <w:vAlign w:val="bottom"/>
          </w:tcPr>
          <w:p>
            <w:pPr>
              <w:spacing w:after="0"/>
              <w:rPr>
                <w:sz w:val="24"/>
                <w:szCs w:val="24"/>
                <w:color w:val="auto"/>
              </w:rPr>
            </w:pPr>
          </w:p>
        </w:tc>
      </w:tr>
      <w:tr>
        <w:trPr>
          <w:trHeight w:val="168"/>
        </w:trPr>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income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3,180,994</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(expenses):</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Portfolio income</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300,111</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Miscellaneous sales</w:t>
            </w:r>
          </w:p>
        </w:tc>
        <w:tc>
          <w:tcPr>
            <w:tcW w:w="3540" w:type="dxa"/>
            <w:vAlign w:val="bottom"/>
          </w:tcPr>
          <w:p>
            <w:pPr>
              <w:spacing w:after="0"/>
              <w:rPr>
                <w:sz w:val="14"/>
                <w:szCs w:val="14"/>
                <w:color w:val="auto"/>
              </w:rPr>
            </w:pPr>
          </w:p>
        </w:tc>
      </w:tr>
      <w:tr>
        <w:trPr>
          <w:trHeight w:val="168"/>
        </w:trPr>
        <w:tc>
          <w:tcPr>
            <w:tcW w:w="2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and charges, net</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24,912</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(1,319,061)</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(994,038)</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ind w:left="700"/>
              <w:spacing w:after="0"/>
              <w:rPr>
                <w:sz w:val="20"/>
                <w:szCs w:val="20"/>
                <w:color w:val="auto"/>
              </w:rPr>
            </w:pPr>
            <w:r>
              <w:rPr>
                <w:rFonts w:ascii="Courier New" w:cs="Courier New" w:eastAsia="Courier New" w:hAnsi="Courier New"/>
                <w:sz w:val="15"/>
                <w:szCs w:val="15"/>
                <w:color w:val="auto"/>
              </w:rPr>
              <w:t>Income before</w:t>
            </w:r>
          </w:p>
        </w:tc>
        <w:tc>
          <w:tcPr>
            <w:tcW w:w="3540" w:type="dxa"/>
            <w:vAlign w:val="bottom"/>
          </w:tcPr>
          <w:p>
            <w:pPr>
              <w:spacing w:after="0"/>
              <w:rPr>
                <w:sz w:val="24"/>
                <w:szCs w:val="24"/>
                <w:color w:val="auto"/>
              </w:rPr>
            </w:pPr>
          </w:p>
        </w:tc>
      </w:tr>
      <w:tr>
        <w:trPr>
          <w:trHeight w:val="168"/>
        </w:trPr>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income taxes</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2,186,956</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Federal and state income</w:t>
            </w:r>
          </w:p>
        </w:tc>
        <w:tc>
          <w:tcPr>
            <w:tcW w:w="354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w:t>
            </w: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895,760</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3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1,291,196</w:t>
            </w:r>
          </w:p>
        </w:tc>
      </w:tr>
      <w:tr>
        <w:trPr>
          <w:trHeight w:val="168"/>
        </w:trPr>
        <w:tc>
          <w:tcPr>
            <w:tcW w:w="2160" w:type="dxa"/>
            <w:vAlign w:val="bottom"/>
          </w:tcPr>
          <w:p>
            <w:pPr>
              <w:spacing w:after="0"/>
              <w:rPr>
                <w:sz w:val="14"/>
                <w:szCs w:val="14"/>
                <w:color w:val="auto"/>
              </w:rPr>
            </w:pPr>
          </w:p>
        </w:tc>
        <w:tc>
          <w:tcPr>
            <w:tcW w:w="3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66</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 OF STOCKHOLDERS' EQUITY</w:t>
      </w:r>
    </w:p>
    <w:p>
      <w:pPr>
        <w:jc w:val="center"/>
        <w:ind w:right="3219"/>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Preferred Stock</w:t>
            </w:r>
          </w:p>
        </w:tc>
        <w:tc>
          <w:tcPr>
            <w:tcW w:w="21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12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Paid-In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January 1, 1995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$3,901,272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$3,888,749</w:t>
            </w:r>
          </w:p>
        </w:tc>
      </w:tr>
      <w:tr>
        <w:trPr>
          <w:trHeight w:val="336"/>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1,291,196</w:t>
            </w:r>
          </w:p>
        </w:tc>
      </w:tr>
      <w:tr>
        <w:trPr>
          <w:trHeight w:val="336"/>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Dividends paid</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(28,067)</w:t>
            </w:r>
          </w:p>
        </w:tc>
      </w:tr>
      <w:tr>
        <w:trPr>
          <w:trHeight w:val="336"/>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Distribution to</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stockholders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(2,019,692)</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1995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$3,901,272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$3,132,186</w:t>
            </w: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67</w:t>
      </w:r>
    </w:p>
    <w:tbl>
      <w:tblPr>
        <w:tblLayout w:type="fixed"/>
        <w:tblInd w:w="0" w:type="dxa"/>
        <w:tblCellMar>
          <w:top w:w="0" w:type="dxa"/>
          <w:left w:w="0" w:type="dxa"/>
          <w:bottom w:w="0" w:type="dxa"/>
          <w:right w:w="0" w:type="dxa"/>
        </w:tblCellMar>
      </w:tblPr>
      <w:tr>
        <w:trPr>
          <w:trHeight w:val="168"/>
        </w:trPr>
        <w:tc>
          <w:tcPr>
            <w:tcW w:w="586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GRAND CENTRAL SANITATION, INC.</w:t>
            </w:r>
          </w:p>
        </w:tc>
        <w:tc>
          <w:tcPr>
            <w:tcW w:w="1580" w:type="dxa"/>
            <w:vAlign w:val="bottom"/>
          </w:tcPr>
          <w:p>
            <w:pPr>
              <w:spacing w:after="0"/>
              <w:rPr>
                <w:sz w:val="14"/>
                <w:szCs w:val="14"/>
                <w:color w:val="auto"/>
              </w:rPr>
            </w:pPr>
          </w:p>
        </w:tc>
      </w:tr>
      <w:tr>
        <w:trPr>
          <w:trHeight w:val="168"/>
        </w:trPr>
        <w:tc>
          <w:tcPr>
            <w:tcW w:w="586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AND RELATED COMPANIES</w:t>
            </w:r>
          </w:p>
        </w:tc>
        <w:tc>
          <w:tcPr>
            <w:tcW w:w="1580" w:type="dxa"/>
            <w:vAlign w:val="bottom"/>
          </w:tcPr>
          <w:p>
            <w:pPr>
              <w:spacing w:after="0"/>
              <w:rPr>
                <w:sz w:val="14"/>
                <w:szCs w:val="14"/>
                <w:color w:val="auto"/>
              </w:rPr>
            </w:pPr>
          </w:p>
        </w:tc>
      </w:tr>
      <w:tr>
        <w:trPr>
          <w:trHeight w:val="336"/>
        </w:trPr>
        <w:tc>
          <w:tcPr>
            <w:tcW w:w="5860" w:type="dxa"/>
            <w:vAlign w:val="bottom"/>
          </w:tcPr>
          <w:p>
            <w:pPr>
              <w:ind w:left="2460"/>
              <w:spacing w:after="0"/>
              <w:rPr>
                <w:sz w:val="20"/>
                <w:szCs w:val="20"/>
                <w:color w:val="auto"/>
              </w:rPr>
            </w:pPr>
            <w:r>
              <w:rPr>
                <w:rFonts w:ascii="Courier New" w:cs="Courier New" w:eastAsia="Courier New" w:hAnsi="Courier New"/>
                <w:sz w:val="15"/>
                <w:szCs w:val="15"/>
                <w:color w:val="auto"/>
              </w:rPr>
              <w:t>STATEMENT OF CASH FLOWS</w:t>
            </w:r>
          </w:p>
        </w:tc>
        <w:tc>
          <w:tcPr>
            <w:tcW w:w="1580" w:type="dxa"/>
            <w:vAlign w:val="bottom"/>
          </w:tcPr>
          <w:p>
            <w:pPr>
              <w:spacing w:after="0"/>
              <w:rPr>
                <w:sz w:val="24"/>
                <w:szCs w:val="24"/>
                <w:color w:val="auto"/>
              </w:rPr>
            </w:pPr>
          </w:p>
        </w:tc>
      </w:tr>
      <w:tr>
        <w:trPr>
          <w:trHeight w:val="168"/>
        </w:trPr>
        <w:tc>
          <w:tcPr>
            <w:tcW w:w="586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Year Ended December 31, 1995</w:t>
            </w:r>
          </w:p>
        </w:tc>
        <w:tc>
          <w:tcPr>
            <w:tcW w:w="1580" w:type="dxa"/>
            <w:vAlign w:val="bottom"/>
          </w:tcPr>
          <w:p>
            <w:pPr>
              <w:spacing w:after="0"/>
              <w:rPr>
                <w:sz w:val="14"/>
                <w:szCs w:val="14"/>
                <w:color w:val="auto"/>
              </w:rPr>
            </w:pPr>
          </w:p>
        </w:tc>
      </w:tr>
      <w:tr>
        <w:trPr>
          <w:trHeight w:val="6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8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$ 1,291,196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580" w:type="dxa"/>
            <w:vAlign w:val="bottom"/>
          </w:tcPr>
          <w:p>
            <w:pPr>
              <w:spacing w:after="0"/>
              <w:rPr>
                <w:sz w:val="14"/>
                <w:szCs w:val="1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580" w:type="dxa"/>
            <w:vAlign w:val="bottom"/>
          </w:tcPr>
          <w:p>
            <w:pPr>
              <w:spacing w:after="0"/>
              <w:rPr>
                <w:sz w:val="14"/>
                <w:szCs w:val="14"/>
                <w:color w:val="auto"/>
              </w:rPr>
            </w:pP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4,561,243</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Gain on sale of equipment and securities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(106,682)</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429,219</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Noncash expenses offsetting loans payable,</w:t>
            </w:r>
          </w:p>
        </w:tc>
        <w:tc>
          <w:tcPr>
            <w:tcW w:w="1580" w:type="dxa"/>
            <w:vAlign w:val="bottom"/>
          </w:tcPr>
          <w:p>
            <w:pPr>
              <w:spacing w:after="0"/>
              <w:rPr>
                <w:sz w:val="14"/>
                <w:szCs w:val="14"/>
                <w:color w:val="auto"/>
              </w:rPr>
            </w:pP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stockholders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111,081</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Increase in closure accrual</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286,734</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Corporate tax estimate</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895,760</w:t>
            </w: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580" w:type="dxa"/>
            <w:vAlign w:val="bottom"/>
          </w:tcPr>
          <w:p>
            <w:pPr>
              <w:spacing w:after="0"/>
              <w:rPr>
                <w:sz w:val="14"/>
                <w:szCs w:val="14"/>
                <w:color w:val="auto"/>
              </w:rPr>
            </w:pP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trading securities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(1,256,049)</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accounts receivable, trade</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70,793</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bid deposits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prepaid expenses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(5,110)</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prepaid federal and state taxes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3,526</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loans receivable, related parties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(Decrease) in accounts payable, trade</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(184,669)</w:t>
            </w:r>
          </w:p>
        </w:tc>
      </w:tr>
      <w:tr>
        <w:trPr>
          <w:trHeight w:val="168"/>
        </w:trPr>
        <w:tc>
          <w:tcPr>
            <w:tcW w:w="58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other liabilities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490,401</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6,587,580</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58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equipment and securities, net</w:t>
            </w:r>
          </w:p>
        </w:tc>
        <w:tc>
          <w:tcPr>
            <w:tcW w:w="1580" w:type="dxa"/>
            <w:vAlign w:val="bottom"/>
          </w:tcPr>
          <w:p>
            <w:pPr>
              <w:spacing w:after="0"/>
              <w:rPr>
                <w:sz w:val="14"/>
                <w:szCs w:val="14"/>
                <w:color w:val="auto"/>
              </w:rPr>
            </w:pPr>
          </w:p>
        </w:tc>
      </w:tr>
      <w:tr>
        <w:trPr>
          <w:trHeight w:val="168"/>
        </w:trPr>
        <w:tc>
          <w:tcPr>
            <w:tcW w:w="5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reinvested purchases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191,760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(5,339,521)</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Purchases of new routes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(246,500)</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(5,394,261)</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58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 on note payable, bank</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(750,000)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4,719,790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(2,921,749)</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on stockholder loans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(467,232)</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Distribution of earnings to stockholders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(2,951,897)</w:t>
            </w:r>
          </w:p>
        </w:tc>
      </w:tr>
      <w:tr>
        <w:trPr>
          <w:trHeight w:val="168"/>
        </w:trPr>
        <w:tc>
          <w:tcPr>
            <w:tcW w:w="58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(2,371,088)</w:t>
            </w:r>
          </w:p>
        </w:tc>
      </w:tr>
    </w:tbl>
    <w:p>
      <w:pPr>
        <w:ind w:left="64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68</w:t>
      </w:r>
    </w:p>
    <w:tbl>
      <w:tblPr>
        <w:tblLayout w:type="fixed"/>
        <w:tblInd w:w="0" w:type="dxa"/>
        <w:tblCellMar>
          <w:top w:w="0" w:type="dxa"/>
          <w:left w:w="0" w:type="dxa"/>
          <w:bottom w:w="0" w:type="dxa"/>
          <w:right w:w="0" w:type="dxa"/>
        </w:tblCellMar>
      </w:tblPr>
      <w:tr>
        <w:trPr>
          <w:trHeight w:val="168"/>
        </w:trPr>
        <w:tc>
          <w:tcPr>
            <w:tcW w:w="51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GRAND CENTRAL SANITATION, INC.</w:t>
            </w:r>
          </w:p>
        </w:tc>
        <w:tc>
          <w:tcPr>
            <w:tcW w:w="1280" w:type="dxa"/>
            <w:vAlign w:val="bottom"/>
          </w:tcPr>
          <w:p>
            <w:pPr>
              <w:spacing w:after="0"/>
              <w:rPr>
                <w:sz w:val="14"/>
                <w:szCs w:val="14"/>
                <w:color w:val="auto"/>
              </w:rPr>
            </w:pPr>
          </w:p>
        </w:tc>
      </w:tr>
      <w:tr>
        <w:trPr>
          <w:trHeight w:val="168"/>
        </w:trPr>
        <w:tc>
          <w:tcPr>
            <w:tcW w:w="512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AND RELATED COMPANIES</w:t>
            </w:r>
          </w:p>
        </w:tc>
        <w:tc>
          <w:tcPr>
            <w:tcW w:w="1280" w:type="dxa"/>
            <w:vAlign w:val="bottom"/>
          </w:tcPr>
          <w:p>
            <w:pPr>
              <w:spacing w:after="0"/>
              <w:rPr>
                <w:sz w:val="14"/>
                <w:szCs w:val="14"/>
                <w:color w:val="auto"/>
              </w:rPr>
            </w:pPr>
          </w:p>
        </w:tc>
      </w:tr>
      <w:tr>
        <w:trPr>
          <w:trHeight w:val="336"/>
        </w:trPr>
        <w:tc>
          <w:tcPr>
            <w:tcW w:w="5120" w:type="dxa"/>
            <w:vAlign w:val="bottom"/>
          </w:tcPr>
          <w:p>
            <w:pPr>
              <w:ind w:left="2460"/>
              <w:spacing w:after="0"/>
              <w:rPr>
                <w:sz w:val="20"/>
                <w:szCs w:val="20"/>
                <w:color w:val="auto"/>
              </w:rPr>
            </w:pPr>
            <w:r>
              <w:rPr>
                <w:rFonts w:ascii="Courier New" w:cs="Courier New" w:eastAsia="Courier New" w:hAnsi="Courier New"/>
                <w:sz w:val="15"/>
                <w:szCs w:val="15"/>
                <w:color w:val="auto"/>
              </w:rPr>
              <w:t>STATEMENT OF CASH FLOWS</w:t>
            </w:r>
          </w:p>
        </w:tc>
        <w:tc>
          <w:tcPr>
            <w:tcW w:w="1280" w:type="dxa"/>
            <w:vAlign w:val="bottom"/>
          </w:tcPr>
          <w:p>
            <w:pPr>
              <w:spacing w:after="0"/>
              <w:rPr>
                <w:sz w:val="24"/>
                <w:szCs w:val="24"/>
                <w:color w:val="auto"/>
              </w:rPr>
            </w:pPr>
          </w:p>
        </w:tc>
      </w:tr>
      <w:tr>
        <w:trPr>
          <w:trHeight w:val="168"/>
        </w:trPr>
        <w:tc>
          <w:tcPr>
            <w:tcW w:w="512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Year Ended December 31, 1995</w:t>
            </w:r>
          </w:p>
        </w:tc>
        <w:tc>
          <w:tcPr>
            <w:tcW w:w="1280" w:type="dxa"/>
            <w:vAlign w:val="bottom"/>
          </w:tcPr>
          <w:p>
            <w:pPr>
              <w:spacing w:after="0"/>
              <w:rPr>
                <w:sz w:val="14"/>
                <w:szCs w:val="14"/>
                <w:color w:val="auto"/>
              </w:rPr>
            </w:pPr>
          </w:p>
        </w:tc>
      </w:tr>
      <w:tr>
        <w:trPr>
          <w:trHeight w:val="673"/>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Net decrease in cash</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(1,177,769)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280" w:type="dxa"/>
            <w:vAlign w:val="bottom"/>
          </w:tcPr>
          <w:p>
            <w:pPr>
              <w:spacing w:after="0"/>
              <w:rPr>
                <w:sz w:val="24"/>
                <w:szCs w:val="2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1,344,007</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Ending</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166,238</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280" w:type="dxa"/>
            <w:vAlign w:val="bottom"/>
          </w:tcPr>
          <w:p>
            <w:pPr>
              <w:spacing w:after="0"/>
              <w:rPr>
                <w:sz w:val="24"/>
                <w:szCs w:val="24"/>
                <w:color w:val="auto"/>
              </w:rPr>
            </w:pPr>
          </w:p>
        </w:tc>
      </w:tr>
      <w:tr>
        <w:trPr>
          <w:trHeight w:val="336"/>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Cash payments for:</w:t>
            </w:r>
          </w:p>
        </w:tc>
        <w:tc>
          <w:tcPr>
            <w:tcW w:w="1280" w:type="dxa"/>
            <w:vAlign w:val="bottom"/>
          </w:tcPr>
          <w:p>
            <w:pPr>
              <w:spacing w:after="0"/>
              <w:rPr>
                <w:sz w:val="24"/>
                <w:szCs w:val="24"/>
                <w:color w:val="auto"/>
              </w:rPr>
            </w:pP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$1,319,061</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FINANCING</w:t>
            </w:r>
          </w:p>
        </w:tc>
        <w:tc>
          <w:tcPr>
            <w:tcW w:w="1280" w:type="dxa"/>
            <w:vAlign w:val="bottom"/>
          </w:tcPr>
          <w:p>
            <w:pPr>
              <w:spacing w:after="0"/>
              <w:rPr>
                <w:sz w:val="24"/>
                <w:szCs w:val="2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ACTIVITIES</w:t>
            </w:r>
          </w:p>
        </w:tc>
        <w:tc>
          <w:tcPr>
            <w:tcW w:w="1280" w:type="dxa"/>
            <w:vAlign w:val="bottom"/>
          </w:tcPr>
          <w:p>
            <w:pPr>
              <w:spacing w:after="0"/>
              <w:rPr>
                <w:sz w:val="14"/>
                <w:szCs w:val="14"/>
                <w:color w:val="auto"/>
              </w:rPr>
            </w:pP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Long-term debt incurred to refinance other</w:t>
            </w:r>
          </w:p>
        </w:tc>
        <w:tc>
          <w:tcPr>
            <w:tcW w:w="1280" w:type="dxa"/>
            <w:vAlign w:val="bottom"/>
          </w:tcPr>
          <w:p>
            <w:pPr>
              <w:spacing w:after="0"/>
              <w:rPr>
                <w:sz w:val="24"/>
                <w:szCs w:val="24"/>
                <w:color w:val="auto"/>
              </w:rPr>
            </w:pPr>
          </w:p>
        </w:tc>
      </w:tr>
      <w:tr>
        <w:trPr>
          <w:trHeight w:val="168"/>
        </w:trPr>
        <w:tc>
          <w:tcPr>
            <w:tcW w:w="51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long-term debt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$5,035,441</w:t>
            </w:r>
          </w:p>
        </w:tc>
      </w:tr>
      <w:tr>
        <w:trPr>
          <w:trHeight w:val="168"/>
        </w:trPr>
        <w:tc>
          <w:tcPr>
            <w:tcW w:w="51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69</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Combined statements:</w:t>
      </w:r>
    </w:p>
    <w:p>
      <w:pPr>
        <w:spacing w:after="0" w:line="173"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The combined financial statements include the accounts of Grand Central Sanitation, Inc., Grand Central Sanitary Landfill, Inc., Grand Central Real Estate Company, Inc. and Pocono Independent Paperstock Company, Inc. The stockholders are the same for all of the companies.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left="1400" w:right="3319"/>
        <w:spacing w:after="0" w:line="236" w:lineRule="auto"/>
        <w:rPr>
          <w:sz w:val="20"/>
          <w:szCs w:val="20"/>
          <w:color w:val="auto"/>
        </w:rPr>
      </w:pPr>
      <w:r>
        <w:rPr>
          <w:rFonts w:ascii="Courier New" w:cs="Courier New" w:eastAsia="Courier New" w:hAnsi="Courier New"/>
          <w:sz w:val="15"/>
          <w:szCs w:val="15"/>
          <w:color w:val="auto"/>
        </w:rPr>
        <w:t>The companies' operations consist of collection and disposal of solid waste and recycling operations. The combined entities have a single landfill in eastern Pennsylvania and accepts trash predominantly from the Pennsylvania, New Jersey and New York markets.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1400" w:right="331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Trading securities:</w:t>
      </w:r>
    </w:p>
    <w:p>
      <w:pPr>
        <w:spacing w:after="0" w:line="173" w:lineRule="exact"/>
        <w:rPr>
          <w:sz w:val="20"/>
          <w:szCs w:val="20"/>
          <w:color w:val="auto"/>
        </w:rPr>
      </w:pPr>
    </w:p>
    <w:p>
      <w:pPr>
        <w:ind w:left="1400" w:right="3319"/>
        <w:spacing w:after="0" w:line="237" w:lineRule="auto"/>
        <w:rPr>
          <w:sz w:val="20"/>
          <w:szCs w:val="20"/>
          <w:color w:val="auto"/>
        </w:rPr>
      </w:pPr>
      <w:r>
        <w:rPr>
          <w:rFonts w:ascii="Courier New" w:cs="Courier New" w:eastAsia="Courier New" w:hAnsi="Courier New"/>
          <w:sz w:val="15"/>
          <w:szCs w:val="15"/>
          <w:color w:val="auto"/>
        </w:rPr>
        <w:t>Investment securities classified as trading securities are those municipal bonds that the Company has over the history of its operations turned over frequently. Decisions to trade securities are based on various factors which include interest rate fluctuation and maturity length. Trading securities are to be carried at fair value. Unrealized gains or losses are to be reported as increases or decreases in income from operations. Fair values for trading securities are based on quoted market prices. As of December 31, 1995, the difference between market value and cost was immaterial for financial statement purposes and, accordingly, the investment securities for trading are carried at cost.</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Short-term investments:</w:t>
      </w:r>
    </w:p>
    <w:p>
      <w:pPr>
        <w:spacing w:after="0" w:line="173" w:lineRule="exact"/>
        <w:rPr>
          <w:sz w:val="20"/>
          <w:szCs w:val="20"/>
          <w:color w:val="auto"/>
        </w:rPr>
      </w:pPr>
    </w:p>
    <w:p>
      <w:pPr>
        <w:ind w:left="1400" w:right="3399"/>
        <w:spacing w:after="0" w:line="235" w:lineRule="auto"/>
        <w:rPr>
          <w:sz w:val="20"/>
          <w:szCs w:val="20"/>
          <w:color w:val="auto"/>
        </w:rPr>
      </w:pPr>
      <w:r>
        <w:rPr>
          <w:rFonts w:ascii="Courier New" w:cs="Courier New" w:eastAsia="Courier New" w:hAnsi="Courier New"/>
          <w:sz w:val="15"/>
          <w:szCs w:val="15"/>
          <w:color w:val="auto"/>
        </w:rPr>
        <w:t>All certificates of deposit with a maturity of three months or more are included in short-term investments. Short-term investments are stated at cost which approximates their market value as of December 31, 1995.</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70</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1400" w:right="3399"/>
        <w:spacing w:after="0" w:line="235" w:lineRule="auto"/>
        <w:rPr>
          <w:sz w:val="20"/>
          <w:szCs w:val="20"/>
          <w:color w:val="auto"/>
        </w:rPr>
      </w:pPr>
      <w:r>
        <w:rPr>
          <w:rFonts w:ascii="Courier New" w:cs="Courier New" w:eastAsia="Courier New" w:hAnsi="Courier New"/>
          <w:sz w:val="15"/>
          <w:szCs w:val="15"/>
          <w:color w:val="auto"/>
        </w:rPr>
        <w:t>Property and equipment are stated at cost. Depreciation on property and equipment is computed by various rates using straight-line and accelerated methods. The lives of the assets range as follows:</w:t>
      </w:r>
    </w:p>
    <w:p>
      <w:pPr>
        <w:spacing w:after="0" w:line="200" w:lineRule="exact"/>
        <w:rPr>
          <w:sz w:val="20"/>
          <w:szCs w:val="20"/>
          <w:color w:val="auto"/>
        </w:rPr>
      </w:pPr>
    </w:p>
    <w:p>
      <w:pPr>
        <w:spacing w:after="0" w:line="305"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2-17 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Quarry rights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Buildings and building improvements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5-31.5 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equipment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5-10 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Autos and trucks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Containers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200" w:lineRule="exact"/>
        <w:rPr>
          <w:sz w:val="20"/>
          <w:szCs w:val="20"/>
          <w:color w:val="auto"/>
        </w:rPr>
      </w:pPr>
    </w:p>
    <w:p>
      <w:pPr>
        <w:spacing w:after="0" w:line="30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New routes:</w:t>
      </w:r>
    </w:p>
    <w:p>
      <w:pPr>
        <w:spacing w:after="0" w:line="173" w:lineRule="exact"/>
        <w:rPr>
          <w:sz w:val="20"/>
          <w:szCs w:val="20"/>
          <w:color w:val="auto"/>
        </w:rPr>
      </w:pPr>
    </w:p>
    <w:p>
      <w:pPr>
        <w:ind w:left="1400" w:right="3499"/>
        <w:spacing w:after="0" w:line="235" w:lineRule="auto"/>
        <w:rPr>
          <w:sz w:val="20"/>
          <w:szCs w:val="20"/>
          <w:color w:val="auto"/>
        </w:rPr>
      </w:pPr>
      <w:r>
        <w:rPr>
          <w:rFonts w:ascii="Courier New" w:cs="Courier New" w:eastAsia="Courier New" w:hAnsi="Courier New"/>
          <w:sz w:val="15"/>
          <w:szCs w:val="15"/>
          <w:color w:val="auto"/>
        </w:rPr>
        <w:t>New routes are carried at cost less accumulated amortization and are being amortized over a period of five years using the straight-line method.</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Unearned revenue:</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Unearned revenue consists of billings for services to be</w:t>
      </w:r>
    </w:p>
    <w:p>
      <w:pPr>
        <w:ind w:left="1400"/>
        <w:spacing w:after="0" w:line="237" w:lineRule="auto"/>
        <w:rPr>
          <w:sz w:val="20"/>
          <w:szCs w:val="20"/>
          <w:color w:val="auto"/>
        </w:rPr>
      </w:pPr>
      <w:r>
        <w:rPr>
          <w:rFonts w:ascii="Courier New" w:cs="Courier New" w:eastAsia="Courier New" w:hAnsi="Courier New"/>
          <w:sz w:val="15"/>
          <w:szCs w:val="15"/>
          <w:color w:val="auto"/>
        </w:rPr>
        <w:t>rendered in future periods.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Landfill Tax Escrow\Landfill Taxes Payable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 March, 1994, the Company agreed to settle a tax dispute with</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Plainfield Township. The settlement required the Company to pay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balance of the escrow account and requires ten equal annual</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installments of $62,000 with payments commencing prior to December,</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1994. The Company will be entitled to credits in the aggregate of</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$10,000 per year for amounts equal to the market value of product or</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services supplied to Plainfield Township. As of December 31, 1995,</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$356,292 discounted at 8% is owed to Plainfield Township.</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left="980" w:right="3579"/>
        <w:spacing w:after="0" w:line="235" w:lineRule="auto"/>
        <w:rPr>
          <w:sz w:val="20"/>
          <w:szCs w:val="20"/>
          <w:color w:val="auto"/>
        </w:rPr>
      </w:pPr>
      <w:r>
        <w:rPr>
          <w:rFonts w:ascii="Courier New" w:cs="Courier New" w:eastAsia="Courier New" w:hAnsi="Courier New"/>
          <w:sz w:val="15"/>
          <w:szCs w:val="15"/>
          <w:color w:val="auto"/>
        </w:rPr>
        <w:t>The stockholders of Grand Central Sanitation, Inc. and Related Companies are also the stockholders of Continental Interloc, Inc. and Resource Consulting,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71</w:t>
      </w:r>
    </w:p>
    <w:p>
      <w:pPr>
        <w:ind w:left="22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73" w:lineRule="exact"/>
        <w:rPr>
          <w:sz w:val="20"/>
          <w:szCs w:val="20"/>
          <w:color w:val="auto"/>
        </w:rPr>
      </w:pPr>
    </w:p>
    <w:p>
      <w:pPr>
        <w:ind w:left="980" w:right="3399"/>
        <w:spacing w:after="0" w:line="234" w:lineRule="auto"/>
        <w:rPr>
          <w:sz w:val="20"/>
          <w:szCs w:val="20"/>
          <w:color w:val="auto"/>
        </w:rPr>
      </w:pPr>
      <w:r>
        <w:rPr>
          <w:rFonts w:ascii="Courier New" w:cs="Courier New" w:eastAsia="Courier New" w:hAnsi="Courier New"/>
          <w:sz w:val="15"/>
          <w:szCs w:val="15"/>
          <w:color w:val="auto"/>
        </w:rPr>
        <w:t>Loans receivable with these related parties as of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Continental Interloc, Inc.</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$26,557</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Resource Consulting, Inc.</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3,626</w:t>
            </w:r>
          </w:p>
        </w:tc>
      </w:tr>
    </w:tbl>
    <w:p>
      <w:pPr>
        <w:ind w:left="5080"/>
        <w:spacing w:after="0" w:line="237" w:lineRule="auto"/>
        <w:rPr>
          <w:sz w:val="20"/>
          <w:szCs w:val="20"/>
          <w:color w:val="auto"/>
        </w:rPr>
      </w:pPr>
      <w:r>
        <w:rPr>
          <w:rFonts w:ascii="Courier New" w:cs="Courier New" w:eastAsia="Courier New" w:hAnsi="Courier New"/>
          <w:sz w:val="15"/>
          <w:szCs w:val="15"/>
          <w:color w:val="auto"/>
        </w:rPr>
        <w:t>-------</w:t>
      </w:r>
    </w:p>
    <w:p>
      <w:pPr>
        <w:ind w:left="5080"/>
        <w:spacing w:after="0" w:line="238" w:lineRule="auto"/>
        <w:rPr>
          <w:sz w:val="20"/>
          <w:szCs w:val="20"/>
          <w:color w:val="auto"/>
        </w:rPr>
      </w:pPr>
      <w:r>
        <w:rPr>
          <w:rFonts w:ascii="Courier New" w:cs="Courier New" w:eastAsia="Courier New" w:hAnsi="Courier New"/>
          <w:sz w:val="15"/>
          <w:szCs w:val="15"/>
          <w:color w:val="auto"/>
        </w:rPr>
        <w:t>$30,183</w:t>
      </w:r>
    </w:p>
    <w:p>
      <w:pPr>
        <w:ind w:left="50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Company has loans payable, stockholders in the amount of</w:t>
      </w:r>
    </w:p>
    <w:p>
      <w:pPr>
        <w:spacing w:after="0" w:line="5" w:lineRule="exact"/>
        <w:rPr>
          <w:sz w:val="20"/>
          <w:szCs w:val="20"/>
          <w:color w:val="auto"/>
        </w:rPr>
      </w:pPr>
    </w:p>
    <w:p>
      <w:pPr>
        <w:ind w:left="980" w:right="3319"/>
        <w:spacing w:after="0" w:line="235" w:lineRule="auto"/>
        <w:rPr>
          <w:sz w:val="20"/>
          <w:szCs w:val="20"/>
          <w:color w:val="auto"/>
        </w:rPr>
      </w:pPr>
      <w:r>
        <w:rPr>
          <w:rFonts w:ascii="Courier New" w:cs="Courier New" w:eastAsia="Courier New" w:hAnsi="Courier New"/>
          <w:sz w:val="15"/>
          <w:szCs w:val="15"/>
          <w:color w:val="auto"/>
        </w:rPr>
        <w:t>$1,303,261 as of December 31, 1995, respectively. The loans due to the stockholders are noninterest bearing and have no fixed repayment terms.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Note Payable, Bank</w:t>
      </w:r>
    </w:p>
    <w:p>
      <w:pPr>
        <w:spacing w:after="0" w:line="173" w:lineRule="exact"/>
        <w:rPr>
          <w:sz w:val="20"/>
          <w:szCs w:val="20"/>
          <w:color w:val="auto"/>
        </w:rPr>
      </w:pPr>
    </w:p>
    <w:p>
      <w:pPr>
        <w:ind w:left="980" w:right="3319"/>
        <w:spacing w:after="0" w:line="255" w:lineRule="auto"/>
        <w:rPr>
          <w:sz w:val="20"/>
          <w:szCs w:val="20"/>
          <w:color w:val="auto"/>
        </w:rPr>
      </w:pPr>
      <w:r>
        <w:rPr>
          <w:rFonts w:ascii="Courier New" w:cs="Courier New" w:eastAsia="Courier New" w:hAnsi="Courier New"/>
          <w:sz w:val="14"/>
          <w:szCs w:val="14"/>
          <w:color w:val="auto"/>
        </w:rPr>
        <w:t>Grand Central Sanitation, Inc. has a $1,000,000 line of credit with a bank with interest payable monthly at the bank's National Commercial Rate. The note is collateralized by accounts receivable, machinery and equipment and is collateralized and cross defaulted with other Meridian Bank debt. Grand Central Sanitary Landfill, Inc. and Grand Central Real Estate Company, Inc. are sureties. The balance of the note is $250,000 as of December 31, 1995.</w:t>
      </w:r>
    </w:p>
    <w:p>
      <w:pPr>
        <w:spacing w:after="0" w:line="16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Long-Term Debt</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Long-term debt as of December 31, 1995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Summit Bank, real estate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loans:</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$1,375 per month</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2000.</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96,250</w:t>
            </w:r>
          </w:p>
        </w:tc>
      </w:tr>
      <w:tr>
        <w:trPr>
          <w:trHeight w:val="168"/>
        </w:trPr>
        <w:tc>
          <w:tcPr>
            <w:tcW w:w="3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$425 per month 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2000.</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30,175</w:t>
            </w:r>
          </w:p>
        </w:tc>
      </w:tr>
      <w:tr>
        <w:trPr>
          <w:trHeight w:val="168"/>
        </w:trPr>
        <w:tc>
          <w:tcPr>
            <w:tcW w:w="3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$467 per month 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2000.</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33,133</w:t>
            </w:r>
          </w:p>
        </w:tc>
      </w:tr>
      <w:tr>
        <w:trPr>
          <w:trHeight w:val="168"/>
        </w:trPr>
        <w:tc>
          <w:tcPr>
            <w:tcW w:w="3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$488 per month 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April, 1997.</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7,313</w:t>
            </w:r>
          </w:p>
        </w:tc>
      </w:tr>
      <w:tr>
        <w:trPr>
          <w:trHeight w:val="168"/>
        </w:trPr>
        <w:tc>
          <w:tcPr>
            <w:tcW w:w="1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$1,750 per month</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plus interest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at prime plus</w:t>
            </w:r>
          </w:p>
        </w:tc>
        <w:tc>
          <w:tcPr>
            <w:tcW w:w="1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 due</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March, 2003.</w:t>
            </w: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152,013</w:t>
            </w:r>
          </w:p>
        </w:tc>
      </w:tr>
      <w:tr>
        <w:trPr>
          <w:trHeight w:val="673"/>
        </w:trPr>
        <w:tc>
          <w:tcPr>
            <w:tcW w:w="1620" w:type="dxa"/>
            <w:vAlign w:val="bottom"/>
          </w:tcPr>
          <w:p>
            <w:pPr>
              <w:spacing w:after="0"/>
              <w:rPr>
                <w:sz w:val="24"/>
                <w:szCs w:val="24"/>
                <w:color w:val="auto"/>
              </w:rPr>
            </w:pPr>
          </w:p>
        </w:tc>
        <w:tc>
          <w:tcPr>
            <w:tcW w:w="1560" w:type="dxa"/>
            <w:vAlign w:val="bottom"/>
          </w:tcPr>
          <w:p>
            <w:pPr>
              <w:ind w:left="560"/>
              <w:spacing w:after="0"/>
              <w:rPr>
                <w:sz w:val="20"/>
                <w:szCs w:val="20"/>
                <w:color w:val="auto"/>
              </w:rPr>
            </w:pPr>
            <w:r>
              <w:rPr>
                <w:rFonts w:ascii="Courier New" w:cs="Courier New" w:eastAsia="Courier New" w:hAnsi="Courier New"/>
                <w:sz w:val="15"/>
                <w:szCs w:val="15"/>
                <w:color w:val="auto"/>
              </w:rPr>
              <w:t>71</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72</w:t>
      </w:r>
    </w:p>
    <w:p>
      <w:pPr>
        <w:ind w:left="1920"/>
        <w:spacing w:after="0" w:line="237" w:lineRule="auto"/>
        <w:rPr>
          <w:sz w:val="20"/>
          <w:szCs w:val="20"/>
          <w:color w:val="auto"/>
        </w:rPr>
      </w:pPr>
      <w:r>
        <w:rPr>
          <w:rFonts w:ascii="Courier New" w:cs="Courier New" w:eastAsia="Courier New" w:hAnsi="Courier New"/>
          <w:sz w:val="15"/>
          <w:szCs w:val="15"/>
          <w:color w:val="auto"/>
        </w:rPr>
        <w:t>GRAND CENTRAL SANITATION, INC.</w:t>
      </w:r>
    </w:p>
    <w:tbl>
      <w:tblPr>
        <w:tblLayout w:type="fixed"/>
        <w:tblInd w:w="700" w:type="dxa"/>
        <w:tblCellMar>
          <w:top w:w="0" w:type="dxa"/>
          <w:left w:w="0" w:type="dxa"/>
          <w:bottom w:w="0" w:type="dxa"/>
          <w:right w:w="0" w:type="dxa"/>
        </w:tblCellMar>
      </w:tblPr>
      <w:tr>
        <w:trPr>
          <w:trHeight w:val="169"/>
        </w:trPr>
        <w:tc>
          <w:tcPr>
            <w:tcW w:w="3660" w:type="dxa"/>
            <w:vAlign w:val="bottom"/>
          </w:tcPr>
          <w:p>
            <w:pPr>
              <w:ind w:left="1560"/>
              <w:spacing w:after="0" w:line="169" w:lineRule="exact"/>
              <w:rPr>
                <w:sz w:val="20"/>
                <w:szCs w:val="20"/>
                <w:color w:val="auto"/>
              </w:rPr>
            </w:pPr>
            <w:r>
              <w:rPr>
                <w:rFonts w:ascii="Courier New" w:cs="Courier New" w:eastAsia="Courier New" w:hAnsi="Courier New"/>
                <w:sz w:val="15"/>
                <w:szCs w:val="15"/>
                <w:color w:val="auto"/>
              </w:rPr>
              <w:t>AND RELATED COMPANIES</w:t>
            </w:r>
          </w:p>
        </w:tc>
        <w:tc>
          <w:tcPr>
            <w:tcW w:w="1060" w:type="dxa"/>
            <w:vAlign w:val="bottom"/>
          </w:tcPr>
          <w:p>
            <w:pPr>
              <w:spacing w:after="0"/>
              <w:rPr>
                <w:sz w:val="14"/>
                <w:szCs w:val="14"/>
                <w:color w:val="auto"/>
              </w:rPr>
            </w:pPr>
          </w:p>
        </w:tc>
      </w:tr>
      <w:tr>
        <w:trPr>
          <w:trHeight w:val="336"/>
        </w:trPr>
        <w:tc>
          <w:tcPr>
            <w:tcW w:w="472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NOTES TO COMBINED FINANCIAL STATEMENTS</w:t>
            </w:r>
          </w:p>
        </w:tc>
      </w:tr>
      <w:tr>
        <w:trPr>
          <w:trHeight w:val="673"/>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$708 per month plus interest</w:t>
            </w:r>
          </w:p>
        </w:tc>
        <w:tc>
          <w:tcPr>
            <w:tcW w:w="1060" w:type="dxa"/>
            <w:vAlign w:val="bottom"/>
          </w:tcPr>
          <w:p>
            <w:pPr>
              <w:spacing w:after="0"/>
              <w:rPr>
                <w:sz w:val="24"/>
                <w:szCs w:val="2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July, 1997.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13,459</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$833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July, 1997.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15,834</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$1,806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August, 2002.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144,445</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$2,583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August, 2002.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206,667</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$3,417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prime plus .75%, due</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May, 2003.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304,084</w:t>
            </w: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$2,000 per month plus interest</w:t>
            </w:r>
          </w:p>
        </w:tc>
        <w:tc>
          <w:tcPr>
            <w:tcW w:w="1060" w:type="dxa"/>
            <w:vAlign w:val="bottom"/>
          </w:tcPr>
          <w:p>
            <w:pPr>
              <w:spacing w:after="0"/>
              <w:rPr>
                <w:sz w:val="14"/>
                <w:szCs w:val="14"/>
                <w:color w:val="auto"/>
              </w:rPr>
            </w:pPr>
          </w:p>
        </w:tc>
      </w:tr>
      <w:tr>
        <w:trPr>
          <w:trHeight w:val="168"/>
        </w:trPr>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at 8.33%, due May, 2001.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130,000</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Individual:</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Route purchase loan, $6,818</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 month including interest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6.5%, due December, 1997.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147,053</w:t>
            </w:r>
          </w:p>
        </w:tc>
      </w:tr>
      <w:tr>
        <w:trPr>
          <w:trHeight w:val="336"/>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$2,478 per</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 6.25%,</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various equipment pledged</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as collateral due November,</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101,127</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Meridian Bank:</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loan, $48,273 per</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including interest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6.45%, various equipment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January, 1998.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1,447,711</w:t>
            </w:r>
          </w:p>
        </w:tc>
      </w:tr>
      <w:tr>
        <w:trPr>
          <w:trHeight w:val="336"/>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Real estate loan, $951 per</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.75%, land pledged as collateral,</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January, 2004.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92,222</w:t>
            </w:r>
          </w:p>
        </w:tc>
      </w:tr>
      <w:tr>
        <w:trPr>
          <w:trHeight w:val="336"/>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Real estate loan $353 per</w:t>
            </w:r>
          </w:p>
        </w:tc>
        <w:tc>
          <w:tcPr>
            <w:tcW w:w="1060" w:type="dxa"/>
            <w:vAlign w:val="bottom"/>
          </w:tcPr>
          <w:p>
            <w:pPr>
              <w:spacing w:after="0"/>
              <w:rPr>
                <w:sz w:val="24"/>
                <w:szCs w:val="2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.75%, land pledged as collateral,</w:t>
            </w:r>
          </w:p>
        </w:tc>
        <w:tc>
          <w:tcPr>
            <w:tcW w:w="1060" w:type="dxa"/>
            <w:vAlign w:val="bottom"/>
          </w:tcPr>
          <w:p>
            <w:pPr>
              <w:spacing w:after="0"/>
              <w:rPr>
                <w:sz w:val="14"/>
                <w:szCs w:val="14"/>
                <w:color w:val="auto"/>
              </w:rPr>
            </w:pPr>
          </w:p>
        </w:tc>
      </w:tr>
      <w:tr>
        <w:trPr>
          <w:trHeight w:val="168"/>
        </w:trPr>
        <w:tc>
          <w:tcPr>
            <w:tcW w:w="3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July, 1999.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15,232</w:t>
            </w:r>
          </w:p>
        </w:tc>
      </w:tr>
      <w:tr>
        <w:trPr>
          <w:trHeight w:val="673"/>
        </w:trPr>
        <w:tc>
          <w:tcPr>
            <w:tcW w:w="3660" w:type="dxa"/>
            <w:vAlign w:val="bottom"/>
          </w:tcPr>
          <w:p>
            <w:pPr>
              <w:ind w:left="2440"/>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spacing w:after="0"/>
              <w:rPr>
                <w:sz w:val="24"/>
                <w:szCs w:val="24"/>
                <w:color w:val="auto"/>
              </w:rPr>
            </w:pPr>
          </w:p>
        </w:tc>
      </w:tr>
    </w:tbl>
    <w:p>
      <w:pPr>
        <w:sectPr>
          <w:pgSz w:w="11900" w:h="16838" w:orient="portrait"/>
          <w:cols w:equalWidth="0" w:num="1">
            <w:col w:w="9959"/>
          </w:cols>
          <w:pgMar w:left="500" w:top="28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73</w:t>
      </w:r>
    </w:p>
    <w:p>
      <w:pPr>
        <w:ind w:left="192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26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Real estate loan, $1,250</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per month plus interest at</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.75%, land pledged as collateral,</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September, 2004.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131,250</w:t>
            </w:r>
          </w:p>
        </w:tc>
      </w:tr>
      <w:tr>
        <w:trPr>
          <w:trHeight w:val="33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Equipment loan, $2,083 per</w:t>
            </w:r>
          </w:p>
        </w:tc>
        <w:tc>
          <w:tcPr>
            <w:tcW w:w="1100" w:type="dxa"/>
            <w:vAlign w:val="bottom"/>
          </w:tcPr>
          <w:p>
            <w:pPr>
              <w:spacing w:after="0"/>
              <w:rPr>
                <w:sz w:val="24"/>
                <w:szCs w:val="2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 bank's</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rate plus.5%, various</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1100" w:type="dxa"/>
            <w:vAlign w:val="bottom"/>
          </w:tcPr>
          <w:p>
            <w:pPr>
              <w:spacing w:after="0"/>
              <w:rPr>
                <w:sz w:val="14"/>
                <w:szCs w:val="14"/>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December, 1996.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bl>
    <w:p>
      <w:pPr>
        <w:spacing w:after="0" w:line="16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Consolidating loan, $94,704 per</w:t>
      </w:r>
    </w:p>
    <w:p>
      <w:pPr>
        <w:ind w:left="960"/>
        <w:spacing w:after="0" w:line="237" w:lineRule="auto"/>
        <w:rPr>
          <w:sz w:val="20"/>
          <w:szCs w:val="20"/>
          <w:color w:val="auto"/>
        </w:rPr>
      </w:pPr>
      <w:r>
        <w:rPr>
          <w:rFonts w:ascii="Courier New" w:cs="Courier New" w:eastAsia="Courier New" w:hAnsi="Courier New"/>
          <w:sz w:val="15"/>
          <w:szCs w:val="15"/>
          <w:color w:val="auto"/>
        </w:rPr>
        <w:t>month plus interest at bank's</w:t>
      </w:r>
    </w:p>
    <w:p>
      <w:pPr>
        <w:ind w:left="960"/>
        <w:spacing w:after="0" w:line="238" w:lineRule="auto"/>
        <w:rPr>
          <w:sz w:val="20"/>
          <w:szCs w:val="20"/>
          <w:color w:val="auto"/>
        </w:rPr>
      </w:pPr>
      <w:r>
        <w:rPr>
          <w:rFonts w:ascii="Courier New" w:cs="Courier New" w:eastAsia="Courier New" w:hAnsi="Courier New"/>
          <w:sz w:val="15"/>
          <w:szCs w:val="15"/>
          <w:color w:val="auto"/>
        </w:rPr>
        <w:t>commercial rate plus .25%, land,</w:t>
      </w:r>
    </w:p>
    <w:p>
      <w:pPr>
        <w:ind w:left="960"/>
        <w:spacing w:after="0" w:line="237" w:lineRule="auto"/>
        <w:rPr>
          <w:sz w:val="20"/>
          <w:szCs w:val="20"/>
          <w:color w:val="auto"/>
        </w:rPr>
      </w:pPr>
      <w:r>
        <w:rPr>
          <w:rFonts w:ascii="Courier New" w:cs="Courier New" w:eastAsia="Courier New" w:hAnsi="Courier New"/>
          <w:sz w:val="15"/>
          <w:szCs w:val="15"/>
          <w:color w:val="auto"/>
        </w:rPr>
        <w:t>accounts receivable and equipment</w:t>
      </w:r>
    </w:p>
    <w:p>
      <w:pPr>
        <w:jc w:val="right"/>
        <w:ind w:right="4539"/>
        <w:spacing w:after="0"/>
        <w:tabs>
          <w:tab w:leader="none" w:pos="780" w:val="left"/>
        </w:tabs>
        <w:rPr>
          <w:sz w:val="20"/>
          <w:szCs w:val="20"/>
          <w:color w:val="auto"/>
        </w:rPr>
      </w:pPr>
      <w:r>
        <w:rPr>
          <w:rFonts w:ascii="Courier New" w:cs="Courier New" w:eastAsia="Courier New" w:hAnsi="Courier New"/>
          <w:sz w:val="15"/>
          <w:szCs w:val="15"/>
          <w:color w:val="auto"/>
        </w:rPr>
        <w:t>pledged as collateral, due April, 2000.</w:t>
      </w:r>
      <w:r>
        <w:rPr>
          <w:sz w:val="20"/>
          <w:szCs w:val="20"/>
          <w:color w:val="auto"/>
        </w:rPr>
        <w:tab/>
      </w:r>
      <w:r>
        <w:rPr>
          <w:rFonts w:ascii="Courier New" w:cs="Courier New" w:eastAsia="Courier New" w:hAnsi="Courier New"/>
          <w:sz w:val="14"/>
          <w:szCs w:val="14"/>
          <w:color w:val="auto"/>
        </w:rPr>
        <w:t>4,924,583</w:t>
      </w:r>
    </w:p>
    <w:p>
      <w:pPr>
        <w:spacing w:after="0" w:line="167"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Equipment loan, $17,817 per month</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various equipment pledged as</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June,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979,917</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Equipment loan, $1,667 per month</w:t>
            </w:r>
          </w:p>
        </w:tc>
        <w:tc>
          <w:tcPr>
            <w:tcW w:w="9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plus .5%, various equipment</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96,667</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Equipment loan, $846 per month</w:t>
            </w:r>
          </w:p>
        </w:tc>
        <w:tc>
          <w:tcPr>
            <w:tcW w:w="9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plus .75%, various equipment</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1999.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88,813</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Consolidating loan, $18,611 per</w:t>
            </w:r>
          </w:p>
        </w:tc>
        <w:tc>
          <w:tcPr>
            <w:tcW w:w="9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 bank's</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rate plus .75%, land,</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and equipment</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pledged as collateral, due June, 2003.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1,675,000</w:t>
            </w:r>
          </w:p>
        </w:tc>
      </w:tr>
      <w:tr>
        <w:trPr>
          <w:trHeight w:val="673"/>
        </w:trPr>
        <w:tc>
          <w:tcPr>
            <w:tcW w:w="3500" w:type="dxa"/>
            <w:vAlign w:val="bottom"/>
          </w:tcPr>
          <w:p>
            <w:pPr>
              <w:ind w:left="2180"/>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spacing w:after="0"/>
              <w:rPr>
                <w:sz w:val="24"/>
                <w:szCs w:val="24"/>
                <w:color w:val="auto"/>
              </w:rPr>
            </w:pPr>
          </w:p>
        </w:tc>
      </w:tr>
    </w:tbl>
    <w:p>
      <w:pPr>
        <w:sectPr>
          <w:pgSz w:w="11900" w:h="16838" w:orient="portrait"/>
          <w:cols w:equalWidth="0" w:num="1">
            <w:col w:w="9959"/>
          </w:cols>
          <w:pgMar w:left="500" w:top="281"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74</w:t>
      </w:r>
    </w:p>
    <w:p>
      <w:pPr>
        <w:ind w:left="192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26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$533 per month</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plus interest at 6.65%, various</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December, 1998.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18,667</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Real estate loan, $594 per</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plus interest at bank's</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commercial rate plus .75%, land</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 July, 2007.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82,628</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Consolidating loan, $41,667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plus interest at bank's commercial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rate plus .25%, various equipment and</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accounts receivable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April, 2000. Grand Central Sanitary</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Landfill, Inc. and Grand Central Real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Estate Company, Inc. are sureties of</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the loan.</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2,166,667</w:t>
            </w:r>
          </w:p>
        </w:tc>
      </w:tr>
      <w:tr>
        <w:trPr>
          <w:trHeight w:val="336"/>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Caterpillar Financial Services:</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loan, $3,967 per</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including interest at 8%,</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September,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153,802</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$4,992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including interest at 8%, equipment</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November,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200,842</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$5,503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including interest at 9%, equipment</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pledged as collateral, due</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December,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221,138</w:t>
            </w:r>
          </w:p>
        </w:tc>
      </w:tr>
      <w:tr>
        <w:trPr>
          <w:trHeight w:val="336"/>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Equipment loan, $1,787 per month</w:t>
            </w:r>
          </w:p>
        </w:tc>
        <w:tc>
          <w:tcPr>
            <w:tcW w:w="800" w:type="dxa"/>
            <w:vAlign w:val="bottom"/>
          </w:tcPr>
          <w:p>
            <w:pPr>
              <w:spacing w:after="0"/>
              <w:rPr>
                <w:sz w:val="24"/>
                <w:szCs w:val="2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including interest at 9.5%,</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equipment pledged as collateral,</w:t>
            </w:r>
          </w:p>
        </w:tc>
        <w:tc>
          <w:tcPr>
            <w:tcW w:w="800" w:type="dxa"/>
            <w:vAlign w:val="bottom"/>
          </w:tcPr>
          <w:p>
            <w:pPr>
              <w:spacing w:after="0"/>
              <w:rPr>
                <w:sz w:val="14"/>
                <w:szCs w:val="14"/>
                <w:color w:val="auto"/>
              </w:rPr>
            </w:pPr>
          </w:p>
        </w:tc>
      </w:tr>
      <w:tr>
        <w:trPr>
          <w:trHeight w:val="168"/>
        </w:trPr>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December, 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71,140</w:t>
            </w:r>
          </w:p>
        </w:tc>
      </w:tr>
      <w:tr>
        <w:trPr>
          <w:trHeight w:val="673"/>
        </w:trPr>
        <w:tc>
          <w:tcPr>
            <w:tcW w:w="3920" w:type="dxa"/>
            <w:vAlign w:val="bottom"/>
          </w:tcPr>
          <w:p>
            <w:pPr>
              <w:ind w:left="2440"/>
              <w:spacing w:after="0"/>
              <w:rPr>
                <w:sz w:val="20"/>
                <w:szCs w:val="20"/>
                <w:color w:val="auto"/>
              </w:rPr>
            </w:pPr>
            <w:r>
              <w:rPr>
                <w:rFonts w:ascii="Courier New" w:cs="Courier New" w:eastAsia="Courier New" w:hAnsi="Courier New"/>
                <w:sz w:val="15"/>
                <w:szCs w:val="15"/>
                <w:color w:val="auto"/>
              </w:rPr>
              <w:t>74</w:t>
            </w:r>
          </w:p>
        </w:tc>
        <w:tc>
          <w:tcPr>
            <w:tcW w:w="800" w:type="dxa"/>
            <w:vAlign w:val="bottom"/>
          </w:tcPr>
          <w:p>
            <w:pPr>
              <w:spacing w:after="0"/>
              <w:rPr>
                <w:sz w:val="24"/>
                <w:szCs w:val="24"/>
                <w:color w:val="auto"/>
              </w:rPr>
            </w:pPr>
          </w:p>
        </w:tc>
      </w:tr>
    </w:tbl>
    <w:p>
      <w:pPr>
        <w:sectPr>
          <w:pgSz w:w="11900" w:h="16838" w:orient="portrait"/>
          <w:cols w:equalWidth="0" w:num="1">
            <w:col w:w="9959"/>
          </w:cols>
          <w:pgMar w:left="50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75</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120" w:type="dxa"/>
            <w:vAlign w:val="bottom"/>
          </w:tcPr>
          <w:p>
            <w:pPr>
              <w:ind w:left="1320"/>
              <w:spacing w:after="0"/>
              <w:rPr>
                <w:sz w:val="20"/>
                <w:szCs w:val="20"/>
                <w:color w:val="auto"/>
              </w:rPr>
            </w:pPr>
            <w:r>
              <w:rPr>
                <w:rFonts w:ascii="Courier New" w:cs="Courier New" w:eastAsia="Courier New" w:hAnsi="Courier New"/>
                <w:sz w:val="15"/>
                <w:szCs w:val="15"/>
                <w:color w:val="auto"/>
              </w:rPr>
              <w:t>NOTES TO COMBINED FINANCIAL STATEMENTS</w:t>
            </w:r>
          </w:p>
        </w:tc>
        <w:tc>
          <w:tcPr>
            <w:tcW w:w="1440" w:type="dxa"/>
            <w:vAlign w:val="bottom"/>
          </w:tcPr>
          <w:p>
            <w:pPr>
              <w:spacing w:after="0"/>
              <w:rPr>
                <w:sz w:val="14"/>
                <w:szCs w:val="14"/>
                <w:color w:val="auto"/>
              </w:rPr>
            </w:pPr>
          </w:p>
        </w:tc>
      </w:tr>
      <w:tr>
        <w:trPr>
          <w:trHeight w:val="673"/>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Equipment loan, $14,293 per</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including interest at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9%,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January,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6,548</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Equipment loan, $6,149 per</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 8.6%,</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July, 2000.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278,699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Neffs National Bank:</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loan, $945 per</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including interest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at 9.5%, equipment pledged</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as collateral, due June,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6,414</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Equipment loan, $3,149 per</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including interest at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8.75%,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June,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18,424</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Nations Bank:</w:t>
            </w:r>
          </w:p>
        </w:tc>
        <w:tc>
          <w:tcPr>
            <w:tcW w:w="144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loan, $12,513 per</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 plus interest at</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bank's commercial rate plus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.5%, equipment pledged as</w:t>
            </w:r>
          </w:p>
        </w:tc>
        <w:tc>
          <w:tcPr>
            <w:tcW w:w="144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 due March, 1996.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37,538</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14,120,455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3,228,763</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$10,891,692</w:t>
            </w:r>
          </w:p>
        </w:tc>
      </w:tr>
      <w:tr>
        <w:trPr>
          <w:trHeight w:val="168"/>
        </w:trPr>
        <w:tc>
          <w:tcPr>
            <w:tcW w:w="5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of long-term debt as of December 31, 1995 are as follows:</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ending</w:t>
      </w:r>
    </w:p>
    <w:p>
      <w:pPr>
        <w:ind w:left="440"/>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$ 3,228,763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3,173,198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2,987,362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2,567,046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1,720,245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443,841</w:t>
            </w:r>
          </w:p>
        </w:tc>
      </w:tr>
      <w:tr>
        <w:trPr>
          <w:trHeight w:val="168"/>
        </w:trPr>
        <w:tc>
          <w:tcPr>
            <w:tcW w:w="198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3500"/>
        <w:spacing w:after="0" w:line="237" w:lineRule="auto"/>
        <w:rPr>
          <w:sz w:val="20"/>
          <w:szCs w:val="20"/>
          <w:color w:val="auto"/>
        </w:rPr>
      </w:pPr>
      <w:r>
        <w:rPr>
          <w:rFonts w:ascii="Courier New" w:cs="Courier New" w:eastAsia="Courier New" w:hAnsi="Courier New"/>
          <w:sz w:val="15"/>
          <w:szCs w:val="15"/>
          <w:color w:val="auto"/>
        </w:rPr>
        <w:t>$14,120,455</w:t>
      </w:r>
    </w:p>
    <w:p>
      <w:pPr>
        <w:ind w:left="350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76</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Income Taxes</w:t>
      </w:r>
    </w:p>
    <w:p>
      <w:pPr>
        <w:spacing w:after="0" w:line="173" w:lineRule="exact"/>
        <w:rPr>
          <w:sz w:val="20"/>
          <w:szCs w:val="20"/>
          <w:color w:val="auto"/>
        </w:rPr>
      </w:pPr>
    </w:p>
    <w:p>
      <w:pPr>
        <w:ind w:left="700" w:right="3679"/>
        <w:spacing w:after="0" w:line="235" w:lineRule="auto"/>
        <w:rPr>
          <w:sz w:val="20"/>
          <w:szCs w:val="20"/>
          <w:color w:val="auto"/>
        </w:rPr>
      </w:pPr>
      <w:r>
        <w:rPr>
          <w:rFonts w:ascii="Courier New" w:cs="Courier New" w:eastAsia="Courier New" w:hAnsi="Courier New"/>
          <w:sz w:val="15"/>
          <w:szCs w:val="15"/>
          <w:color w:val="auto"/>
        </w:rPr>
        <w:t>Grand Central Sanitation, Inc. and Pocono Independent Paperstock Company, Inc. are operating as S Corporations under the IRS and Pennsylvania tax codes. The other two related companies included in these financial statements are C corporations.</w:t>
      </w:r>
    </w:p>
    <w:p>
      <w:pPr>
        <w:spacing w:after="0" w:line="175" w:lineRule="exact"/>
        <w:rPr>
          <w:sz w:val="20"/>
          <w:szCs w:val="20"/>
          <w:color w:val="auto"/>
        </w:rPr>
      </w:pPr>
    </w:p>
    <w:p>
      <w:pPr>
        <w:ind w:left="700" w:right="3319"/>
        <w:spacing w:after="0" w:line="255" w:lineRule="auto"/>
        <w:rPr>
          <w:sz w:val="20"/>
          <w:szCs w:val="20"/>
          <w:color w:val="auto"/>
        </w:rPr>
      </w:pPr>
      <w:r>
        <w:rPr>
          <w:rFonts w:ascii="Courier New" w:cs="Courier New" w:eastAsia="Courier New" w:hAnsi="Courier New"/>
          <w:sz w:val="14"/>
          <w:szCs w:val="14"/>
          <w:color w:val="auto"/>
        </w:rPr>
        <w:t>The Company adopted SFAS 109 in 1993. SFAS 109 requires the recognition of deferred tax assets and liabilities for the future tax consequences attributable to difference between the financial statements carrying amounts of existing assets and liabilities and their respective tax bases. In addition, the accounting standard requires the recognition of future tax benefits, such as net operating loss carryforwards, to the extent that realization of such benefits is more likely than not.</w:t>
      </w:r>
    </w:p>
    <w:p>
      <w:pPr>
        <w:spacing w:after="0" w:line="166" w:lineRule="exact"/>
        <w:rPr>
          <w:sz w:val="20"/>
          <w:szCs w:val="20"/>
          <w:color w:val="auto"/>
        </w:rPr>
      </w:pPr>
    </w:p>
    <w:p>
      <w:pPr>
        <w:ind w:left="700" w:right="3499"/>
        <w:spacing w:after="0" w:line="234" w:lineRule="auto"/>
        <w:rPr>
          <w:sz w:val="20"/>
          <w:szCs w:val="20"/>
          <w:color w:val="auto"/>
        </w:rPr>
      </w:pPr>
      <w:r>
        <w:rPr>
          <w:rFonts w:ascii="Courier New" w:cs="Courier New" w:eastAsia="Courier New" w:hAnsi="Courier New"/>
          <w:sz w:val="15"/>
          <w:szCs w:val="15"/>
          <w:color w:val="auto"/>
        </w:rPr>
        <w:t>The components of the net deferred tax assets as of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210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2100" w:type="dxa"/>
            <w:vAlign w:val="bottom"/>
          </w:tcPr>
          <w:p>
            <w:pPr>
              <w:spacing w:after="0"/>
              <w:rPr>
                <w:sz w:val="14"/>
                <w:szCs w:val="1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969,850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401,377</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(203,377)</w:t>
            </w:r>
          </w:p>
        </w:tc>
      </w:tr>
      <w:tr>
        <w:trPr>
          <w:trHeight w:val="168"/>
        </w:trPr>
        <w:tc>
          <w:tcPr>
            <w:tcW w:w="420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deferred tax asset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$ 1,167,850</w:t>
            </w:r>
          </w:p>
        </w:tc>
      </w:tr>
      <w:tr>
        <w:trPr>
          <w:trHeight w:val="168"/>
        </w:trPr>
        <w:tc>
          <w:tcPr>
            <w:tcW w:w="420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319"/>
        <w:spacing w:after="0" w:line="255" w:lineRule="auto"/>
        <w:rPr>
          <w:sz w:val="20"/>
          <w:szCs w:val="20"/>
          <w:color w:val="auto"/>
        </w:rPr>
      </w:pPr>
      <w:r>
        <w:rPr>
          <w:rFonts w:ascii="Courier New" w:cs="Courier New" w:eastAsia="Courier New" w:hAnsi="Courier New"/>
          <w:sz w:val="14"/>
          <w:szCs w:val="14"/>
          <w:color w:val="auto"/>
        </w:rPr>
        <w:t>A valuation allowance has been provided to reduce the deferred tax asset to a level which, more likely than not, will be realized. The net deferred tax asset reflects managements estimate of the amount which will be realized from reversals of taxable temporary differences, which can be predicted with reasonable certainty. There was no change in the valuation allowance for the year ended December 31, 1995.</w:t>
      </w:r>
    </w:p>
    <w:p>
      <w:pPr>
        <w:spacing w:after="0" w:line="166" w:lineRule="exact"/>
        <w:rPr>
          <w:sz w:val="20"/>
          <w:szCs w:val="20"/>
          <w:color w:val="auto"/>
        </w:rPr>
      </w:pPr>
    </w:p>
    <w:p>
      <w:pPr>
        <w:ind w:left="700" w:right="3399"/>
        <w:spacing w:after="0" w:line="236" w:lineRule="auto"/>
        <w:rPr>
          <w:sz w:val="20"/>
          <w:szCs w:val="20"/>
          <w:color w:val="auto"/>
        </w:rPr>
      </w:pPr>
      <w:r>
        <w:rPr>
          <w:rFonts w:ascii="Courier New" w:cs="Courier New" w:eastAsia="Courier New" w:hAnsi="Courier New"/>
          <w:sz w:val="15"/>
          <w:szCs w:val="15"/>
          <w:color w:val="auto"/>
        </w:rPr>
        <w:t>As discussed further in Note 12, the companies were sold to USA Waste Services, Inc. Due to the sale of the combined companies, the use of USA Waste Services, Inc.'s effective tax rate of 40% was used to calculate the tax provision for 1995 as if the combined companies were classified as C corporations and there was taxable income for the combined companies. The provision reduced the amount recorded as distributed to the stockholders during the year.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77</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The provision for federal and state income taxes for the year ended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December 31, 1995 is as follows: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Federal and state income taxes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$895,760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180" w:space="720"/>
            <w:col w:w="5339"/>
          </w:cols>
          <w:pgMar w:left="220" w:top="281" w:right="1440" w:bottom="1440" w:gutter="0" w:footer="0" w:header="0"/>
          <w:type w:val="continuous"/>
        </w:sectPr>
      </w:pPr>
    </w:p>
    <w:p>
      <w:pPr>
        <w:ind w:left="980" w:right="3399"/>
        <w:spacing w:after="0" w:line="236" w:lineRule="auto"/>
        <w:rPr>
          <w:sz w:val="20"/>
          <w:szCs w:val="20"/>
          <w:color w:val="auto"/>
        </w:rPr>
      </w:pPr>
      <w:r>
        <w:rPr>
          <w:rFonts w:ascii="Courier New" w:cs="Courier New" w:eastAsia="Courier New" w:hAnsi="Courier New"/>
          <w:sz w:val="15"/>
          <w:szCs w:val="15"/>
          <w:color w:val="auto"/>
        </w:rPr>
        <w:t>As of December 31, 1995, Grand Central Sanitary Landfill, Inc. has a net operating loss carryforward of approximately $2,852,500 for federal income tax purposes which, if not used, expires in 2007. It also has a net operating loss carryforward of $4,054,311 available to reduce future state taxable income. If not used, it will expire in 1998.</w:t>
      </w:r>
    </w:p>
    <w:p>
      <w:pPr>
        <w:spacing w:after="0" w:line="16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As of December 31, 1995, Grand Central Real Estate Company, Inc.</w:t>
      </w:r>
    </w:p>
    <w:p>
      <w:pPr>
        <w:ind w:left="980"/>
        <w:spacing w:after="0" w:line="237" w:lineRule="auto"/>
        <w:rPr>
          <w:sz w:val="20"/>
          <w:szCs w:val="20"/>
          <w:color w:val="auto"/>
        </w:rPr>
      </w:pPr>
      <w:r>
        <w:rPr>
          <w:rFonts w:ascii="Courier New" w:cs="Courier New" w:eastAsia="Courier New" w:hAnsi="Courier New"/>
          <w:sz w:val="15"/>
          <w:szCs w:val="15"/>
          <w:color w:val="auto"/>
        </w:rPr>
        <w:t>has federal net operating loss carryforwards of $142,052 and</w:t>
      </w:r>
    </w:p>
    <w:p>
      <w:pPr>
        <w:ind w:left="980"/>
        <w:spacing w:after="0" w:line="238" w:lineRule="auto"/>
        <w:rPr>
          <w:sz w:val="20"/>
          <w:szCs w:val="20"/>
          <w:color w:val="auto"/>
        </w:rPr>
      </w:pPr>
      <w:r>
        <w:rPr>
          <w:rFonts w:ascii="Courier New" w:cs="Courier New" w:eastAsia="Courier New" w:hAnsi="Courier New"/>
          <w:sz w:val="15"/>
          <w:szCs w:val="15"/>
          <w:color w:val="auto"/>
        </w:rPr>
        <w:t>$46,923, which, if not used will expire in 2010 and 2009,</w:t>
      </w:r>
    </w:p>
    <w:p>
      <w:pPr>
        <w:ind w:left="980"/>
        <w:spacing w:after="0" w:line="237" w:lineRule="auto"/>
        <w:rPr>
          <w:sz w:val="20"/>
          <w:szCs w:val="20"/>
          <w:color w:val="auto"/>
        </w:rPr>
      </w:pPr>
      <w:r>
        <w:rPr>
          <w:rFonts w:ascii="Courier New" w:cs="Courier New" w:eastAsia="Courier New" w:hAnsi="Courier New"/>
          <w:sz w:val="15"/>
          <w:szCs w:val="15"/>
          <w:color w:val="auto"/>
        </w:rPr>
        <w:t>respectively. It also has a net operating loss carryforward of</w:t>
      </w:r>
    </w:p>
    <w:p>
      <w:pPr>
        <w:ind w:left="980"/>
        <w:spacing w:after="0" w:line="238" w:lineRule="auto"/>
        <w:rPr>
          <w:sz w:val="20"/>
          <w:szCs w:val="20"/>
          <w:color w:val="auto"/>
        </w:rPr>
      </w:pPr>
      <w:r>
        <w:rPr>
          <w:rFonts w:ascii="Courier New" w:cs="Courier New" w:eastAsia="Courier New" w:hAnsi="Courier New"/>
          <w:sz w:val="15"/>
          <w:szCs w:val="15"/>
          <w:color w:val="auto"/>
        </w:rPr>
        <w:t>$188,975 available to reduce future state taxable income. If not</w:t>
      </w:r>
    </w:p>
    <w:p>
      <w:pPr>
        <w:ind w:left="980"/>
        <w:spacing w:after="0" w:line="237" w:lineRule="auto"/>
        <w:rPr>
          <w:sz w:val="20"/>
          <w:szCs w:val="20"/>
          <w:color w:val="auto"/>
        </w:rPr>
      </w:pPr>
      <w:r>
        <w:rPr>
          <w:rFonts w:ascii="Courier New" w:cs="Courier New" w:eastAsia="Courier New" w:hAnsi="Courier New"/>
          <w:sz w:val="15"/>
          <w:szCs w:val="15"/>
          <w:color w:val="auto"/>
        </w:rPr>
        <w:t>used, it will expire in 1998.</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Profit Sharing Plan</w:t>
      </w:r>
    </w:p>
    <w:p>
      <w:pPr>
        <w:spacing w:after="0" w:line="173" w:lineRule="exact"/>
        <w:rPr>
          <w:sz w:val="20"/>
          <w:szCs w:val="20"/>
          <w:color w:val="auto"/>
        </w:rPr>
      </w:pPr>
    </w:p>
    <w:p>
      <w:pPr>
        <w:ind w:left="980" w:right="3319"/>
        <w:spacing w:after="0" w:line="256" w:lineRule="auto"/>
        <w:rPr>
          <w:sz w:val="20"/>
          <w:szCs w:val="20"/>
          <w:color w:val="auto"/>
        </w:rPr>
      </w:pPr>
      <w:r>
        <w:rPr>
          <w:rFonts w:ascii="Courier New" w:cs="Courier New" w:eastAsia="Courier New" w:hAnsi="Courier New"/>
          <w:sz w:val="14"/>
          <w:szCs w:val="14"/>
          <w:color w:val="auto"/>
        </w:rPr>
        <w:t>Grand Central Sanitation, Inc. adopted a profit sharing plan for all eligible employees effective April 1, 1985. The contribution to the plan is $100,000 for the year ended December 31, 1995. It is the policy of the Company to fund profit sharing costs accrued.</w:t>
      </w:r>
    </w:p>
    <w:p>
      <w:pPr>
        <w:spacing w:after="0" w:line="15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Rent Expense</w:t>
      </w:r>
    </w:p>
    <w:p>
      <w:pPr>
        <w:spacing w:after="0" w:line="173" w:lineRule="exact"/>
        <w:rPr>
          <w:sz w:val="20"/>
          <w:szCs w:val="20"/>
          <w:color w:val="auto"/>
        </w:rPr>
      </w:pPr>
    </w:p>
    <w:p>
      <w:pPr>
        <w:ind w:left="980" w:right="3759"/>
        <w:spacing w:after="0" w:line="261" w:lineRule="auto"/>
        <w:rPr>
          <w:sz w:val="20"/>
          <w:szCs w:val="20"/>
          <w:color w:val="auto"/>
        </w:rPr>
      </w:pPr>
      <w:r>
        <w:rPr>
          <w:rFonts w:ascii="Courier New" w:cs="Courier New" w:eastAsia="Courier New" w:hAnsi="Courier New"/>
          <w:sz w:val="14"/>
          <w:szCs w:val="14"/>
          <w:color w:val="auto"/>
        </w:rPr>
        <w:t>The Company rents various equipment on an as-needed basis. Rent expense for the year ended December 31, 1995 is $187,708.</w:t>
      </w:r>
    </w:p>
    <w:p>
      <w:pPr>
        <w:spacing w:after="0" w:line="15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Financial Instruments and Credit Risk</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Cash:</w:t>
      </w:r>
    </w:p>
    <w:p>
      <w:pPr>
        <w:spacing w:after="0" w:line="173" w:lineRule="exact"/>
        <w:rPr>
          <w:sz w:val="20"/>
          <w:szCs w:val="20"/>
          <w:color w:val="auto"/>
        </w:rPr>
      </w:pPr>
    </w:p>
    <w:p>
      <w:pPr>
        <w:ind w:left="1140" w:right="3319"/>
        <w:spacing w:after="0" w:line="236" w:lineRule="auto"/>
        <w:rPr>
          <w:sz w:val="20"/>
          <w:szCs w:val="20"/>
          <w:color w:val="auto"/>
        </w:rPr>
      </w:pPr>
      <w:r>
        <w:rPr>
          <w:rFonts w:ascii="Courier New" w:cs="Courier New" w:eastAsia="Courier New" w:hAnsi="Courier New"/>
          <w:sz w:val="15"/>
          <w:szCs w:val="15"/>
          <w:color w:val="auto"/>
        </w:rPr>
        <w:t>Financial instruments which potentially subject the Company to a concentration of credit risk consist principally of cash. The Company maintains cash accounts in various commercial banks. The amount on deposit as of December 31, 1995 exceeded the insurance limits of the Federal Deposit Insurance Corporation by approximately $324,000 in one of the commercial banks. The Company has not experienced any losses as a result of these noninsured balances.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78</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 payable, bank and long-term debt:</w:t>
      </w:r>
    </w:p>
    <w:p>
      <w:pPr>
        <w:spacing w:after="0" w:line="173" w:lineRule="exact"/>
        <w:rPr>
          <w:sz w:val="20"/>
          <w:szCs w:val="20"/>
          <w:color w:val="auto"/>
        </w:rPr>
      </w:pPr>
    </w:p>
    <w:p>
      <w:pPr>
        <w:ind w:left="1140" w:right="3319"/>
        <w:spacing w:after="0" w:line="236" w:lineRule="auto"/>
        <w:rPr>
          <w:sz w:val="20"/>
          <w:szCs w:val="20"/>
          <w:color w:val="auto"/>
        </w:rPr>
      </w:pPr>
      <w:r>
        <w:rPr>
          <w:rFonts w:ascii="Courier New" w:cs="Courier New" w:eastAsia="Courier New" w:hAnsi="Courier New"/>
          <w:sz w:val="15"/>
          <w:szCs w:val="15"/>
          <w:color w:val="auto"/>
        </w:rPr>
        <w:t>The fair value of the companies' note payable, bank and long-term debt, whose interest rates are substantially based on the prime rate, is estimated using rates currently available to the companies for other borrowings with similar terms and remaining maturities. As of December 31, 1995, the fair value of long-term debt approximates the carrying value.</w:t>
      </w:r>
    </w:p>
    <w:p>
      <w:pPr>
        <w:spacing w:after="0" w:line="16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Loans payable, stockholders:</w:t>
      </w:r>
    </w:p>
    <w:p>
      <w:pPr>
        <w:spacing w:after="0" w:line="173" w:lineRule="exact"/>
        <w:rPr>
          <w:sz w:val="20"/>
          <w:szCs w:val="20"/>
          <w:color w:val="auto"/>
        </w:rPr>
      </w:pPr>
    </w:p>
    <w:p>
      <w:pPr>
        <w:jc w:val="both"/>
        <w:ind w:left="1140" w:right="3319"/>
        <w:spacing w:after="0" w:line="235" w:lineRule="auto"/>
        <w:rPr>
          <w:sz w:val="20"/>
          <w:szCs w:val="20"/>
          <w:color w:val="auto"/>
        </w:rPr>
      </w:pPr>
      <w:r>
        <w:rPr>
          <w:rFonts w:ascii="Courier New" w:cs="Courier New" w:eastAsia="Courier New" w:hAnsi="Courier New"/>
          <w:sz w:val="15"/>
          <w:szCs w:val="15"/>
          <w:color w:val="auto"/>
        </w:rPr>
        <w:t>The fair value of the loans payable to the companies' stockholders has not been determined since the loans bear no interest and have no fixed repayment terms.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Letters of Credit</w:t>
      </w:r>
    </w:p>
    <w:p>
      <w:pPr>
        <w:spacing w:after="0" w:line="173" w:lineRule="exact"/>
        <w:rPr>
          <w:sz w:val="20"/>
          <w:szCs w:val="20"/>
          <w:color w:val="auto"/>
        </w:rPr>
      </w:pPr>
    </w:p>
    <w:p>
      <w:pPr>
        <w:jc w:val="both"/>
        <w:ind w:left="980" w:right="3399"/>
        <w:spacing w:after="0" w:line="258" w:lineRule="auto"/>
        <w:rPr>
          <w:sz w:val="20"/>
          <w:szCs w:val="20"/>
          <w:color w:val="auto"/>
        </w:rPr>
      </w:pPr>
      <w:r>
        <w:rPr>
          <w:rFonts w:ascii="Courier New" w:cs="Courier New" w:eastAsia="Courier New" w:hAnsi="Courier New"/>
          <w:sz w:val="14"/>
          <w:szCs w:val="14"/>
          <w:color w:val="auto"/>
        </w:rPr>
        <w:t>The companies have various letters of credit with Meridian Bank to support contracts for trash removal from various municipalities. As of December 31, 1995, the amounts total $1,570,965.</w:t>
      </w:r>
    </w:p>
    <w:p>
      <w:pPr>
        <w:spacing w:after="0" w:line="161" w:lineRule="exact"/>
        <w:rPr>
          <w:sz w:val="20"/>
          <w:szCs w:val="20"/>
          <w:color w:val="auto"/>
        </w:rPr>
      </w:pPr>
    </w:p>
    <w:p>
      <w:pPr>
        <w:ind w:left="980" w:right="3399"/>
        <w:spacing w:after="0" w:line="236" w:lineRule="auto"/>
        <w:rPr>
          <w:sz w:val="20"/>
          <w:szCs w:val="20"/>
          <w:color w:val="auto"/>
        </w:rPr>
      </w:pPr>
      <w:r>
        <w:rPr>
          <w:rFonts w:ascii="Courier New" w:cs="Courier New" w:eastAsia="Courier New" w:hAnsi="Courier New"/>
          <w:sz w:val="15"/>
          <w:szCs w:val="15"/>
          <w:color w:val="auto"/>
        </w:rPr>
        <w:t>The companies have a letter of credit with Meridian Bank to support its obligation for closure of its landfill. The Commonwealth of Pennsylvania obligates all landfill operations to set aside funds or have valid letters of credit to support the clean-up of all landfills upon closure of such landfill. As of December 31, 1995, the letter of credit is $6,637,006.</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79</w:t>
      </w:r>
    </w:p>
    <w:p>
      <w:pPr>
        <w:ind w:left="2100"/>
        <w:spacing w:after="0" w:line="237" w:lineRule="auto"/>
        <w:rPr>
          <w:sz w:val="20"/>
          <w:szCs w:val="20"/>
          <w:color w:val="auto"/>
        </w:rPr>
      </w:pPr>
      <w:r>
        <w:rPr>
          <w:rFonts w:ascii="Courier New" w:cs="Courier New" w:eastAsia="Courier New" w:hAnsi="Courier New"/>
          <w:sz w:val="15"/>
          <w:szCs w:val="15"/>
          <w:color w:val="auto"/>
        </w:rPr>
        <w:t>GRAND CENTRAL SANITATION, INC.</w:t>
      </w:r>
    </w:p>
    <w:p>
      <w:pPr>
        <w:ind w:left="2540"/>
        <w:spacing w:after="0" w:line="238" w:lineRule="auto"/>
        <w:rPr>
          <w:sz w:val="20"/>
          <w:szCs w:val="20"/>
          <w:color w:val="auto"/>
        </w:rPr>
      </w:pPr>
      <w:r>
        <w:rPr>
          <w:rFonts w:ascii="Courier New" w:cs="Courier New" w:eastAsia="Courier New" w:hAnsi="Courier New"/>
          <w:sz w:val="15"/>
          <w:szCs w:val="15"/>
          <w:color w:val="auto"/>
        </w:rPr>
        <w:t>AND RELATED COMPANIES</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left="980" w:right="3579"/>
        <w:spacing w:after="0" w:line="236" w:lineRule="auto"/>
        <w:rPr>
          <w:sz w:val="20"/>
          <w:szCs w:val="20"/>
          <w:color w:val="auto"/>
        </w:rPr>
      </w:pPr>
      <w:r>
        <w:rPr>
          <w:rFonts w:ascii="Courier New" w:cs="Courier New" w:eastAsia="Courier New" w:hAnsi="Courier New"/>
          <w:sz w:val="15"/>
          <w:szCs w:val="15"/>
          <w:color w:val="auto"/>
        </w:rPr>
        <w:t>On May 6, 1996, Grand Central Sanitation, Inc. and Related Companies entered into an agreement to sell the companies to USA Waste Services, Inc. The sale, which was settled on May 15, 1996, was a stock-for-stock transaction which is being accounted for as a pooling of interests.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80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GARNET OF VIRGINIA, INC, AND GARNET OF MARYLAND, INC.</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COMBINED FINANCIAL STATEMENTS AS OF DECEMBER 31, 1995 TOGETHER WITH AUDITORS' REPORT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237" w:lineRule="auto"/>
        <w:rPr>
          <w:sz w:val="20"/>
          <w:szCs w:val="20"/>
          <w:color w:val="auto"/>
        </w:rPr>
      </w:pPr>
      <w:r>
        <w:rPr>
          <w:rFonts w:ascii="Courier New" w:cs="Courier New" w:eastAsia="Courier New" w:hAnsi="Courier New"/>
          <w:sz w:val="15"/>
          <w:szCs w:val="15"/>
          <w:color w:val="auto"/>
        </w:rPr>
        <w:t>Garnet of Virginia, Inc., and</w:t>
      </w:r>
    </w:p>
    <w:p>
      <w:pPr>
        <w:spacing w:after="0" w:line="238" w:lineRule="auto"/>
        <w:rPr>
          <w:sz w:val="20"/>
          <w:szCs w:val="20"/>
          <w:color w:val="auto"/>
        </w:rPr>
      </w:pPr>
      <w:r>
        <w:rPr>
          <w:rFonts w:ascii="Courier New" w:cs="Courier New" w:eastAsia="Courier New" w:hAnsi="Courier New"/>
          <w:sz w:val="15"/>
          <w:szCs w:val="15"/>
          <w:color w:val="auto"/>
        </w:rPr>
        <w:t>Garnet of Maryland, Inc.: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Garnet of Virginia, Inc., and Garnet of Maryland, Inc. (Virginia and Washington, D.C., corporations, respectively) (the Companies), as of December 31, 1995, and the related combined statements of operations, stockholders' deficit and cash flows for the year then ended. These financial statements are the responsibility of the Companies' management. Our responsibility is to express an opinion on these financial statements based on our audit.</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the Companies as of December 31, 1995, and the results of their operations and their cash flows for the year then ended in conformity with generally accepted accounting principles.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February 2,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82" w:name="page83"/>
    <w:bookmarkEnd w:id="82"/>
    <w:p>
      <w:pPr>
        <w:ind w:left="100"/>
        <w:spacing w:after="0"/>
        <w:rPr>
          <w:sz w:val="20"/>
          <w:szCs w:val="20"/>
          <w:color w:val="auto"/>
        </w:rPr>
      </w:pPr>
      <w:r>
        <w:rPr>
          <w:rFonts w:ascii="Courier New" w:cs="Courier New" w:eastAsia="Courier New" w:hAnsi="Courier New"/>
          <w:sz w:val="15"/>
          <w:szCs w:val="15"/>
          <w:color w:val="auto"/>
        </w:rPr>
        <w:t>82</w:t>
      </w:r>
    </w:p>
    <w:tbl>
      <w:tblPr>
        <w:tblLayout w:type="fixed"/>
        <w:tblInd w:w="0" w:type="dxa"/>
        <w:tblCellMar>
          <w:top w:w="0" w:type="dxa"/>
          <w:left w:w="0" w:type="dxa"/>
          <w:bottom w:w="0" w:type="dxa"/>
          <w:right w:w="0" w:type="dxa"/>
        </w:tblCellMar>
      </w:tblPr>
      <w:tr>
        <w:trPr>
          <w:trHeight w:val="168"/>
        </w:trPr>
        <w:tc>
          <w:tcPr>
            <w:tcW w:w="648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rPr>
              <w:t>GARNET OF VIRGINIA, INC., AND GARNET OF MARYLAND, INC.</w:t>
            </w:r>
          </w:p>
        </w:tc>
      </w:tr>
      <w:tr>
        <w:trPr>
          <w:trHeight w:val="336"/>
        </w:trPr>
        <w:tc>
          <w:tcPr>
            <w:tcW w:w="5200" w:type="dxa"/>
            <w:vAlign w:val="bottom"/>
          </w:tcPr>
          <w:p>
            <w:pPr>
              <w:ind w:left="1500"/>
              <w:spacing w:after="0"/>
              <w:rPr>
                <w:sz w:val="20"/>
                <w:szCs w:val="20"/>
                <w:color w:val="auto"/>
              </w:rPr>
            </w:pPr>
            <w:r>
              <w:rPr>
                <w:rFonts w:ascii="Courier New" w:cs="Courier New" w:eastAsia="Courier New" w:hAnsi="Courier New"/>
                <w:sz w:val="15"/>
                <w:szCs w:val="15"/>
                <w:color w:val="auto"/>
                <w:w w:val="99"/>
              </w:rPr>
              <w:t>COMBINED BALANCE SHEET--DECEMBER 31, 1995</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3"/>
        </w:trPr>
        <w:tc>
          <w:tcPr>
            <w:tcW w:w="5200" w:type="dxa"/>
            <w:vAlign w:val="bottom"/>
          </w:tcPr>
          <w:p>
            <w:pPr>
              <w:ind w:left="280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12,742</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57,923</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41,671</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112,336</w:t>
            </w:r>
          </w:p>
        </w:tc>
      </w:tr>
      <w:tr>
        <w:trPr>
          <w:trHeight w:val="336"/>
        </w:trPr>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Restricted cash</w:t>
            </w:r>
          </w:p>
        </w:tc>
        <w:tc>
          <w:tcPr>
            <w:tcW w:w="28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893,769</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and equipment, net of accumulated</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19,822,279</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in affiliated company</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1,007,652</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assets, net</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3,200,762</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assets</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$ 25,036,798</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LIABILITIES AND STOCKHOLDERS' DEFICIT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9,114,493</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Notes payable to related party</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5,155,000</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Demand notes payable to related parties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889,810</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3,260,937</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Related party</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1,894,182</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liabilities and other</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1,202,096</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21,516,518</w:t>
            </w: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maturities</w:t>
            </w:r>
          </w:p>
        </w:tc>
        <w:tc>
          <w:tcPr>
            <w:tcW w:w="28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1,826,656</w:t>
            </w: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LANDFILL CLOSURE, POSTCLOSURE, CAPPING AND</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REMEDIATION RESERVES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7,487,500</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30,830,674</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5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Retained deficit</w:t>
            </w:r>
          </w:p>
        </w:tc>
        <w:tc>
          <w:tcPr>
            <w:tcW w:w="2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(5,794,076)</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stockholders' deficit</w:t>
            </w:r>
          </w:p>
        </w:tc>
        <w:tc>
          <w:tcPr>
            <w:tcW w:w="2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(5,793,876)</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Total liabilities and stockholders' deficit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$ 25,036,798</w:t>
            </w:r>
          </w:p>
        </w:tc>
      </w:tr>
      <w:tr>
        <w:trPr>
          <w:trHeight w:val="168"/>
        </w:trPr>
        <w:tc>
          <w:tcPr>
            <w:tcW w:w="520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49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059"/>
          </w:cols>
          <w:pgMar w:left="40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83</w:t>
      </w:r>
    </w:p>
    <w:p>
      <w:pPr>
        <w:ind w:left="1140"/>
        <w:spacing w:after="0" w:line="237" w:lineRule="auto"/>
        <w:rPr>
          <w:sz w:val="20"/>
          <w:szCs w:val="20"/>
          <w:color w:val="auto"/>
        </w:rPr>
      </w:pPr>
      <w:r>
        <w:rPr>
          <w:rFonts w:ascii="Courier New" w:cs="Courier New" w:eastAsia="Courier New" w:hAnsi="Courier New"/>
          <w:sz w:val="15"/>
          <w:szCs w:val="15"/>
          <w:color w:val="auto"/>
        </w:rPr>
        <w:t>GARNET OF VIRGINIA, INC., AND GARNET OF MARYLAND, INC.</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COMBINED STATEMENT OF OPERATIONS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622,934</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COST OF OPERATIONS</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1,478,510</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Gross loss</w:t>
            </w: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(855,576)</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942,048</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Operating loss</w:t>
            </w: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(1,797,624)</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EQUITY IN NET LOSS OF AFFILIATED COMPANY</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1,014,782</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539,001</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Net loss</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$(3,351,407)</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84</w:t>
      </w:r>
    </w:p>
    <w:p>
      <w:pPr>
        <w:ind w:left="1140"/>
        <w:spacing w:after="0" w:line="237" w:lineRule="auto"/>
        <w:rPr>
          <w:sz w:val="20"/>
          <w:szCs w:val="20"/>
          <w:color w:val="auto"/>
        </w:rPr>
      </w:pPr>
      <w:r>
        <w:rPr>
          <w:rFonts w:ascii="Courier New" w:cs="Courier New" w:eastAsia="Courier New" w:hAnsi="Courier New"/>
          <w:sz w:val="15"/>
          <w:szCs w:val="15"/>
          <w:color w:val="auto"/>
        </w:rPr>
        <w:t>GARNET OF VIRGINIA, INC., AND GARNET OF MARYLAND, INC.</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COMBINED STATEMENT OF STOCKHOLDERS' DEFICIT</w:t>
      </w:r>
    </w:p>
    <w:p>
      <w:pPr>
        <w:ind w:left="1840"/>
        <w:spacing w:after="0" w:line="237" w:lineRule="auto"/>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Total</w:t>
            </w:r>
          </w:p>
        </w:tc>
      </w:tr>
      <w:tr>
        <w:trPr>
          <w:trHeight w:val="168"/>
        </w:trPr>
        <w:tc>
          <w:tcPr>
            <w:tcW w:w="3120" w:type="dxa"/>
            <w:vAlign w:val="bottom"/>
          </w:tcPr>
          <w:p>
            <w:pPr>
              <w:spacing w:after="0"/>
              <w:rPr>
                <w:sz w:val="14"/>
                <w:szCs w:val="14"/>
                <w:color w:val="auto"/>
              </w:rPr>
            </w:pP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Stockholders'</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Deficit</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Deficit</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BALANCE, at December 31, 1994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$(2,442,669)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$(2,442,569)</w:t>
            </w: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(3,351,407)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(3,351,407)</w:t>
            </w: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 1995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$(5,794,076)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$(5,793,876)</w:t>
            </w:r>
          </w:p>
        </w:tc>
      </w:tr>
      <w:tr>
        <w:trPr>
          <w:trHeight w:val="168"/>
        </w:trPr>
        <w:tc>
          <w:tcPr>
            <w:tcW w:w="31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85</w:t>
      </w:r>
    </w:p>
    <w:tbl>
      <w:tblPr>
        <w:tblLayout w:type="fixed"/>
        <w:tblInd w:w="0" w:type="dxa"/>
        <w:tblCellMar>
          <w:top w:w="0" w:type="dxa"/>
          <w:left w:w="0" w:type="dxa"/>
          <w:bottom w:w="0" w:type="dxa"/>
          <w:right w:w="0" w:type="dxa"/>
        </w:tblCellMar>
      </w:tblPr>
      <w:tr>
        <w:trPr>
          <w:trHeight w:val="168"/>
        </w:trPr>
        <w:tc>
          <w:tcPr>
            <w:tcW w:w="71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GARNET OF VIRGINIA, INC., AND GARNET OF MARYLAND, INC.</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COMBINED STATEMENT OF CASH FLOWS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7140" w:type="dxa"/>
            <w:vAlign w:val="bottom"/>
          </w:tcPr>
          <w:p>
            <w:pPr>
              <w:ind w:left="1840"/>
              <w:spacing w:after="0"/>
              <w:rPr>
                <w:sz w:val="20"/>
                <w:szCs w:val="20"/>
                <w:color w:val="auto"/>
              </w:rPr>
            </w:pPr>
            <w:r>
              <w:rPr>
                <w:rFonts w:ascii="Courier New" w:cs="Courier New" w:eastAsia="Courier New" w:hAnsi="Courier New"/>
                <w:sz w:val="15"/>
                <w:szCs w:val="15"/>
                <w:color w:val="auto"/>
              </w:rPr>
              <w:t>FOR THE YEAR ENDED DECEMBER 31, 1995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3"/>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$(3,351,407)</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Adjustments to reconcile net loss to net cash provided by operating activities-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115,394</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177,709</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(15,178)</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 accrued liabilities and other</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3,782,830</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ind w:left="22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709,348</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(5,614,518)</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of bond proceeds, net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(893,769)</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in affiliated company</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(281,658)</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Organizational costs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Payments for land purchase options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(204,475)</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ind w:left="2280"/>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(7,244,420)</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borrowings, net of related costs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7,410,503</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Repayments of borrowings</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(863,138)</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6,547,365</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12,293</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12,742</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CASH FLOW INFORMATION: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 interest, net of amounts capitalized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53,060</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acquired under capital lease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284,228</w:t>
            </w:r>
          </w:p>
        </w:tc>
      </w:tr>
      <w:tr>
        <w:trPr>
          <w:trHeight w:val="168"/>
        </w:trPr>
        <w:tc>
          <w:tcPr>
            <w:tcW w:w="71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86</w:t>
      </w:r>
    </w:p>
    <w:p>
      <w:pPr>
        <w:ind w:left="1140"/>
        <w:spacing w:after="0" w:line="237" w:lineRule="auto"/>
        <w:rPr>
          <w:sz w:val="20"/>
          <w:szCs w:val="20"/>
          <w:color w:val="auto"/>
        </w:rPr>
      </w:pPr>
      <w:r>
        <w:rPr>
          <w:rFonts w:ascii="Courier New" w:cs="Courier New" w:eastAsia="Courier New" w:hAnsi="Courier New"/>
          <w:sz w:val="15"/>
          <w:szCs w:val="15"/>
          <w:color w:val="auto"/>
        </w:rPr>
        <w:t>GARNET OF VIRGINIA, INC., AND GARNET OF MARYLAND, INC.</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1995</w:t>
      </w:r>
    </w:p>
    <w:p>
      <w:pPr>
        <w:spacing w:after="0" w:line="166" w:lineRule="exact"/>
        <w:rPr>
          <w:sz w:val="20"/>
          <w:szCs w:val="20"/>
          <w:color w:val="auto"/>
        </w:rPr>
      </w:pPr>
    </w:p>
    <w:p>
      <w:pPr>
        <w:ind w:left="540" w:hanging="530"/>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Garnet of Virginia, Inc., and Garnet of Maryland, Inc. (Virginia and Washington, D.C., corporations, respectively) (collectively, the Companies), are private companies engaged in various businesses in Washington, D.C. and surrounding areas. The business of each of the Companies is described below.</w:t>
      </w:r>
    </w:p>
    <w:p>
      <w:pPr>
        <w:spacing w:after="0" w:line="16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Garnet of Virginia, Inc. (GOV)-GOV obtained a permit from King George County, Virginia, for the construction of a municipal solid waste landfill facility in King George County. With the exception of operating a temporary municipal solid waste transfer station in King George County for purposes of disposing of county residents' waste (in accordance with the landfill agreement with King George County), GOV's primary operations to date have been the permitting and design of a municipal solid waste landfill treatment facility.</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Garnet of Maryland, Inc. (GOM)--GOM, through a joint venture agreement with LG Industries, Inc. (LG), operates a municipal solid waste transfer station in Washington, D.C. The transfer station began operations in April 1995. In addition, GOM has obtained a permit to construct and operate a municipal solid waste transfer station in Anne Arundel County, Maryland.</w:t>
      </w:r>
    </w:p>
    <w:p>
      <w:pPr>
        <w:spacing w:after="0" w:line="174"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Companies incurred operating losses during 1995 and as of December 31, 1995, the Companies had a working capital deficit of approximately $20.5 million. On February 2, 1996, all of the outstanding common stock of the Companies was purchased by Sanifill, Inc. (Sanifill). The purchase price of the Companies was sufficient to allow the Companies to recover the recorded value of their assets.</w:t>
      </w:r>
    </w:p>
    <w:p>
      <w:pPr>
        <w:spacing w:after="0" w:line="175" w:lineRule="exact"/>
        <w:rPr>
          <w:sz w:val="20"/>
          <w:szCs w:val="20"/>
          <w:color w:val="auto"/>
        </w:rPr>
      </w:pPr>
    </w:p>
    <w:p>
      <w:pPr>
        <w:ind w:left="540" w:right="7779" w:hanging="530"/>
        <w:spacing w:after="0" w:line="261" w:lineRule="auto"/>
        <w:tabs>
          <w:tab w:leader="none" w:pos="5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Combination</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Since voting control of the Companies is vested with a common group of stockholders, and because the Companies share certain administrative functions and costs, the financial statements of the Companies are presented on a combined basis as if they were a single entity. The combined financial statements represent the totals of the Companies' financial statements after eliminating significant intercompany balances and transactions. The Companies use the equity method to account for their investment in an affiliated company in which the Companies hold a 50 percent interest.</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Because the Companies do not have a parent-subsidiary relationship, the individual common stock ownership of the corporate entities as of December 31, 1995,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300" w:type="dxa"/>
            <w:vAlign w:val="bottom"/>
          </w:tcPr>
          <w:p>
            <w:pPr>
              <w:ind w:left="38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Entity</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Authorized</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Outstanding</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GOV</w:t>
            </w:r>
          </w:p>
        </w:tc>
        <w:tc>
          <w:tcPr>
            <w:tcW w:w="1300" w:type="dxa"/>
            <w:vAlign w:val="bottom"/>
          </w:tcPr>
          <w:p>
            <w:pPr>
              <w:ind w:left="380"/>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GOM</w:t>
            </w:r>
          </w:p>
        </w:tc>
        <w:tc>
          <w:tcPr>
            <w:tcW w:w="13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Companies' revenues are comprised primarily of disposal fees charged to customers.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87</w:t>
      </w:r>
    </w:p>
    <w:p>
      <w:pPr>
        <w:spacing w:after="0" w:line="237" w:lineRule="auto"/>
        <w:rPr>
          <w:sz w:val="20"/>
          <w:szCs w:val="20"/>
          <w:color w:val="auto"/>
        </w:rPr>
      </w:pPr>
      <w:r>
        <w:rPr>
          <w:rFonts w:ascii="Courier New" w:cs="Courier New" w:eastAsia="Courier New" w:hAnsi="Courier New"/>
          <w:sz w:val="15"/>
          <w:szCs w:val="15"/>
          <w:color w:val="auto"/>
        </w:rPr>
        <w:t>Cost of Operations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Cost of operations include disposal fees, labor, fuel, equipment maintenance, depreciation, amortization charges and other direct costs of operating the transfer station facilities.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Selling, general and administrative expenses include corporate management salaries, clerical and other administrative overhead.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Properly and Equipment</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Property and equipment is recorded at cost. Expenditures for major additions and improvements are capitalized. Minor replacements, maintenance and repairs which do not improve or extend the life of such assets are charged to operations as incurred. Disposals are removed at cost, less accumulated depreciation and amortization, and any resulting gain or loss is reflected in current operations. The Companies have computed depreciation for financial reporting purposes on the straight-line method. The estimated lives used in computing depreciation are as follows:</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equipment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Landfill development costs and land held for development include the cost of property, engineering, legal and other professional fees, and interest capitalized during the development period (which began in 1992) related to the King George County landfill. These costs will be amortized using the units-of-production method over the estimated permitted airspace capacity upon commencement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have elected to be treated as S Corporations for tax purposes in accordance with the Internal Revenue Code. Accordingly, federal and state income taxes have not been provided in the accompanying combined financial statements since taxes are payable by the stockholders on their total income or loss from all sources.</w:t>
      </w:r>
    </w:p>
    <w:p>
      <w:pPr>
        <w:spacing w:after="0" w:line="167" w:lineRule="exact"/>
        <w:rPr>
          <w:sz w:val="20"/>
          <w:szCs w:val="20"/>
          <w:color w:val="auto"/>
        </w:rPr>
      </w:pPr>
    </w:p>
    <w:p>
      <w:pPr>
        <w:ind w:left="540" w:hanging="530"/>
        <w:spacing w:after="0"/>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property and equipment as of December 31, 1995,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Landfill development costs</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$16,528,487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held for development</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2,455,860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equipment</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1,040,513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23,976</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20,048,836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Less-Accumulated depreciation</w:t>
            </w:r>
          </w:p>
        </w:tc>
        <w:tc>
          <w:tcPr>
            <w:tcW w:w="18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amortization</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(226,557)</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$19,822,279</w:t>
            </w:r>
          </w:p>
        </w:tc>
      </w:tr>
      <w:tr>
        <w:trPr>
          <w:trHeight w:val="168"/>
        </w:trPr>
        <w:tc>
          <w:tcPr>
            <w:tcW w:w="32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280" w:type="dxa"/>
            <w:vAlign w:val="bottom"/>
          </w:tcPr>
          <w:p>
            <w:pPr>
              <w:ind w:left="2280"/>
              <w:spacing w:after="0"/>
              <w:rPr>
                <w:sz w:val="20"/>
                <w:szCs w:val="20"/>
                <w:color w:val="auto"/>
              </w:rPr>
            </w:pPr>
            <w:r>
              <w:rPr>
                <w:rFonts w:ascii="Courier New" w:cs="Courier New" w:eastAsia="Courier New" w:hAnsi="Courier New"/>
                <w:sz w:val="15"/>
                <w:szCs w:val="15"/>
                <w:color w:val="auto"/>
              </w:rPr>
              <w:t>87</w:t>
            </w:r>
          </w:p>
        </w:tc>
        <w:tc>
          <w:tcPr>
            <w:tcW w:w="18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88</w:t>
      </w:r>
    </w:p>
    <w:p>
      <w:pPr>
        <w:spacing w:after="0" w:line="5"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Maintenance and repairs charged to operations during fiscal 1995 were approximately $13,000.</w:t>
      </w:r>
    </w:p>
    <w:p>
      <w:pPr>
        <w:spacing w:after="0" w:line="167" w:lineRule="exact"/>
        <w:rPr>
          <w:sz w:val="20"/>
          <w:szCs w:val="20"/>
          <w:color w:val="auto"/>
        </w:rPr>
      </w:pPr>
    </w:p>
    <w:p>
      <w:pPr>
        <w:ind w:left="540" w:hanging="53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AFFILIATED COMPANY:</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Companies use the equity method of accounting for their investment in an unconsolidated affiliate. The summarized balance sheet and income statement information presented in the table below reflects the amounts related to the LG/Garnet of Maryland Joint Venture (JV):</w:t>
      </w:r>
    </w:p>
    <w:p>
      <w:pPr>
        <w:spacing w:after="0" w:line="200" w:lineRule="exact"/>
        <w:rPr>
          <w:sz w:val="20"/>
          <w:szCs w:val="20"/>
          <w:color w:val="auto"/>
        </w:r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380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60" w:type="dxa"/>
            <w:vAlign w:val="bottom"/>
          </w:tcPr>
          <w:p>
            <w:pPr>
              <w:spacing w:after="0"/>
              <w:rPr>
                <w:sz w:val="24"/>
                <w:szCs w:val="24"/>
                <w:color w:val="auto"/>
              </w:rPr>
            </w:pP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Current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$ 2,417,431</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Noncurrent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1,007,652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$ 3,425,083</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Liabilities and owners' equity-</w:t>
            </w:r>
          </w:p>
        </w:tc>
        <w:tc>
          <w:tcPr>
            <w:tcW w:w="1260" w:type="dxa"/>
            <w:vAlign w:val="bottom"/>
          </w:tcPr>
          <w:p>
            <w:pPr>
              <w:spacing w:after="0"/>
              <w:rPr>
                <w:sz w:val="24"/>
                <w:szCs w:val="24"/>
                <w:color w:val="auto"/>
              </w:rPr>
            </w:pP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$ 2,417,431</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Owners' equity</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1,007,652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$ 3,425,083</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Companies' investments in JV</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$ 1,007,652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For the Year</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80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380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statement-</w:t>
            </w:r>
          </w:p>
        </w:tc>
        <w:tc>
          <w:tcPr>
            <w:tcW w:w="1260" w:type="dxa"/>
            <w:vAlign w:val="bottom"/>
          </w:tcPr>
          <w:p>
            <w:pPr>
              <w:spacing w:after="0"/>
              <w:rPr>
                <w:sz w:val="24"/>
                <w:szCs w:val="24"/>
                <w:color w:val="auto"/>
              </w:rPr>
            </w:pP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Revenues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$ 3,624,420</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Gross loss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(629,748)</w:t>
            </w:r>
          </w:p>
        </w:tc>
      </w:tr>
      <w:tr>
        <w:trPr>
          <w:trHeight w:val="168"/>
        </w:trPr>
        <w:tc>
          <w:tcPr>
            <w:tcW w:w="3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$(1,014,782)</w:t>
            </w:r>
          </w:p>
        </w:tc>
      </w:tr>
      <w:tr>
        <w:trPr>
          <w:trHeight w:val="505"/>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Companies' equity in loss of joint venture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$(1,014,782)</w:t>
            </w:r>
          </w:p>
        </w:tc>
      </w:tr>
      <w:tr>
        <w:trPr>
          <w:trHeight w:val="168"/>
        </w:trPr>
        <w:tc>
          <w:tcPr>
            <w:tcW w:w="38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Under the terms of the joint venture agreement, net losses as defined are allocated 100 percent to GOM. Additionally, GOM is responsible for funding any deficits of the JV, and as such, current assets of the joint venture include a $2.1 million receivable from GOM for such deficits. Since the joint venture began operations in April 1995, the JV has incurred operating losses. In the event future profits are earned by the JV, GOM will have future first claim to recover cumulative losses prior to distribution of profits to LG.</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89</w:t>
      </w:r>
    </w:p>
    <w:p>
      <w:pPr>
        <w:ind w:left="540" w:hanging="530"/>
        <w:spacing w:after="0" w:line="237"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 at December 31, 1995, are comprised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Rent deposit with King George County</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purchase options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417,975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Organization costs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254,496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Bond issuance costs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298,202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3,220,673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Less-Accumulated amortization</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(19,911)</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$3,200,762</w:t>
            </w:r>
          </w:p>
        </w:tc>
      </w:tr>
      <w:tr>
        <w:trPr>
          <w:trHeight w:val="168"/>
        </w:trPr>
        <w:tc>
          <w:tcPr>
            <w:tcW w:w="32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Organizational costs associated with formation of the JV are amortized over nine years, the term of the JV agreement, and bond issuance costs are amortized over the term of the bonds. Amortization expense for 1995 totaled $19,911.</w:t>
      </w:r>
    </w:p>
    <w:p>
      <w:pPr>
        <w:spacing w:after="0" w:line="169" w:lineRule="exact"/>
        <w:rPr>
          <w:sz w:val="20"/>
          <w:szCs w:val="20"/>
          <w:color w:val="auto"/>
        </w:rPr>
      </w:pPr>
    </w:p>
    <w:p>
      <w:pPr>
        <w:ind w:left="540" w:hanging="530"/>
        <w:spacing w:after="0"/>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as of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Notes payable, maturing in varying amounts through April 1996,</w:t>
            </w:r>
          </w:p>
        </w:tc>
        <w:tc>
          <w:tcPr>
            <w:tcW w:w="1400" w:type="dxa"/>
            <w:vAlign w:val="bottom"/>
          </w:tcPr>
          <w:p>
            <w:pPr>
              <w:spacing w:after="0"/>
              <w:rPr>
                <w:sz w:val="14"/>
                <w:szCs w:val="14"/>
                <w:color w:val="auto"/>
              </w:rPr>
            </w:pPr>
          </w:p>
        </w:tc>
      </w:tr>
      <w:tr>
        <w:trPr>
          <w:trHeight w:val="168"/>
        </w:trPr>
        <w:tc>
          <w:tcPr>
            <w:tcW w:w="60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with interest ranging from prime plus 1% to prime plus 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$ 8,598,274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obligations payable in monthly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installments of principal and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interest through January 2000, with interest ranging</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7.9% to 14.8%</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1,342,875</w:t>
            </w: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Series 1995A revenue bonds, bearing interest at 10%, interest</w:t>
            </w:r>
          </w:p>
        </w:tc>
        <w:tc>
          <w:tcPr>
            <w:tcW w:w="1400" w:type="dxa"/>
            <w:vAlign w:val="bottom"/>
          </w:tcPr>
          <w:p>
            <w:pPr>
              <w:spacing w:after="0"/>
              <w:rPr>
                <w:sz w:val="14"/>
                <w:szCs w:val="14"/>
                <w:color w:val="auto"/>
              </w:rPr>
            </w:pPr>
          </w:p>
        </w:tc>
      </w:tr>
      <w:tr>
        <w:trPr>
          <w:trHeight w:val="168"/>
        </w:trPr>
        <w:tc>
          <w:tcPr>
            <w:tcW w:w="60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payable semiannually, with final maturity at February 2016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debt</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10,941,149</w:t>
            </w: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9,114,493</w:t>
            </w: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Long-term debt, net of current portion</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$ 1,826,656</w:t>
            </w: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Aggregate maturities of long-term debt are as follows:</w:t>
            </w:r>
          </w:p>
        </w:tc>
        <w:tc>
          <w:tcPr>
            <w:tcW w:w="1400" w:type="dxa"/>
            <w:vAlign w:val="bottom"/>
          </w:tcPr>
          <w:p>
            <w:pPr>
              <w:spacing w:after="0"/>
              <w:rPr>
                <w:sz w:val="24"/>
                <w:szCs w:val="24"/>
                <w:color w:val="auto"/>
              </w:rPr>
            </w:pPr>
          </w:p>
        </w:tc>
      </w:tr>
      <w:tr>
        <w:trPr>
          <w:trHeight w:val="673"/>
        </w:trPr>
        <w:tc>
          <w:tcPr>
            <w:tcW w:w="464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Year ended December 31-</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4640" w:type="dxa"/>
            <w:vAlign w:val="bottom"/>
          </w:tcPr>
          <w:p>
            <w:pPr>
              <w:ind w:left="1400"/>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9,114,493</w:t>
            </w:r>
          </w:p>
        </w:tc>
        <w:tc>
          <w:tcPr>
            <w:tcW w:w="1400" w:type="dxa"/>
            <w:vAlign w:val="bottom"/>
          </w:tcPr>
          <w:p>
            <w:pPr>
              <w:spacing w:after="0"/>
              <w:rPr>
                <w:sz w:val="24"/>
                <w:szCs w:val="2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341,917</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292,097</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184,859</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7,783</w:t>
            </w:r>
          </w:p>
        </w:tc>
        <w:tc>
          <w:tcPr>
            <w:tcW w:w="1400" w:type="dxa"/>
            <w:vAlign w:val="bottom"/>
          </w:tcPr>
          <w:p>
            <w:pPr>
              <w:spacing w:after="0"/>
              <w:rPr>
                <w:sz w:val="14"/>
                <w:szCs w:val="14"/>
                <w:color w:val="auto"/>
              </w:rPr>
            </w:pPr>
          </w:p>
        </w:tc>
      </w:tr>
      <w:tr>
        <w:trPr>
          <w:trHeight w:val="168"/>
        </w:trPr>
        <w:tc>
          <w:tcPr>
            <w:tcW w:w="46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Thereafter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1,000,000</w:t>
            </w:r>
          </w:p>
        </w:tc>
        <w:tc>
          <w:tcPr>
            <w:tcW w:w="14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spacing w:after="0"/>
              <w:rPr>
                <w:sz w:val="14"/>
                <w:szCs w:val="14"/>
                <w:color w:val="auto"/>
              </w:rPr>
            </w:pPr>
          </w:p>
        </w:tc>
      </w:tr>
      <w:tr>
        <w:trPr>
          <w:trHeight w:val="168"/>
        </w:trPr>
        <w:tc>
          <w:tcPr>
            <w:tcW w:w="464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$10,941,149</w:t>
            </w:r>
          </w:p>
        </w:tc>
        <w:tc>
          <w:tcPr>
            <w:tcW w:w="14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spacing w:after="0"/>
              <w:rPr>
                <w:sz w:val="14"/>
                <w:szCs w:val="14"/>
                <w:color w:val="auto"/>
              </w:rPr>
            </w:pPr>
          </w:p>
        </w:tc>
      </w:tr>
      <w:tr>
        <w:trPr>
          <w:trHeight w:val="841"/>
        </w:trPr>
        <w:tc>
          <w:tcPr>
            <w:tcW w:w="4640" w:type="dxa"/>
            <w:vAlign w:val="bottom"/>
          </w:tcPr>
          <w:p>
            <w:pPr>
              <w:ind w:left="3420"/>
              <w:spacing w:after="0"/>
              <w:rPr>
                <w:sz w:val="20"/>
                <w:szCs w:val="20"/>
                <w:color w:val="auto"/>
              </w:rPr>
            </w:pPr>
            <w:r>
              <w:rPr>
                <w:rFonts w:ascii="Courier New" w:cs="Courier New" w:eastAsia="Courier New" w:hAnsi="Courier New"/>
                <w:sz w:val="15"/>
                <w:szCs w:val="15"/>
                <w:color w:val="auto"/>
              </w:rPr>
              <w:t>89</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During 1995, the Companies obtained from the Industrial Development Authority of King George County, Virginia, a credit facility under which it may issue up to $30 million of tax-exempt industrial revenue bonds and $15 million in taxable industrial revenue bonds. Bonds issued under this facility are secured by future revenues of the landfill treatment facility as well as all personal and real property of the Companies. Additionally, all stockholders of the Companies have entered into a stock-pledge agreement further securing any borrowings under this facility. The bonds are covered by an indenture of trust and security agreement which places restrictions on the issuance of additional stock in the Companies and the sale of assets of the Companies. The bonds are subject to redemption at the direction of the Companies in the event of damage or destruction to the landfill treatment facility and at any time on or after February 2004 at a premium of 102 percent, declining to 100 percent in February 2006. The bonds are also subject to mandatory sinking fund redemption from 2007 through maturity in 2016. Proceeds from bonds issued are required to be held in trust for the purposes of funding construction of the project and may be utilized through requisition by the Company. As of December 31, 1995, approximately $894,000 of unspent bond proceeds was held in trust and are included in restricted cash in the accompanying combined balance sheet, and $1,000,000 of tax-exempt industrial revenue bonds were outstanding under the credit facility.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payable are collateralized by various property and equipment.</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Total assets recorded under capital leases and the accumulated depreciation and amortization thereon were approximately $899,000 and $190,000 as of December 31, 1995.</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Interest capitalized on funds used for landfill development was approximately $495,000 in 1995.</w:t>
      </w:r>
    </w:p>
    <w:p>
      <w:pPr>
        <w:spacing w:after="0" w:line="167" w:lineRule="exact"/>
        <w:rPr>
          <w:sz w:val="20"/>
          <w:szCs w:val="20"/>
          <w:color w:val="auto"/>
        </w:rPr>
      </w:pPr>
    </w:p>
    <w:p>
      <w:pPr>
        <w:ind w:left="540" w:hanging="530"/>
        <w:spacing w:after="0"/>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the ordinary course of business, the Companies engage in transactions with one of their significant stockholders, Blake R. Van Leer II and with Garnet, Inc., an affiliated company. As of December 31, 1995, notes payable to Blake R. Van Leer II and Garnet, Inc., totaled $675,000 and $214,810, respectively. Both of these notes are payable on demand and bear interest at prime plus 1 percent. Interest expense on these notes totaled approximately $20,000 during 1995.</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of December 31, 1995, the Companies have notes payable of $5,155,000 to a partnership which is owned by four stockholders of the Companies. These notes payable are secured by a stock-pledge agreement from other stockholders of the Companies, bear interest at prime plus 1 percent and are due in February 1996. Interest expense on these notes totaled $386,768 for the year ended December 31, 1995, and is included in accrued liabilities in the accompanying combined balance sheet.</w:t>
      </w:r>
    </w:p>
    <w:p>
      <w:pPr>
        <w:spacing w:after="0" w:line="17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addition to the notes payable above, the Companies have accounts payable to the JV totaling approximately $1,894,000, representing operating deficits required to be funded by GOM under the terms of the joint venture agreement. See Note 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left="540" w:right="5059" w:hanging="530"/>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LANDFILL CLOSURE, POSTCLOSURE CAPPING AND REMEDIATION RESERVES: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As part of the agreement with King George County for obtaining a municipal solid waste disposal permit, the Companies assumed the closure and postclosure responsibilities for the existing King George County landfill. As part of this agreement, the Companies agreed to exhume all waste from the existing landfill and transfer it to the new facility over a period not to exceed five years. Additionally, the Companies have assumed responsibility for the removal and disposal of tires from another county site.</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Companies have material financial obligations relating to the final closure and postclosure care of the existing facility. Landfills are typically developed in a series of cells, each of which is constructed, filled and capped in sequence over the operating life of the landfill. When the final cell is filled and the operating life of the landfill is over, the final cell must be capped, the entire site must be closed and postclosure care and monitoring activities begin. The Companies have estimated, as of December 31, 1995, that total costs for final closure of the existing facility, including waste and tire removal, and postclosure activities, including cap maintenance, groundwater monitoring, methane gas monitoring and leachate treatment/ disposal for up to 10 years after closure and remediation costs, will approximate $6.0 million. In addition, the Companies have estimated, as of December 31, 1995, that capping costs expected to occur will approximate $1.5 million. The above amounts are net of costs to be shared by King George County under the terms of the landfill development agreement.</w:t>
      </w:r>
    </w:p>
    <w:p>
      <w:pPr>
        <w:spacing w:after="0" w:line="16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above estimates are based on engineering reviews and the applicable state and federal regulations. Engineering reviews are performed annually. In performing the review, the Companies analyze actual costs incurred versus total estimated costs, update cost estimates to reflect current regulatory requirements and consider requirements of proposed regulatory changes. Amendments to current laws and regulations governing the Companies' operations or more stringent implementation thereof, or unfavorable cost variances could have a material adverse effect on the Companies' operations or require substantial capital expenditures.</w:t>
      </w:r>
    </w:p>
    <w:p>
      <w:pPr>
        <w:spacing w:after="0" w:line="172" w:lineRule="exact"/>
        <w:rPr>
          <w:sz w:val="20"/>
          <w:szCs w:val="20"/>
          <w:color w:val="auto"/>
        </w:rPr>
      </w:pPr>
    </w:p>
    <w:p>
      <w:pPr>
        <w:ind w:left="540" w:hanging="530"/>
        <w:spacing w:after="0"/>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CUSTOMER AND VENDOR:</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 certain customer of the Companies accounted for approximately 76 percent of 1995 revenues. This customer also provides services to the Companies which accounted for 35 percent of 1995 cost of operations. Additionally, another customer accounted for approximately 15 percent of 1995 revenues.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receive services related to the development of the King George County landfill from a few vendors and contractors. Management believes they can purchase such services from other vendors and contractors similar to those currently offered whereby the Companies' operations would not be adversely affected.</w:t>
      </w:r>
    </w:p>
    <w:p>
      <w:pPr>
        <w:spacing w:after="0" w:line="174" w:lineRule="exact"/>
        <w:rPr>
          <w:sz w:val="20"/>
          <w:szCs w:val="20"/>
          <w:color w:val="auto"/>
        </w:rPr>
      </w:pPr>
    </w:p>
    <w:p>
      <w:pPr>
        <w:ind w:right="7259" w:firstLine="10"/>
        <w:spacing w:after="0" w:line="465" w:lineRule="auto"/>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Commitments</w:t>
      </w:r>
    </w:p>
    <w:p>
      <w:pPr>
        <w:spacing w:after="0" w:line="1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of December 31, 1995, the Companies have entered into various options to purchase land on which the King George County landfill treatment facility will be located as well as land adjacent to the landfill area. Substantially all of these options were exercised subsequent to year end for a total purchase price of approximately $5.7 million.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92</w:t>
      </w:r>
    </w:p>
    <w:p>
      <w:pPr>
        <w:spacing w:after="0" w:line="237" w:lineRule="auto"/>
        <w:rPr>
          <w:sz w:val="20"/>
          <w:szCs w:val="20"/>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Companies have entered into an operating lease agreement with King George County for the land on which the landfill treatment facility will be located. Rent will begin on this facility once operations commence. In addition, the Companies have entered into lease agreements for land and buildings where transfer stations are currently located or are to be constructed. Minimum future lease payments under these leases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640" w:type="dxa"/>
            <w:vAlign w:val="bottom"/>
          </w:tcPr>
          <w:p>
            <w:pPr>
              <w:ind w:left="700"/>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433,100</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1,942,600</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1,952,500</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1,961,145</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2000</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1,970,222</w:t>
            </w: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Thereafter</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54,757,204</w:t>
            </w:r>
          </w:p>
        </w:tc>
      </w:tr>
      <w:tr>
        <w:trPr>
          <w:trHeight w:val="168"/>
        </w:trPr>
        <w:tc>
          <w:tcPr>
            <w:tcW w:w="2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$63,016,771</w:t>
            </w:r>
          </w:p>
        </w:tc>
      </w:tr>
      <w:tr>
        <w:trPr>
          <w:trHeight w:val="168"/>
        </w:trPr>
        <w:tc>
          <w:tcPr>
            <w:tcW w:w="2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have received notice from an Underwriter used in connection with the offering of its Industrial Revenue Bonds that the underwriter is entitled to certain fees and expenses ranging from $200,000 to $570,000. The Companies believes such fees are not owed and intend to vigorously contest the fees.</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Companies have received notice from a partnership that the partnership is entitled to a finder's fee for assisting the Company in obtaining third-party financing. The Companies believe that they have no liability in this matter and intend to contest the matter vigorously.</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Companies received notice from a third-party alleging breach of contract in connection with a contract to purchase certain property for $945,000. The Plaintiffs filed suit in March 1995 seeking approximately $595,000 in compensatory damages, plus $350,000 in punitive damages. The Companies believe that they have no liability in this matter and intend to contest the matter vigorously.</w:t>
      </w:r>
    </w:p>
    <w:p>
      <w:pPr>
        <w:spacing w:after="0" w:line="17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addition to the above-described litigation, the Companies are involved in various other administrative proceedings, as well as other claims, disputes and assessments that could result in additional litigation or other proceedings. Management believes that the outcome of all of the matters discussed above will not have a material adverse effect on the Companies combined financial position or results of operations.</w:t>
      </w:r>
    </w:p>
    <w:p>
      <w:pPr>
        <w:spacing w:after="0" w:line="168" w:lineRule="exact"/>
        <w:rPr>
          <w:sz w:val="20"/>
          <w:szCs w:val="20"/>
          <w:color w:val="auto"/>
        </w:rPr>
      </w:pPr>
    </w:p>
    <w:p>
      <w:pPr>
        <w:ind w:left="540" w:hanging="530"/>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January 1996, the Companies obtained a working capital loan in the amount of $10 million from Sanifill. Proceeds of this loan were used to exercise substantially all outstanding land purchase options and for general working capital purposes. All of the land purchased by the Companies was deeded to King George County in accordance with the terms of the landfill development agreement. The Companies will lease this land from the county for operations of the landfill.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93</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237" w:lineRule="auto"/>
        <w:rPr>
          <w:sz w:val="20"/>
          <w:szCs w:val="20"/>
          <w:color w:val="auto"/>
        </w:rPr>
      </w:pPr>
      <w:r>
        <w:rPr>
          <w:rFonts w:ascii="Courier New" w:cs="Courier New" w:eastAsia="Courier New" w:hAnsi="Courier New"/>
          <w:sz w:val="15"/>
          <w:szCs w:val="15"/>
          <w:color w:val="auto"/>
        </w:rPr>
        <w:t>The Orange Group Entities</w:t>
      </w:r>
    </w:p>
    <w:p>
      <w:pPr>
        <w:spacing w:after="0" w:line="238" w:lineRule="auto"/>
        <w:rPr>
          <w:sz w:val="20"/>
          <w:szCs w:val="20"/>
          <w:color w:val="auto"/>
        </w:rPr>
      </w:pPr>
      <w:r>
        <w:rPr>
          <w:rFonts w:ascii="Courier New" w:cs="Courier New" w:eastAsia="Courier New" w:hAnsi="Courier New"/>
          <w:sz w:val="15"/>
          <w:szCs w:val="15"/>
          <w:color w:val="auto"/>
        </w:rPr>
        <w:t>Orlando, Florida</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The Orange Group as of December 31, 1995, and the related combined statements of operations, retained earnings, and cash flows for the year then ended. These combined financial statements are the responsibility of the Group's management. Our responsibility is to express an opinion on these combined financial statements based on our audit.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As discussed in Note 15 to the combined financial statements, the Group sold substantially all of its tangible and real property on February 5, 1996.</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Orange Group as of December 31, 1995, and the results of its operations and its cash flows for the year then ended in conformity with generally accepted accounting principles.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OSBURN, HENNING AND COMPANY</w:t>
      </w:r>
    </w:p>
    <w:p>
      <w:pPr>
        <w:spacing w:after="0" w:line="237" w:lineRule="auto"/>
        <w:rPr>
          <w:sz w:val="20"/>
          <w:szCs w:val="20"/>
          <w:color w:val="auto"/>
        </w:rPr>
      </w:pPr>
      <w:r>
        <w:rPr>
          <w:rFonts w:ascii="Courier New" w:cs="Courier New" w:eastAsia="Courier New" w:hAnsi="Courier New"/>
          <w:sz w:val="15"/>
          <w:szCs w:val="15"/>
          <w:color w:val="auto"/>
        </w:rPr>
        <w:t>July 13, 1996</w:t>
      </w:r>
    </w:p>
    <w:p>
      <w:pPr>
        <w:spacing w:after="0" w:line="238" w:lineRule="auto"/>
        <w:rPr>
          <w:sz w:val="20"/>
          <w:szCs w:val="20"/>
          <w:color w:val="auto"/>
        </w:rPr>
      </w:pPr>
      <w:r>
        <w:rPr>
          <w:rFonts w:ascii="Courier New" w:cs="Courier New" w:eastAsia="Courier New" w:hAnsi="Courier New"/>
          <w:sz w:val="15"/>
          <w:szCs w:val="15"/>
          <w:color w:val="auto"/>
        </w:rPr>
        <w:t>Orlando, Florida</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94</w:t>
      </w:r>
    </w:p>
    <w:tbl>
      <w:tblPr>
        <w:tblLayout w:type="fixed"/>
        <w:tblInd w:w="0" w:type="dxa"/>
        <w:tblCellMar>
          <w:top w:w="0" w:type="dxa"/>
          <w:left w:w="0" w:type="dxa"/>
          <w:bottom w:w="0" w:type="dxa"/>
          <w:right w:w="0" w:type="dxa"/>
        </w:tblCellMar>
      </w:tblPr>
      <w:tr>
        <w:trPr>
          <w:trHeight w:val="168"/>
        </w:trPr>
        <w:tc>
          <w:tcPr>
            <w:tcW w:w="60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THE ORANGE GROUP</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000" w:type="dxa"/>
            <w:vAlign w:val="bottom"/>
          </w:tcPr>
          <w:p>
            <w:pPr>
              <w:ind w:left="2540"/>
              <w:spacing w:after="0"/>
              <w:rPr>
                <w:sz w:val="20"/>
                <w:szCs w:val="20"/>
                <w:color w:val="auto"/>
              </w:rPr>
            </w:pPr>
            <w:r>
              <w:rPr>
                <w:rFonts w:ascii="Courier New" w:cs="Courier New" w:eastAsia="Courier New" w:hAnsi="Courier New"/>
                <w:sz w:val="15"/>
                <w:szCs w:val="15"/>
                <w:color w:val="auto"/>
              </w:rPr>
              <w:t>COMBINED BALANCE SHEET</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December 31, 1995</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6000" w:type="dxa"/>
            <w:vAlign w:val="bottom"/>
          </w:tcPr>
          <w:p>
            <w:pPr>
              <w:ind w:left="10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146,321</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912,305</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1,058,626</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LAND AND EQUIPMENT, net of accumulated depletion and depreciation</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4,560,795</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116,395</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$5,735,816</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AND STOCKHOLDERS' EQUITY (DEFICIT)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 payable to bank</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maturities of long-term notes payable</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958,914</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maturities of long-term notes payable - stockholders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428,439</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552,006</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1,989,359</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Notes payable, less current maturities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3,490,105</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Notes payable - stockholders, less current maturities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710,377</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closure and post-closure costs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632,974</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long-term liabilities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4,833,456</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6,822,815</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10,720</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146,380</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(483,192)</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(326,092)</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treasury stock</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(760,907)</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stockholders' equity (deficit)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(1,086,999)</w:t>
            </w:r>
          </w:p>
        </w:tc>
      </w:tr>
      <w:tr>
        <w:trPr>
          <w:trHeight w:val="168"/>
        </w:trPr>
        <w:tc>
          <w:tcPr>
            <w:tcW w:w="60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 and stockholders' equity (deficit)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$5,735,816</w:t>
            </w:r>
          </w:p>
        </w:tc>
      </w:tr>
    </w:tbl>
    <w:p>
      <w:pPr>
        <w:ind w:left="63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95</w:t>
      </w:r>
    </w:p>
    <w:tbl>
      <w:tblPr>
        <w:tblLayout w:type="fixed"/>
        <w:tblInd w:w="0" w:type="dxa"/>
        <w:tblCellMar>
          <w:top w:w="0" w:type="dxa"/>
          <w:left w:w="0" w:type="dxa"/>
          <w:bottom w:w="0" w:type="dxa"/>
          <w:right w:w="0" w:type="dxa"/>
        </w:tblCellMar>
      </w:tblPr>
      <w:tr>
        <w:trPr>
          <w:trHeight w:val="168"/>
        </w:trPr>
        <w:tc>
          <w:tcPr>
            <w:tcW w:w="518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7"/>
              </w:rPr>
              <w:t>THE ORANGE GROUP</w:t>
            </w:r>
          </w:p>
        </w:tc>
        <w:tc>
          <w:tcPr>
            <w:tcW w:w="1220" w:type="dxa"/>
            <w:vAlign w:val="bottom"/>
          </w:tcPr>
          <w:p>
            <w:pPr>
              <w:spacing w:after="0"/>
              <w:rPr>
                <w:sz w:val="14"/>
                <w:szCs w:val="14"/>
                <w:color w:val="auto"/>
              </w:rPr>
            </w:pPr>
          </w:p>
        </w:tc>
      </w:tr>
      <w:tr>
        <w:trPr>
          <w:trHeight w:val="336"/>
        </w:trPr>
        <w:tc>
          <w:tcPr>
            <w:tcW w:w="518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7"/>
              </w:rPr>
              <w:t>COMBINED STATEMENT OF OPERATIONS</w:t>
            </w:r>
          </w:p>
        </w:tc>
        <w:tc>
          <w:tcPr>
            <w:tcW w:w="1220" w:type="dxa"/>
            <w:vAlign w:val="bottom"/>
          </w:tcPr>
          <w:p>
            <w:pPr>
              <w:spacing w:after="0"/>
              <w:rPr>
                <w:sz w:val="24"/>
                <w:szCs w:val="24"/>
                <w:color w:val="auto"/>
              </w:rPr>
            </w:pPr>
          </w:p>
        </w:tc>
      </w:tr>
      <w:tr>
        <w:trPr>
          <w:trHeight w:val="168"/>
        </w:trPr>
        <w:tc>
          <w:tcPr>
            <w:tcW w:w="518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7"/>
              </w:rPr>
              <w:t>Year Ended December 31, 1995</w:t>
            </w:r>
          </w:p>
        </w:tc>
        <w:tc>
          <w:tcPr>
            <w:tcW w:w="1220" w:type="dxa"/>
            <w:vAlign w:val="bottom"/>
          </w:tcPr>
          <w:p>
            <w:pPr>
              <w:spacing w:after="0"/>
              <w:rPr>
                <w:sz w:val="14"/>
                <w:szCs w:val="14"/>
                <w:color w:val="auto"/>
              </w:rPr>
            </w:pPr>
          </w:p>
        </w:tc>
      </w:tr>
      <w:tr>
        <w:trPr>
          <w:trHeight w:val="6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$7,798,100</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Labor</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1,285,690</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Gas and oil</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856,681</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Materials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777,637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678,172</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Repairs and maintenance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653,683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Trucking and hauling</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498,077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Insurance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415,354</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 rental</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274,620</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Closure and post-closure provision</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154,046</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direct costs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464,735</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6,058,695</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1,739,405</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spacing w:after="0"/>
              <w:rPr>
                <w:sz w:val="24"/>
                <w:szCs w:val="2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Salaries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304,408</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Management fee expense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195,941</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 and license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174,778</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Insurance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174,377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Legal and professional</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78,683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 expense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68,937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Telephone and utilities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65,833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Rents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65,331</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operating expenses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31,964</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1,160,252</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Income from operations</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579,153</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2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(600,748)</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sale of assets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(21,753)</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Miscellaneous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34,058</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(588,443)</w:t>
            </w:r>
          </w:p>
        </w:tc>
      </w:tr>
      <w:tr>
        <w:trPr>
          <w:trHeight w:val="168"/>
        </w:trPr>
        <w:tc>
          <w:tcPr>
            <w:tcW w:w="5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loss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(9,290)</w:t>
            </w:r>
          </w:p>
        </w:tc>
      </w:tr>
    </w:tbl>
    <w:p>
      <w:pPr>
        <w:ind w:left="5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96</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COMBINED STATEMENT OF RETAINED EARNINGS</w:t>
      </w:r>
    </w:p>
    <w:p>
      <w:pPr>
        <w:ind w:left="2280"/>
        <w:spacing w:after="0" w:line="237" w:lineRule="auto"/>
        <w:rPr>
          <w:sz w:val="20"/>
          <w:szCs w:val="20"/>
          <w:color w:val="auto"/>
        </w:rPr>
      </w:pPr>
      <w:r>
        <w:rPr>
          <w:rFonts w:ascii="Courier New" w:cs="Courier New" w:eastAsia="Courier New" w:hAnsi="Courier New"/>
          <w:sz w:val="15"/>
          <w:szCs w:val="15"/>
          <w:color w:val="auto"/>
        </w:rPr>
        <w:t>Year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Retained earnings, beginning</w:t>
            </w: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$ 345,309</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(9,290)</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Dividends</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(819,211)</w:t>
            </w:r>
          </w:p>
        </w:tc>
      </w:tr>
      <w:tr>
        <w:trPr>
          <w:trHeight w:val="168"/>
        </w:trPr>
        <w:tc>
          <w:tcPr>
            <w:tcW w:w="4160" w:type="dxa"/>
            <w:vAlign w:val="bottom"/>
          </w:tcPr>
          <w:p>
            <w:pPr>
              <w:spacing w:after="0"/>
              <w:rPr>
                <w:sz w:val="14"/>
                <w:szCs w:val="14"/>
                <w:color w:val="auto"/>
              </w:rPr>
            </w:pPr>
          </w:p>
        </w:tc>
        <w:tc>
          <w:tcPr>
            <w:tcW w:w="2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(deficit), ending</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(483,192)</w:t>
            </w:r>
          </w:p>
        </w:tc>
      </w:tr>
    </w:tbl>
    <w:p>
      <w:pPr>
        <w:ind w:left="52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97</w:t>
      </w:r>
    </w:p>
    <w:tbl>
      <w:tblPr>
        <w:tblLayout w:type="fixed"/>
        <w:tblInd w:w="0" w:type="dxa"/>
        <w:tblCellMar>
          <w:top w:w="0" w:type="dxa"/>
          <w:left w:w="0" w:type="dxa"/>
          <w:bottom w:w="0" w:type="dxa"/>
          <w:right w:w="0" w:type="dxa"/>
        </w:tblCellMar>
      </w:tblPr>
      <w:tr>
        <w:trPr>
          <w:trHeight w:val="168"/>
        </w:trPr>
        <w:tc>
          <w:tcPr>
            <w:tcW w:w="5860" w:type="dxa"/>
            <w:vAlign w:val="bottom"/>
          </w:tcPr>
          <w:p>
            <w:pPr>
              <w:jc w:val="center"/>
              <w:ind w:left="1067"/>
              <w:spacing w:after="0" w:line="168" w:lineRule="exact"/>
              <w:rPr>
                <w:sz w:val="20"/>
                <w:szCs w:val="20"/>
                <w:color w:val="auto"/>
              </w:rPr>
            </w:pPr>
            <w:r>
              <w:rPr>
                <w:rFonts w:ascii="Courier New" w:cs="Courier New" w:eastAsia="Courier New" w:hAnsi="Courier New"/>
                <w:sz w:val="15"/>
                <w:szCs w:val="15"/>
                <w:color w:val="auto"/>
                <w:w w:val="97"/>
              </w:rPr>
              <w:t>THE ORANGE GROUP</w:t>
            </w:r>
          </w:p>
        </w:tc>
        <w:tc>
          <w:tcPr>
            <w:tcW w:w="1400" w:type="dxa"/>
            <w:vAlign w:val="bottom"/>
          </w:tcPr>
          <w:p>
            <w:pPr>
              <w:spacing w:after="0"/>
              <w:rPr>
                <w:sz w:val="14"/>
                <w:szCs w:val="14"/>
                <w:color w:val="auto"/>
              </w:rPr>
            </w:pPr>
          </w:p>
        </w:tc>
      </w:tr>
      <w:tr>
        <w:trPr>
          <w:trHeight w:val="336"/>
        </w:trPr>
        <w:tc>
          <w:tcPr>
            <w:tcW w:w="5860" w:type="dxa"/>
            <w:vAlign w:val="bottom"/>
          </w:tcPr>
          <w:p>
            <w:pPr>
              <w:jc w:val="center"/>
              <w:ind w:left="1067"/>
              <w:spacing w:after="0"/>
              <w:rPr>
                <w:sz w:val="20"/>
                <w:szCs w:val="20"/>
                <w:color w:val="auto"/>
              </w:rPr>
            </w:pPr>
            <w:r>
              <w:rPr>
                <w:rFonts w:ascii="Courier New" w:cs="Courier New" w:eastAsia="Courier New" w:hAnsi="Courier New"/>
                <w:sz w:val="15"/>
                <w:szCs w:val="15"/>
                <w:color w:val="auto"/>
                <w:w w:val="97"/>
              </w:rPr>
              <w:t>COMBINED STATEMENT OF CASH FLOWS</w:t>
            </w:r>
          </w:p>
        </w:tc>
        <w:tc>
          <w:tcPr>
            <w:tcW w:w="1400" w:type="dxa"/>
            <w:vAlign w:val="bottom"/>
          </w:tcPr>
          <w:p>
            <w:pPr>
              <w:spacing w:after="0"/>
              <w:rPr>
                <w:sz w:val="24"/>
                <w:szCs w:val="24"/>
                <w:color w:val="auto"/>
              </w:rPr>
            </w:pPr>
          </w:p>
        </w:tc>
      </w:tr>
      <w:tr>
        <w:trPr>
          <w:trHeight w:val="168"/>
        </w:trPr>
        <w:tc>
          <w:tcPr>
            <w:tcW w:w="5860" w:type="dxa"/>
            <w:vAlign w:val="bottom"/>
          </w:tcPr>
          <w:p>
            <w:pPr>
              <w:jc w:val="center"/>
              <w:ind w:left="1087"/>
              <w:spacing w:after="0" w:line="168" w:lineRule="exact"/>
              <w:rPr>
                <w:sz w:val="20"/>
                <w:szCs w:val="20"/>
                <w:color w:val="auto"/>
              </w:rPr>
            </w:pPr>
            <w:r>
              <w:rPr>
                <w:rFonts w:ascii="Courier New" w:cs="Courier New" w:eastAsia="Courier New" w:hAnsi="Courier New"/>
                <w:sz w:val="15"/>
                <w:szCs w:val="15"/>
                <w:color w:val="auto"/>
                <w:w w:val="97"/>
              </w:rPr>
              <w:t>Year Ended December 31, 1995</w:t>
            </w:r>
          </w:p>
        </w:tc>
        <w:tc>
          <w:tcPr>
            <w:tcW w:w="1400" w:type="dxa"/>
            <w:vAlign w:val="bottom"/>
          </w:tcPr>
          <w:p>
            <w:pPr>
              <w:spacing w:after="0"/>
              <w:rPr>
                <w:sz w:val="14"/>
                <w:szCs w:val="14"/>
                <w:color w:val="auto"/>
              </w:rPr>
            </w:pPr>
          </w:p>
        </w:tc>
      </w:tr>
      <w:tr>
        <w:trPr>
          <w:trHeight w:val="6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(9,290)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w:t>
            </w:r>
          </w:p>
        </w:tc>
        <w:tc>
          <w:tcPr>
            <w:tcW w:w="1400" w:type="dxa"/>
            <w:vAlign w:val="bottom"/>
          </w:tcPr>
          <w:p>
            <w:pPr>
              <w:spacing w:after="0"/>
              <w:rPr>
                <w:sz w:val="14"/>
                <w:szCs w:val="14"/>
                <w:color w:val="auto"/>
              </w:rPr>
            </w:pPr>
          </w:p>
        </w:tc>
      </w:tr>
      <w:tr>
        <w:trPr>
          <w:trHeight w:val="168"/>
        </w:trPr>
        <w:tc>
          <w:tcPr>
            <w:tcW w:w="5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400" w:type="dxa"/>
            <w:vAlign w:val="bottom"/>
          </w:tcPr>
          <w:p>
            <w:pPr>
              <w:spacing w:after="0"/>
              <w:rPr>
                <w:sz w:val="14"/>
                <w:szCs w:val="14"/>
                <w:color w:val="auto"/>
              </w:rPr>
            </w:pP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Depletion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32,247</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Depreciation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645,925</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Loss on sale of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21,753</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Provision for post-closure costs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154,046</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w:t>
            </w:r>
          </w:p>
        </w:tc>
        <w:tc>
          <w:tcPr>
            <w:tcW w:w="1400" w:type="dxa"/>
            <w:vAlign w:val="bottom"/>
          </w:tcPr>
          <w:p>
            <w:pPr>
              <w:spacing w:after="0"/>
              <w:rPr>
                <w:sz w:val="14"/>
                <w:szCs w:val="14"/>
                <w:color w:val="auto"/>
              </w:rPr>
            </w:pP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(131,035)</w:t>
            </w: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w:t>
            </w:r>
          </w:p>
        </w:tc>
        <w:tc>
          <w:tcPr>
            <w:tcW w:w="1400" w:type="dxa"/>
            <w:vAlign w:val="bottom"/>
          </w:tcPr>
          <w:p>
            <w:pPr>
              <w:spacing w:after="0"/>
              <w:rPr>
                <w:sz w:val="14"/>
                <w:szCs w:val="14"/>
                <w:color w:val="auto"/>
              </w:rPr>
            </w:pPr>
          </w:p>
        </w:tc>
      </w:tr>
      <w:tr>
        <w:trPr>
          <w:trHeight w:val="168"/>
        </w:trPr>
        <w:tc>
          <w:tcPr>
            <w:tcW w:w="5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242,739</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950,764</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equipment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(311,621)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265,976</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(45,645)</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notes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474,073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long-term notes payable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(826,343)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notes payable - stockholders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348,000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notes payable - stockholders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(147,603)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note payable to bank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related party advances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(4,958)</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(819,211)</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(946,042)</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DECREASE IN CASH</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(40,923)</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BEGINNING</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187,244</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ENDING</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$ 146,321</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140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during the year for interest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$ 517,917</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 cash investing and</w:t>
            </w:r>
          </w:p>
        </w:tc>
        <w:tc>
          <w:tcPr>
            <w:tcW w:w="1400" w:type="dxa"/>
            <w:vAlign w:val="bottom"/>
          </w:tcPr>
          <w:p>
            <w:pPr>
              <w:spacing w:after="0"/>
              <w:rPr>
                <w:sz w:val="24"/>
                <w:szCs w:val="2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400" w:type="dxa"/>
            <w:vAlign w:val="bottom"/>
          </w:tcPr>
          <w:p>
            <w:pPr>
              <w:spacing w:after="0"/>
              <w:rPr>
                <w:sz w:val="14"/>
                <w:szCs w:val="14"/>
                <w:color w:val="auto"/>
              </w:rPr>
            </w:pPr>
          </w:p>
        </w:tc>
      </w:tr>
      <w:tr>
        <w:trPr>
          <w:trHeight w:val="168"/>
        </w:trPr>
        <w:tc>
          <w:tcPr>
            <w:tcW w:w="5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Purchase of equipment with proceeds of notes payable</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$ 157,167</w:t>
            </w:r>
          </w:p>
        </w:tc>
      </w:tr>
      <w:tr>
        <w:trPr>
          <w:trHeight w:val="168"/>
        </w:trPr>
        <w:tc>
          <w:tcPr>
            <w:tcW w:w="58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620"/>
              <w:spacing w:after="0"/>
              <w:rPr>
                <w:sz w:val="20"/>
                <w:szCs w:val="20"/>
                <w:color w:val="auto"/>
              </w:rPr>
            </w:pPr>
            <w:r>
              <w:rPr>
                <w:rFonts w:ascii="Courier New" w:cs="Courier New" w:eastAsia="Courier New" w:hAnsi="Courier New"/>
                <w:sz w:val="15"/>
                <w:szCs w:val="15"/>
                <w:color w:val="auto"/>
              </w:rPr>
              <w:t>Reduction of notes payable through sale of asset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$ 107,110</w:t>
            </w:r>
          </w:p>
        </w:tc>
      </w:tr>
    </w:tbl>
    <w:p>
      <w:pPr>
        <w:ind w:left="64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98</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Principles of Combination</w:t>
      </w:r>
    </w:p>
    <w:p>
      <w:pPr>
        <w:spacing w:after="0" w:line="173"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The combined financial statements of The Orange Group (the Group) include the financial statements of Orange Waste, Recycling &amp; Materials, Inc. (OWR), Orange Soil Cement, Inc. (OSC), Orange Trucking, Inc. (OTI), and Orange Transportation Corp. (OTC). OWR, OSC and OTI are owned fifty percent each by Randy Burden and Douglas Hooker. OTC is owned fifty percent by Messrs. Burden and Hooker, and fifty percent by a third party. The financial statements of the companies have been combined on the basis of common ownership and management. All significant balances and transactions between the companies have been eliminated in the accompanying combined financial statements.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Business Activity and Organization</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OWR was incorporated in 1981. Its principal business activity is the operation of a 70 acre Class III landfill and a 70 acre C &amp; D landfill in Orange County, Florida. OWR also owns adjacent acreage which, when fully permitted, is expected to increase the size of the landfill by 50 acres. Its revenues are derived from the sale of soil excavated from the landfill (export), and the collection of fees from customers depositing qualifying waste into the landfill (import).</w:t>
      </w:r>
    </w:p>
    <w:p>
      <w:pPr>
        <w:spacing w:after="0" w:line="166"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OSC was incorporated in 1989. Its principal business activity is the mixing and sale of soil cement to road paving companies in the Central Florida area.</w:t>
      </w:r>
    </w:p>
    <w:p>
      <w:pPr>
        <w:spacing w:after="0" w:line="174"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OTI was incorporated in 1988. Its principal business activity is the hauling of soil for customers in the Central Florida area.</w:t>
      </w:r>
    </w:p>
    <w:p>
      <w:pPr>
        <w:spacing w:after="0" w:line="173" w:lineRule="exact"/>
        <w:rPr>
          <w:sz w:val="20"/>
          <w:szCs w:val="20"/>
          <w:color w:val="auto"/>
        </w:rPr>
      </w:pPr>
    </w:p>
    <w:p>
      <w:pPr>
        <w:ind w:left="800" w:right="3499"/>
        <w:spacing w:after="0" w:line="258" w:lineRule="auto"/>
        <w:rPr>
          <w:sz w:val="20"/>
          <w:szCs w:val="20"/>
          <w:color w:val="auto"/>
        </w:rPr>
      </w:pPr>
      <w:r>
        <w:rPr>
          <w:rFonts w:ascii="Courier New" w:cs="Courier New" w:eastAsia="Courier New" w:hAnsi="Courier New"/>
          <w:sz w:val="14"/>
          <w:szCs w:val="14"/>
          <w:color w:val="auto"/>
        </w:rPr>
        <w:t>OTC was incorporated in November, 1994. Its principal business activity is the hauling of waste materials from a collection site in South Florida and an OWR Orlando transfer station to OWR's landfill.</w:t>
      </w:r>
    </w:p>
    <w:p>
      <w:pPr>
        <w:spacing w:after="0" w:line="161" w:lineRule="exact"/>
        <w:rPr>
          <w:sz w:val="20"/>
          <w:szCs w:val="20"/>
          <w:color w:val="auto"/>
        </w:rPr>
      </w:pPr>
    </w:p>
    <w:p>
      <w:pPr>
        <w:ind w:left="800" w:right="3319"/>
        <w:spacing w:after="0" w:line="256" w:lineRule="auto"/>
        <w:rPr>
          <w:sz w:val="20"/>
          <w:szCs w:val="20"/>
          <w:color w:val="auto"/>
        </w:rPr>
      </w:pPr>
      <w:r>
        <w:rPr>
          <w:rFonts w:ascii="Courier New" w:cs="Courier New" w:eastAsia="Courier New" w:hAnsi="Courier New"/>
          <w:sz w:val="14"/>
          <w:szCs w:val="14"/>
          <w:color w:val="auto"/>
        </w:rPr>
        <w:t>Messrs. Burden and Hooker own another company, DTR, with which the Group has occasional financing transactions. Because of the common ownership of the Group and DTR, a note payable to DTR has been classified in the financial statements as note payable - stockholders.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99</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Sales</w:t>
      </w:r>
    </w:p>
    <w:p>
      <w:pPr>
        <w:spacing w:after="0" w:line="173" w:lineRule="exact"/>
        <w:rPr>
          <w:sz w:val="20"/>
          <w:szCs w:val="20"/>
          <w:color w:val="auto"/>
        </w:rPr>
      </w:pPr>
    </w:p>
    <w:p>
      <w:pPr>
        <w:ind w:left="980" w:right="3499"/>
        <w:spacing w:after="0" w:line="235" w:lineRule="auto"/>
        <w:rPr>
          <w:sz w:val="20"/>
          <w:szCs w:val="20"/>
          <w:color w:val="auto"/>
        </w:rPr>
      </w:pPr>
      <w:r>
        <w:rPr>
          <w:rFonts w:ascii="Courier New" w:cs="Courier New" w:eastAsia="Courier New" w:hAnsi="Courier New"/>
          <w:sz w:val="15"/>
          <w:szCs w:val="15"/>
          <w:color w:val="auto"/>
        </w:rPr>
        <w:t>The companies comprising the Group use the accrual method of accounting. Sales are recognized upon product or service delivery. Cost of sales are recorded when sales are recognized.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Accounts Receivable</w:t>
      </w:r>
    </w:p>
    <w:p>
      <w:pPr>
        <w:spacing w:after="0" w:line="173" w:lineRule="exact"/>
        <w:rPr>
          <w:sz w:val="20"/>
          <w:szCs w:val="20"/>
          <w:color w:val="auto"/>
        </w:rPr>
      </w:pPr>
    </w:p>
    <w:p>
      <w:pPr>
        <w:ind w:left="980" w:right="3499"/>
        <w:spacing w:after="0" w:line="236" w:lineRule="auto"/>
        <w:rPr>
          <w:sz w:val="20"/>
          <w:szCs w:val="20"/>
          <w:color w:val="auto"/>
        </w:rPr>
      </w:pPr>
      <w:r>
        <w:rPr>
          <w:rFonts w:ascii="Courier New" w:cs="Courier New" w:eastAsia="Courier New" w:hAnsi="Courier New"/>
          <w:sz w:val="15"/>
          <w:szCs w:val="15"/>
          <w:color w:val="auto"/>
        </w:rPr>
        <w:t>Accounts receivable are recorded net of the allowance for doubtful accounts that management deems necessary to allow for potentially uncollectible accounts. Based on its review of the detail of accounts comprising accounts receivable at December 31, 1995, management concluded no allowance was needed.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Land and Equipment</w:t>
      </w:r>
    </w:p>
    <w:p>
      <w:pPr>
        <w:spacing w:after="0" w:line="173" w:lineRule="exact"/>
        <w:rPr>
          <w:sz w:val="20"/>
          <w:szCs w:val="20"/>
          <w:color w:val="auto"/>
        </w:rPr>
      </w:pPr>
    </w:p>
    <w:p>
      <w:pPr>
        <w:ind w:left="980" w:right="3499"/>
        <w:spacing w:after="0" w:line="258" w:lineRule="auto"/>
        <w:rPr>
          <w:sz w:val="20"/>
          <w:szCs w:val="20"/>
          <w:color w:val="auto"/>
        </w:rPr>
      </w:pPr>
      <w:r>
        <w:rPr>
          <w:rFonts w:ascii="Courier New" w:cs="Courier New" w:eastAsia="Courier New" w:hAnsi="Courier New"/>
          <w:sz w:val="14"/>
          <w:szCs w:val="14"/>
          <w:color w:val="auto"/>
        </w:rPr>
        <w:t>Land is recorded at cost, less accumulated depletion as related to the landfill. Depletion is recorded based on an estimate of soil removed as a percentage of the total soil available for removal.</w:t>
      </w:r>
    </w:p>
    <w:p>
      <w:pPr>
        <w:spacing w:after="0" w:line="161"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Equipment is recorded at cost, less accumulated depreciation. Depreciation is recorded based on the estimated useful lives of the assets using the straight-line method.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Closure and Post-Closure Costs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 Group member (OWR) which owns and operates the landfills accrues remaining estimated closure and post-closure costs on a unit-of-production method based on the landfills' estimated remaining airspace. The estimated accrual is treated as a long-term liability in the accompanying combined financial statements. See Note 7 for further discussion of these costs and accruals.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100</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Summary of Significant Accounting Policies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 members of the Group, with the consent of their stockholders, have elected to have their income or loss taxed under Section 1372 of the Internal Revenue Code, which provides that, in lieu of corporate income taxes, the stockholders are taxed on or receive deduction for their proportionate share of the income or loss. Accordingly, no income tax provision or benefit has been made in the accompanying combined financial statements.</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Land and Equipment</w:t>
      </w:r>
    </w:p>
    <w:p>
      <w:pPr>
        <w:spacing w:after="0" w:line="173" w:lineRule="exact"/>
        <w:rPr>
          <w:sz w:val="20"/>
          <w:szCs w:val="20"/>
          <w:color w:val="auto"/>
        </w:rPr>
      </w:pPr>
    </w:p>
    <w:p>
      <w:pPr>
        <w:ind w:left="800" w:right="4199"/>
        <w:spacing w:after="0" w:line="234" w:lineRule="auto"/>
        <w:rPr>
          <w:sz w:val="20"/>
          <w:szCs w:val="20"/>
          <w:color w:val="auto"/>
        </w:rPr>
      </w:pPr>
      <w:r>
        <w:rPr>
          <w:rFonts w:ascii="Courier New" w:cs="Courier New" w:eastAsia="Courier New" w:hAnsi="Courier New"/>
          <w:sz w:val="15"/>
          <w:szCs w:val="15"/>
          <w:color w:val="auto"/>
        </w:rPr>
        <w:t>Land and equipment at December 31, 1995 are comprised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OWR</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OSC</w:t>
            </w:r>
          </w:p>
        </w:tc>
        <w:tc>
          <w:tcPr>
            <w:tcW w:w="22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OTI</w:t>
            </w:r>
          </w:p>
        </w:tc>
        <w:tc>
          <w:tcPr>
            <w:tcW w:w="16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OTC</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759,513</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$124,747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884,260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1,205,612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333,509</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915,518</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2,581,685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5,036,324</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1,965,125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458,256</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915,518</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2,581,685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5,920,584</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(290,584)</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(205,172)</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(297,105)</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(346,000)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(1,138,861)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depletion</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(220,928)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(220,928)</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and</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equipment,</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$1,453,613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$253,084</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$618,413</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$2,235,685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$4,560,795</w:t>
            </w:r>
          </w:p>
        </w:tc>
      </w:tr>
      <w:tr>
        <w:trPr>
          <w:trHeight w:val="168"/>
        </w:trPr>
        <w:tc>
          <w:tcPr>
            <w:tcW w:w="18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459"/>
        <w:spacing w:after="0" w:line="234" w:lineRule="auto"/>
        <w:rPr>
          <w:sz w:val="20"/>
          <w:szCs w:val="20"/>
          <w:color w:val="auto"/>
        </w:rPr>
      </w:pPr>
      <w:r>
        <w:rPr>
          <w:rFonts w:ascii="Courier New" w:cs="Courier New" w:eastAsia="Courier New" w:hAnsi="Courier New"/>
          <w:sz w:val="15"/>
          <w:szCs w:val="15"/>
          <w:color w:val="auto"/>
        </w:rPr>
        <w:t>Depreciation and depletion in 1995 were $645,925 and $32,247, respectively.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Note Payable to Bank</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OSC has a $50,000 line of credit with a bank. The line bears interest at the rate of prime plus 1.5% and matures May 1, 1996. The loan is secured by the accounts receivable of OSC which totalled approximately $198,000 at December 31, 1995.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101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Long-Term Notes Payable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Long-term notes payable at December 31, 1995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AmSouth Bank; due $12,450 monthly, including interest</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8% until September, 1996; thereafter, at prime</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plus 1.5%; matures April 13, 1998; collateralized</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by landfill</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$1,217,613</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Equipment notes in original amount of $1,404,903;</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payable $29,273 per month principal and interest</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(9.365%); maturing January, 2000; collateralized</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by rolling stock with a carrying value at 12/31/95</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$1,205,880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1,196,929</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Equipment note of $1,156,213; payable $19,120 per</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 principal and interest (8.273%); payments</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beginning January, 1995; maturing January, 2000;</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collateralized by trailers with a carrying value</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12/31/95 of $1,011,685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994,076</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Equipment notes payable at approximately $28,500</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 month; at rates ranging from 7.33% to 14.94%;</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maturing from March, 1996 to March, 1998;</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collateralized by equipment with a carrying value</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12/31/95 of $699,233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631,662</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Two equipment notes in original amount of $481,969;</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payable $10,541 per month principal and interest</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(8.65% and 11.1%); maturing April, 1998 and March,</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 collateralized by rolling stock with a</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carrying value at 12/31/95 of $359,810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348,387</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Two mortgages payable at various intervals</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equalling approximately $33,000 per year; at rates</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8% and 8.5%; maturing April, 1996 and</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December, 1998; collateralized by land</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60,351</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Stockholder notes; unsecured; interest rates</w:t>
            </w:r>
          </w:p>
        </w:tc>
        <w:tc>
          <w:tcPr>
            <w:tcW w:w="1620" w:type="dxa"/>
            <w:vAlign w:val="bottom"/>
          </w:tcPr>
          <w:p>
            <w:pPr>
              <w:spacing w:after="0"/>
              <w:rPr>
                <w:sz w:val="24"/>
                <w:szCs w:val="2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ranging from 11.75% to 12.65%; aggregate monthly</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payment totalling $12,674; any unpaid balances</w:t>
            </w:r>
          </w:p>
        </w:tc>
        <w:tc>
          <w:tcPr>
            <w:tcW w:w="1620" w:type="dxa"/>
            <w:vAlign w:val="bottom"/>
          </w:tcPr>
          <w:p>
            <w:pPr>
              <w:spacing w:after="0"/>
              <w:rPr>
                <w:sz w:val="14"/>
                <w:szCs w:val="14"/>
                <w:color w:val="auto"/>
              </w:rPr>
            </w:pPr>
          </w:p>
        </w:tc>
      </w:tr>
      <w:tr>
        <w:trPr>
          <w:trHeight w:val="168"/>
        </w:trPr>
        <w:tc>
          <w:tcPr>
            <w:tcW w:w="5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November, 2003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765,817</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Stockholder advances at 10% due on demand</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373,000</w:t>
            </w:r>
          </w:p>
        </w:tc>
      </w:tr>
      <w:tr>
        <w:trPr>
          <w:trHeight w:val="168"/>
        </w:trPr>
        <w:tc>
          <w:tcPr>
            <w:tcW w:w="52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5,587,835</w:t>
            </w:r>
          </w:p>
        </w:tc>
      </w:tr>
      <w:tr>
        <w:trPr>
          <w:trHeight w:val="168"/>
        </w:trPr>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(1,387,353)</w:t>
            </w:r>
          </w:p>
        </w:tc>
      </w:tr>
    </w:tbl>
    <w:p>
      <w:pPr>
        <w:ind w:left="6920"/>
        <w:spacing w:after="0" w:line="237" w:lineRule="auto"/>
        <w:rPr>
          <w:sz w:val="20"/>
          <w:szCs w:val="20"/>
          <w:color w:val="auto"/>
        </w:rPr>
      </w:pPr>
      <w:r>
        <w:rPr>
          <w:rFonts w:ascii="Courier New" w:cs="Courier New" w:eastAsia="Courier New" w:hAnsi="Courier New"/>
          <w:sz w:val="15"/>
          <w:szCs w:val="15"/>
          <w:color w:val="auto"/>
        </w:rPr>
        <w:t>----------</w:t>
      </w:r>
    </w:p>
    <w:p>
      <w:pPr>
        <w:ind w:left="6920"/>
        <w:spacing w:after="0" w:line="238" w:lineRule="auto"/>
        <w:rPr>
          <w:sz w:val="20"/>
          <w:szCs w:val="20"/>
          <w:color w:val="auto"/>
        </w:rPr>
      </w:pPr>
      <w:r>
        <w:rPr>
          <w:rFonts w:ascii="Courier New" w:cs="Courier New" w:eastAsia="Courier New" w:hAnsi="Courier New"/>
          <w:sz w:val="15"/>
          <w:szCs w:val="15"/>
          <w:color w:val="auto"/>
        </w:rPr>
        <w:t>$4,200,482</w:t>
      </w:r>
    </w:p>
    <w:p>
      <w:pPr>
        <w:ind w:left="692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102</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Long-Term Notes Payable - (Continued)</w:t>
      </w:r>
    </w:p>
    <w:p>
      <w:pPr>
        <w:spacing w:after="0" w:line="173"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Maturities of long-term notes payable as of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Unrelated</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Parties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Stockholders</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958,914</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428,439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$1,387,353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876,198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69,965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946,163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1,808,323</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78,908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1,887,231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576,138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88,996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665,134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229,446</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100,374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329,820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372,134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372,134</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$4,449,019</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$1,138,816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$5,587,835</w:t>
            </w:r>
          </w:p>
        </w:tc>
      </w:tr>
      <w:tr>
        <w:trPr>
          <w:trHeight w:val="168"/>
        </w:trPr>
        <w:tc>
          <w:tcPr>
            <w:tcW w:w="1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Composition of long-term notes payable by company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Unrelated</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Parties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Stockholders</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OWR</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$1,885,768</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237,635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$2,123,403</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OSC</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6,198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237,015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243,213</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OTI</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348,386</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291,166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639,552</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OTC</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2,208,667</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2,581,667</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$4,449,019</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$1,138,816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$5,587,835</w:t>
            </w:r>
          </w:p>
        </w:tc>
      </w:tr>
      <w:tr>
        <w:trPr>
          <w:trHeight w:val="168"/>
        </w:trPr>
        <w:tc>
          <w:tcPr>
            <w:tcW w:w="8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679"/>
        <w:spacing w:after="0" w:line="236" w:lineRule="auto"/>
        <w:rPr>
          <w:sz w:val="20"/>
          <w:szCs w:val="20"/>
          <w:color w:val="auto"/>
        </w:rPr>
      </w:pPr>
      <w:r>
        <w:rPr>
          <w:rFonts w:ascii="Courier New" w:cs="Courier New" w:eastAsia="Courier New" w:hAnsi="Courier New"/>
          <w:sz w:val="15"/>
          <w:szCs w:val="15"/>
          <w:color w:val="auto"/>
        </w:rPr>
        <w:t>All of the above debt, as well as a $54,000 early pay-off penalty, was paid in February, 1996 upon the sale of the business discussed in Note 15. The early pay-off penalty has been expensed in these financial statements, and is included in accounts payable in the accompanying balance sheet.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Closure and Post-Closure Costs</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The Group (OWR) has material future financial obligations relating to the closure of the filled areas of its landfills during their productive lives, and the final closure and post-closure care at the end of their productive lives. Landfills are typically developed in a series of cells, each of which is constructed, filled and capped in sequence over the productive life of the landfill. When the final cell is filled, it must be capped, the entire site closed, and the post-closure care and monitoring activities begin. As of December 31, 1995, the Group estimated the capping costs expected to occur and be expensed over the landfills' useful lives to be $2,423,000. At December 31, 1995, the Group expects total costs for final closure and post-closure activities, including cap maintenance, groundwater monitoring and other maintenance activities for up to thirty years after closure, will approximate $1,827,000.</w:t>
      </w:r>
    </w:p>
    <w:p>
      <w:pPr>
        <w:spacing w:after="0" w:line="164"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The $632,974 closure and post-closure accrual at December 31, 1995 is based on the above estimated total costs factored by the estimated remaining airspace at December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103</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Closure and Post-Closure Costs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Pursuant to applicable State of Florida regulations, a portion of the</w:t>
      </w:r>
    </w:p>
    <w:p>
      <w:pPr>
        <w:ind w:left="800"/>
        <w:spacing w:after="0" w:line="237" w:lineRule="auto"/>
        <w:rPr>
          <w:sz w:val="20"/>
          <w:szCs w:val="20"/>
          <w:color w:val="auto"/>
        </w:rPr>
      </w:pPr>
      <w:r>
        <w:rPr>
          <w:rFonts w:ascii="Courier New" w:cs="Courier New" w:eastAsia="Courier New" w:hAnsi="Courier New"/>
          <w:sz w:val="15"/>
          <w:szCs w:val="15"/>
          <w:color w:val="auto"/>
        </w:rPr>
        <w:t>post-closure costs as estimated under a regulatory method must either</w:t>
      </w:r>
    </w:p>
    <w:p>
      <w:pPr>
        <w:ind w:left="800"/>
        <w:spacing w:after="0" w:line="238" w:lineRule="auto"/>
        <w:rPr>
          <w:sz w:val="20"/>
          <w:szCs w:val="20"/>
          <w:color w:val="auto"/>
        </w:rPr>
      </w:pPr>
      <w:r>
        <w:rPr>
          <w:rFonts w:ascii="Courier New" w:cs="Courier New" w:eastAsia="Courier New" w:hAnsi="Courier New"/>
          <w:sz w:val="15"/>
          <w:szCs w:val="15"/>
          <w:color w:val="auto"/>
        </w:rPr>
        <w:t>be funded and escrowed currently, or a letter of credit or surety bond</w:t>
      </w:r>
    </w:p>
    <w:p>
      <w:pPr>
        <w:ind w:left="800"/>
        <w:spacing w:after="0" w:line="237" w:lineRule="auto"/>
        <w:rPr>
          <w:sz w:val="20"/>
          <w:szCs w:val="20"/>
          <w:color w:val="auto"/>
        </w:rPr>
      </w:pPr>
      <w:r>
        <w:rPr>
          <w:rFonts w:ascii="Courier New" w:cs="Courier New" w:eastAsia="Courier New" w:hAnsi="Courier New"/>
          <w:sz w:val="15"/>
          <w:szCs w:val="15"/>
          <w:color w:val="auto"/>
        </w:rPr>
        <w:t>placed with the State to assure the long-term care required. OWR has</w:t>
      </w:r>
    </w:p>
    <w:p>
      <w:pPr>
        <w:ind w:left="800"/>
        <w:spacing w:after="0" w:line="238" w:lineRule="auto"/>
        <w:rPr>
          <w:sz w:val="20"/>
          <w:szCs w:val="20"/>
          <w:color w:val="auto"/>
        </w:rPr>
      </w:pPr>
      <w:r>
        <w:rPr>
          <w:rFonts w:ascii="Courier New" w:cs="Courier New" w:eastAsia="Courier New" w:hAnsi="Courier New"/>
          <w:sz w:val="15"/>
          <w:szCs w:val="15"/>
          <w:color w:val="auto"/>
        </w:rPr>
        <w:t>met this obligation primarily by the funding of a separate, restricted</w:t>
      </w:r>
    </w:p>
    <w:p>
      <w:pPr>
        <w:ind w:left="800"/>
        <w:spacing w:after="0" w:line="237" w:lineRule="auto"/>
        <w:rPr>
          <w:sz w:val="20"/>
          <w:szCs w:val="20"/>
          <w:color w:val="auto"/>
        </w:rPr>
      </w:pPr>
      <w:r>
        <w:rPr>
          <w:rFonts w:ascii="Courier New" w:cs="Courier New" w:eastAsia="Courier New" w:hAnsi="Courier New"/>
          <w:sz w:val="15"/>
          <w:szCs w:val="15"/>
          <w:color w:val="auto"/>
        </w:rPr>
        <w:t>escrow cash account. Restricted cash escrowed for this purpose was</w:t>
      </w:r>
    </w:p>
    <w:p>
      <w:pPr>
        <w:ind w:left="800"/>
        <w:spacing w:after="0" w:line="238" w:lineRule="auto"/>
        <w:rPr>
          <w:sz w:val="20"/>
          <w:szCs w:val="20"/>
          <w:color w:val="auto"/>
        </w:rPr>
      </w:pPr>
      <w:r>
        <w:rPr>
          <w:rFonts w:ascii="Courier New" w:cs="Courier New" w:eastAsia="Courier New" w:hAnsi="Courier New"/>
          <w:sz w:val="15"/>
          <w:szCs w:val="15"/>
          <w:color w:val="auto"/>
        </w:rPr>
        <w:t>$61,358 at December 31, 1995, and is included in other assets on the</w:t>
      </w:r>
    </w:p>
    <w:p>
      <w:pPr>
        <w:ind w:left="800"/>
        <w:spacing w:after="0" w:line="237" w:lineRule="auto"/>
        <w:rPr>
          <w:sz w:val="20"/>
          <w:szCs w:val="20"/>
          <w:color w:val="auto"/>
        </w:rPr>
      </w:pPr>
      <w:r>
        <w:rPr>
          <w:rFonts w:ascii="Courier New" w:cs="Courier New" w:eastAsia="Courier New" w:hAnsi="Courier New"/>
          <w:sz w:val="15"/>
          <w:szCs w:val="15"/>
          <w:color w:val="auto"/>
        </w:rPr>
        <w:t>accompanying combined balance sheet. In addition, OWR has posted a</w:t>
      </w:r>
    </w:p>
    <w:p>
      <w:pPr>
        <w:ind w:left="800"/>
        <w:spacing w:after="0" w:line="238" w:lineRule="auto"/>
        <w:rPr>
          <w:sz w:val="20"/>
          <w:szCs w:val="20"/>
          <w:color w:val="auto"/>
        </w:rPr>
      </w:pPr>
      <w:r>
        <w:rPr>
          <w:rFonts w:ascii="Courier New" w:cs="Courier New" w:eastAsia="Courier New" w:hAnsi="Courier New"/>
          <w:sz w:val="15"/>
          <w:szCs w:val="15"/>
          <w:color w:val="auto"/>
        </w:rPr>
        <w:t>$25,000 letter of credit related to the estimated post-closure</w:t>
      </w:r>
    </w:p>
    <w:p>
      <w:pPr>
        <w:ind w:left="800"/>
        <w:spacing w:after="0" w:line="238" w:lineRule="auto"/>
        <w:rPr>
          <w:sz w:val="20"/>
          <w:szCs w:val="20"/>
          <w:color w:val="auto"/>
        </w:rPr>
      </w:pPr>
      <w:r>
        <w:rPr>
          <w:rFonts w:ascii="Courier New" w:cs="Courier New" w:eastAsia="Courier New" w:hAnsi="Courier New"/>
          <w:sz w:val="15"/>
          <w:szCs w:val="15"/>
          <w:color w:val="auto"/>
        </w:rPr>
        <w:t>activities.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Components of Sales and Cost of Sales</w:t>
      </w:r>
    </w:p>
    <w:p>
      <w:pPr>
        <w:spacing w:after="0" w:line="173" w:lineRule="exact"/>
        <w:rPr>
          <w:sz w:val="20"/>
          <w:szCs w:val="20"/>
          <w:color w:val="auto"/>
        </w:rPr>
      </w:pPr>
    </w:p>
    <w:p>
      <w:pPr>
        <w:ind w:left="800" w:right="4199"/>
        <w:spacing w:after="0" w:line="261" w:lineRule="auto"/>
        <w:rPr>
          <w:sz w:val="20"/>
          <w:szCs w:val="20"/>
          <w:color w:val="auto"/>
        </w:rPr>
      </w:pPr>
      <w:r>
        <w:rPr>
          <w:rFonts w:ascii="Courier New" w:cs="Courier New" w:eastAsia="Courier New" w:hAnsi="Courier New"/>
          <w:sz w:val="14"/>
          <w:szCs w:val="14"/>
          <w:color w:val="auto"/>
        </w:rPr>
        <w:t>Components of 1995 sales and cost of sales by company, after elimination of intercompany transactions, are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OWR</w:t>
            </w:r>
          </w:p>
        </w:tc>
        <w:tc>
          <w:tcPr>
            <w:tcW w:w="2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OSC</w:t>
            </w:r>
          </w:p>
        </w:tc>
        <w:tc>
          <w:tcPr>
            <w:tcW w:w="2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OTI</w:t>
            </w:r>
          </w:p>
        </w:tc>
        <w:tc>
          <w:tcPr>
            <w:tcW w:w="22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OTC</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Landfill import</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export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$ 2,584,793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$2,584,793</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Soil cement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1,622,527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1,622,527</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Trucking</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1,110,471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2,480,309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3,590,780</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2,584,793</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1,622,527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1,110,471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2,480,309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7,798,100</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Labor</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300,869</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50,665</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244,274</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689,882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1,285,690</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Gas and oil</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79,674</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7,184</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125,168</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644,655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856,681</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Materials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777,637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777,637</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depletion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200,846</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36,572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118,169</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322,585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678,172</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Repairs and</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maintenance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207,074</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145,049</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74,670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226,890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653,683</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Trucking and hauling</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1,524</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76,405</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371,636</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48,512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498,077</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Insurance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33,243</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8,717</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89,675</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283,719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415,354</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 rental</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126,272</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6,100</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142,248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274,620</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Closure and post-</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closure accrual</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154,046</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154,046</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direct costs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215,747</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26,782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75,728</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146,478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464,735</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1,319,295</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1,135,111</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1,099,320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2,504,969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6,058,695</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Gross profit (loss)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$ 1,265,498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487,416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11,151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(24,660)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$1,739,405</w:t>
            </w:r>
          </w:p>
        </w:tc>
      </w:tr>
      <w:tr>
        <w:trPr>
          <w:trHeight w:val="168"/>
        </w:trPr>
        <w:tc>
          <w:tcPr>
            <w:tcW w:w="22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104</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Stockholders' Equity (Deficit)</w:t>
      </w:r>
    </w:p>
    <w:p>
      <w:pPr>
        <w:spacing w:after="0" w:line="173" w:lineRule="exact"/>
        <w:rPr>
          <w:sz w:val="20"/>
          <w:szCs w:val="20"/>
          <w:color w:val="auto"/>
        </w:rPr>
      </w:pPr>
    </w:p>
    <w:p>
      <w:pPr>
        <w:ind w:left="800" w:right="3579"/>
        <w:spacing w:after="0" w:line="234" w:lineRule="auto"/>
        <w:rPr>
          <w:sz w:val="20"/>
          <w:szCs w:val="20"/>
          <w:color w:val="auto"/>
        </w:rPr>
      </w:pPr>
      <w:r>
        <w:rPr>
          <w:rFonts w:ascii="Courier New" w:cs="Courier New" w:eastAsia="Courier New" w:hAnsi="Courier New"/>
          <w:sz w:val="15"/>
          <w:szCs w:val="15"/>
          <w:color w:val="auto"/>
        </w:rPr>
        <w:t>Components of stockholders' equity (deficit) by Company at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OWR</w:t>
            </w:r>
          </w:p>
        </w:tc>
        <w:tc>
          <w:tcPr>
            <w:tcW w:w="18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OSC</w:t>
            </w: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OTI</w:t>
            </w:r>
          </w:p>
        </w:tc>
        <w:tc>
          <w:tcPr>
            <w:tcW w:w="220" w:type="dxa"/>
            <w:vAlign w:val="bottom"/>
          </w:tcPr>
          <w:p>
            <w:pPr>
              <w:spacing w:after="0"/>
              <w:rPr>
                <w:sz w:val="14"/>
                <w:szCs w:val="14"/>
                <w:color w:val="auto"/>
              </w:rPr>
            </w:pPr>
          </w:p>
        </w:tc>
        <w:tc>
          <w:tcPr>
            <w:tcW w:w="12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OTC</w:t>
            </w: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Combined</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 par)</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 (a)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120(b)</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3,000 (c)</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 (d)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paid-in</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capital</w:t>
            </w:r>
          </w:p>
        </w:tc>
        <w:tc>
          <w:tcPr>
            <w:tcW w:w="70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108,500</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37,880</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146,380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(deficit)</w:t>
            </w:r>
          </w:p>
        </w:tc>
        <w:tc>
          <w:tcPr>
            <w:tcW w:w="7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(387,204)</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122,986</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134,000</w:t>
            </w:r>
          </w:p>
        </w:tc>
        <w:tc>
          <w:tcPr>
            <w:tcW w:w="2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(352,974)</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(483,192)</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Subtotal</w:t>
            </w:r>
          </w:p>
        </w:tc>
        <w:tc>
          <w:tcPr>
            <w:tcW w:w="7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(271,204)</w:t>
            </w:r>
          </w:p>
        </w:tc>
        <w:tc>
          <w:tcPr>
            <w:tcW w:w="18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160,986</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137,000</w:t>
            </w:r>
          </w:p>
        </w:tc>
        <w:tc>
          <w:tcPr>
            <w:tcW w:w="2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(352,874)</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(326,092)</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Less treasury</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7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(730,907)(e)</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(30,000)(f)</w:t>
            </w:r>
          </w:p>
        </w:tc>
        <w:tc>
          <w:tcPr>
            <w:tcW w:w="2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(760,907)</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$(1,002,111)</w:t>
            </w:r>
          </w:p>
        </w:tc>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$160,986</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$107,000</w:t>
            </w:r>
          </w:p>
        </w:tc>
        <w:tc>
          <w:tcPr>
            <w:tcW w:w="1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$(352,874)</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$(1,086,999)</w:t>
            </w:r>
          </w:p>
        </w:tc>
      </w:tr>
      <w:tr>
        <w:trPr>
          <w:trHeight w:val="168"/>
        </w:trPr>
        <w:tc>
          <w:tcPr>
            <w:tcW w:w="18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980" w:hanging="533"/>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 shares authorized and issued; 2,000 shares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 shares authorized; 120 shares issued and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 shares authorized and issued; 2,000 shares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shares authorized; 100 shares issued and outstanding</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5,500 shares, at cost</w:t>
      </w:r>
    </w:p>
    <w:p>
      <w:pPr>
        <w:ind w:left="980" w:hanging="533"/>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shares, at cost</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left="980" w:right="3319"/>
        <w:spacing w:after="0" w:line="255" w:lineRule="auto"/>
        <w:rPr>
          <w:sz w:val="20"/>
          <w:szCs w:val="20"/>
          <w:color w:val="auto"/>
        </w:rPr>
      </w:pPr>
      <w:r>
        <w:rPr>
          <w:rFonts w:ascii="Courier New" w:cs="Courier New" w:eastAsia="Courier New" w:hAnsi="Courier New"/>
          <w:sz w:val="14"/>
          <w:szCs w:val="14"/>
          <w:color w:val="auto"/>
        </w:rPr>
        <w:t>The members of the Group have ongoing dealings with other affiliated companies which do not belong to the Group. Specifically, among other things, certain of these affiliates provide management and accounting services and rent equipment to and from the Group. The amounts charged (or not charged) for the above services and rentals are informally determined by management, and are influenced by the existence of the related party affiliations.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ON NEXT PAGE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105</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Related Party Transactions - (Continued)</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During 1995, rental income of $39,574 was received from Orange Waste East, rent expense and repairs expense of $176,063 was paid to Southeast Rental and Leasing, Inc. (SRL), and management fees of $195,941 were paid to ROBCO, EOM, and CFCD, Inc. - all related parties by common ownership. Accounts payable on December 31, 1995 includes a $50,367 payable to SRL.</w:t>
      </w:r>
    </w:p>
    <w:p>
      <w:pPr>
        <w:spacing w:after="0" w:line="175" w:lineRule="exact"/>
        <w:rPr>
          <w:sz w:val="20"/>
          <w:szCs w:val="20"/>
          <w:color w:val="auto"/>
        </w:rPr>
      </w:pPr>
    </w:p>
    <w:p>
      <w:pPr>
        <w:ind w:left="980" w:right="3499"/>
        <w:spacing w:after="0" w:line="255" w:lineRule="auto"/>
        <w:rPr>
          <w:sz w:val="20"/>
          <w:szCs w:val="20"/>
          <w:color w:val="auto"/>
        </w:rPr>
      </w:pPr>
      <w:r>
        <w:rPr>
          <w:rFonts w:ascii="Courier New" w:cs="Courier New" w:eastAsia="Courier New" w:hAnsi="Courier New"/>
          <w:sz w:val="14"/>
          <w:szCs w:val="14"/>
          <w:color w:val="auto"/>
        </w:rPr>
        <w:t>As mentioned in Note 1, OTC is jointly owned with a third party. This third party owns an otherwise unrelated corporation, Waste Magic Recyclers, Inc. (WMR), with which the Group conducts ongoing business transactions. Sales revenue of $3,349,133 from WMR was recorded during 1995. Accounts receivable on December 31, 1995 includes a $295,539 receivable from WMR.</w:t>
      </w:r>
    </w:p>
    <w:p>
      <w:pPr>
        <w:spacing w:after="0" w:line="166" w:lineRule="exact"/>
        <w:rPr>
          <w:sz w:val="20"/>
          <w:szCs w:val="20"/>
          <w:color w:val="auto"/>
        </w:rPr>
      </w:pPr>
    </w:p>
    <w:p>
      <w:pPr>
        <w:ind w:left="980" w:right="3399"/>
        <w:spacing w:after="0" w:line="234" w:lineRule="auto"/>
        <w:rPr>
          <w:sz w:val="20"/>
          <w:szCs w:val="20"/>
          <w:color w:val="auto"/>
        </w:rPr>
      </w:pPr>
      <w:r>
        <w:rPr>
          <w:rFonts w:ascii="Courier New" w:cs="Courier New" w:eastAsia="Courier New" w:hAnsi="Courier New"/>
          <w:sz w:val="15"/>
          <w:szCs w:val="15"/>
          <w:color w:val="auto"/>
        </w:rPr>
        <w:t>All sales of equipment and related gains and losses were to related parties.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Leases</w:t>
      </w:r>
    </w:p>
    <w:p>
      <w:pPr>
        <w:spacing w:after="0" w:line="173" w:lineRule="exact"/>
        <w:rPr>
          <w:sz w:val="20"/>
          <w:szCs w:val="20"/>
          <w:color w:val="auto"/>
        </w:rPr>
      </w:pPr>
    </w:p>
    <w:p>
      <w:pPr>
        <w:jc w:val="both"/>
        <w:ind w:left="980" w:right="3939"/>
        <w:spacing w:after="0" w:line="235" w:lineRule="auto"/>
        <w:rPr>
          <w:sz w:val="20"/>
          <w:szCs w:val="20"/>
          <w:color w:val="auto"/>
        </w:rPr>
      </w:pPr>
      <w:r>
        <w:rPr>
          <w:rFonts w:ascii="Courier New" w:cs="Courier New" w:eastAsia="Courier New" w:hAnsi="Courier New"/>
          <w:sz w:val="15"/>
          <w:szCs w:val="15"/>
          <w:color w:val="auto"/>
        </w:rPr>
        <w:t>The Group leases equipment, vehicles and trailers under seven separate operating leases. The required future minimum lease payments at December 31, 1995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2460" w:type="dxa"/>
            <w:vAlign w:val="bottom"/>
          </w:tcPr>
          <w:p>
            <w:pPr>
              <w:ind w:left="1760"/>
              <w:spacing w:after="0"/>
              <w:rPr>
                <w:sz w:val="20"/>
                <w:szCs w:val="20"/>
                <w:color w:val="auto"/>
              </w:rPr>
            </w:pPr>
            <w:r>
              <w:rPr>
                <w:rFonts w:ascii="Courier New" w:cs="Courier New" w:eastAsia="Courier New" w:hAnsi="Courier New"/>
                <w:sz w:val="15"/>
                <w:szCs w:val="15"/>
                <w:color w:val="auto"/>
              </w:rPr>
              <w:t>Annual</w:t>
            </w:r>
          </w:p>
        </w:tc>
      </w:tr>
      <w:tr>
        <w:trPr>
          <w:trHeight w:val="168"/>
        </w:trPr>
        <w:tc>
          <w:tcPr>
            <w:tcW w:w="2000" w:type="dxa"/>
            <w:vAlign w:val="bottom"/>
          </w:tcPr>
          <w:p>
            <w:pPr>
              <w:spacing w:after="0"/>
              <w:rPr>
                <w:sz w:val="14"/>
                <w:szCs w:val="14"/>
                <w:color w:val="auto"/>
              </w:rPr>
            </w:pPr>
          </w:p>
        </w:tc>
        <w:tc>
          <w:tcPr>
            <w:tcW w:w="246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Payment</w:t>
            </w:r>
          </w:p>
        </w:tc>
      </w:tr>
      <w:tr>
        <w:trPr>
          <w:trHeight w:val="168"/>
        </w:trPr>
        <w:tc>
          <w:tcPr>
            <w:tcW w:w="2000" w:type="dxa"/>
            <w:vAlign w:val="bottom"/>
          </w:tcPr>
          <w:p>
            <w:pPr>
              <w:spacing w:after="0"/>
              <w:rPr>
                <w:sz w:val="14"/>
                <w:szCs w:val="14"/>
                <w:color w:val="auto"/>
              </w:rPr>
            </w:pP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00" w:type="dxa"/>
            <w:vAlign w:val="bottom"/>
          </w:tcPr>
          <w:p>
            <w:pPr>
              <w:jc w:val="right"/>
              <w:ind w:right="1587"/>
              <w:spacing w:after="0"/>
              <w:rPr>
                <w:sz w:val="20"/>
                <w:szCs w:val="20"/>
                <w:color w:val="auto"/>
              </w:rPr>
            </w:pPr>
            <w:r>
              <w:rPr>
                <w:rFonts w:ascii="Courier New" w:cs="Courier New" w:eastAsia="Courier New" w:hAnsi="Courier New"/>
                <w:sz w:val="15"/>
                <w:szCs w:val="15"/>
                <w:color w:val="auto"/>
                <w:w w:val="88"/>
              </w:rPr>
              <w:t>1996</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$ 390,878</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1997</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304,378</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1998</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270,694</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1999</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174,308</w:t>
            </w:r>
          </w:p>
        </w:tc>
      </w:tr>
      <w:tr>
        <w:trPr>
          <w:trHeight w:val="168"/>
        </w:trPr>
        <w:tc>
          <w:tcPr>
            <w:tcW w:w="2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88"/>
              </w:rPr>
              <w:t>2000</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14,526</w:t>
            </w:r>
          </w:p>
        </w:tc>
      </w:tr>
    </w:tbl>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Financial statement instruments which potentially subject the Group to concentrations of credit risk consist principally of temporary cash investments and trade receivables. The Group places its temporary cash investments with high quality financial institutions. Concentrations of credit risk with respect to trade receivables are limited due to the large number of customers and generally short payment terms. However, substantially all of the Group's credit customers are Central Florida businesses and are thus susceptible to changes in that economy.</w:t>
      </w:r>
    </w:p>
    <w:p>
      <w:pPr>
        <w:spacing w:after="0" w:line="178"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A significant portion of the Group's sales during 1995 were to WMR. The loss of this customer could have a significant impact on the Group's operations.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106</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Significant Risks And Uncertainties</w:t>
      </w:r>
    </w:p>
    <w:p>
      <w:pPr>
        <w:spacing w:after="0" w:line="173" w:lineRule="exact"/>
        <w:rPr>
          <w:sz w:val="20"/>
          <w:szCs w:val="20"/>
          <w:color w:val="auto"/>
        </w:rPr>
      </w:pPr>
    </w:p>
    <w:p>
      <w:pPr>
        <w:ind w:left="980" w:right="3399"/>
        <w:spacing w:after="0" w:line="255" w:lineRule="auto"/>
        <w:rPr>
          <w:sz w:val="20"/>
          <w:szCs w:val="20"/>
          <w:color w:val="auto"/>
        </w:rPr>
      </w:pPr>
      <w:r>
        <w:rPr>
          <w:rFonts w:ascii="Courier New" w:cs="Courier New" w:eastAsia="Courier New" w:hAnsi="Courier New"/>
          <w:sz w:val="14"/>
          <w:szCs w:val="14"/>
          <w:color w:val="auto"/>
        </w:rPr>
        <w:t>The process of preparing financial statements in conformity with generally accepted accounting principles requires the use of estimates and assumptions regarding certain types of assets, liabilities, revenues and expenses. For the Group, such estimates significantly affect the recovery period of long-lived assets and the expense accrual for landfill closure and post-closure costs. Since such estimates relate to unsettled transactions and events as of the balance sheet date, actual results, upon settlement, will differ from those estimated in preparing the financial statements.</w:t>
      </w:r>
    </w:p>
    <w:p>
      <w:pPr>
        <w:spacing w:after="0" w:line="165" w:lineRule="exact"/>
        <w:rPr>
          <w:sz w:val="20"/>
          <w:szCs w:val="20"/>
          <w:color w:val="auto"/>
        </w:rPr>
      </w:pPr>
    </w:p>
    <w:p>
      <w:pPr>
        <w:ind w:left="980" w:right="3319"/>
        <w:spacing w:after="0" w:line="237" w:lineRule="auto"/>
        <w:rPr>
          <w:sz w:val="20"/>
          <w:szCs w:val="20"/>
          <w:color w:val="auto"/>
        </w:rPr>
      </w:pPr>
      <w:r>
        <w:rPr>
          <w:rFonts w:ascii="Courier New" w:cs="Courier New" w:eastAsia="Courier New" w:hAnsi="Courier New"/>
          <w:sz w:val="15"/>
          <w:szCs w:val="15"/>
          <w:color w:val="auto"/>
        </w:rPr>
        <w:t>The Group's landfill activities are conducted under governmental permits with fixed durations. Upon expiration of the permit period, the permits are typically renewed, although the renewal review period may be protracted. It is possible that the terms and conditions of a renewed permit could differ from those of the former permit, thus potentially affecting the comparability of the results of operations currently to those in the future. At December 31, 1995 and February 5, 1996, two of the Group's several landfill operation permits were in the renewal review process. Management expects these permits to be renewed in due course and is unaware of any pending changes that might have a significant adverse affect on the landfill operations.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There were no material differences in the recorded accounts of financial instruments and their related fair values at December 31, 1995. The estimated fair value of the note payable to bank, long-term notes payable, and long-term notes payable to stockholders was determined based on the pay off of such indebtedness at face value in connection with the February 5, 1996 sale discussed in Note 15 to the financial statements.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107</w:t>
      </w:r>
    </w:p>
    <w:p>
      <w:pPr>
        <w:jc w:val="center"/>
        <w:ind w:right="3219"/>
        <w:spacing w:after="0" w:line="237" w:lineRule="auto"/>
        <w:rPr>
          <w:sz w:val="20"/>
          <w:szCs w:val="20"/>
          <w:color w:val="auto"/>
        </w:rPr>
      </w:pPr>
      <w:r>
        <w:rPr>
          <w:rFonts w:ascii="Courier New" w:cs="Courier New" w:eastAsia="Courier New" w:hAnsi="Courier New"/>
          <w:sz w:val="15"/>
          <w:szCs w:val="15"/>
          <w:color w:val="auto"/>
        </w:rPr>
        <w:t>THE ORANGE GROUP</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Event Subsequent to December 31, 1995</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On February 5, 1996 the Group sold substantially all of its tangible and real property. A portion of the purchase price was in the form of assumption and/or liquidation of debt and leases associated with such assets, as well as pay-off of indebtedness to the Group's stockholders. The balance of the purchase price was allocated between cash and stock of the purchaser.</w:t>
      </w:r>
    </w:p>
    <w:p>
      <w:pPr>
        <w:spacing w:after="0" w:line="175"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In addition to their operating assets, the members of the Group sold other contractual rights and their business names, and the stockholders agreed not to compete with the businesses after the transaction is consummated. Accordingly, the business purpose of the members of the Group under the current management and ownership has ceased and none of the Group remains viable in the business activity they conducted during 1995.</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108</w:t>
      </w:r>
    </w:p>
    <w:p>
      <w:pPr>
        <w:ind w:left="176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the Combined Companies: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have audited the accompanying combined balance sheet of the Combined Companies, as defined in Note 1, as of December 31, 1995, and the related combined statements of operations, stockholders' equity and partners' capital and cash flows for the year then ended. These financial statements are the responsibility of the Combined Companies' managements. Our responsibility is to express an opinion on these financial statements based on our audit.</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the Combined Companies as of December 31, 1995, and the results of their operations and their cash flows for the year then ended in conformity with generally accepted accounting principles.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September 13, 1996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109</w:t>
      </w:r>
    </w:p>
    <w:tbl>
      <w:tblPr>
        <w:tblLayout w:type="fixed"/>
        <w:tblInd w:w="0" w:type="dxa"/>
        <w:tblCellMar>
          <w:top w:w="0" w:type="dxa"/>
          <w:left w:w="0" w:type="dxa"/>
          <w:bottom w:w="0" w:type="dxa"/>
          <w:right w:w="0" w:type="dxa"/>
        </w:tblCellMar>
      </w:tblPr>
      <w:tr>
        <w:trPr>
          <w:trHeight w:val="168"/>
        </w:trPr>
        <w:tc>
          <w:tcPr>
            <w:tcW w:w="544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COMBINED COMPANIES (CITY, ALPINE AND LGI)</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440" w:type="dxa"/>
            <w:vAlign w:val="bottom"/>
          </w:tcPr>
          <w:p>
            <w:pPr>
              <w:jc w:val="center"/>
              <w:ind w:left="1507"/>
              <w:spacing w:after="0"/>
              <w:rPr>
                <w:sz w:val="20"/>
                <w:szCs w:val="20"/>
                <w:color w:val="auto"/>
              </w:rPr>
            </w:pPr>
            <w:r>
              <w:rPr>
                <w:rFonts w:ascii="Courier New" w:cs="Courier New" w:eastAsia="Courier New" w:hAnsi="Courier New"/>
                <w:sz w:val="15"/>
                <w:szCs w:val="15"/>
                <w:color w:val="auto"/>
                <w:w w:val="97"/>
              </w:rPr>
              <w:t>COMBINED BALANCE SHEET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DECEMBER 31, 1995</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440" w:type="dxa"/>
            <w:vAlign w:val="bottom"/>
          </w:tcPr>
          <w:p>
            <w:pPr>
              <w:jc w:val="center"/>
              <w:ind w:left="1507"/>
              <w:spacing w:after="0"/>
              <w:rPr>
                <w:sz w:val="20"/>
                <w:szCs w:val="20"/>
                <w:color w:val="auto"/>
              </w:rPr>
            </w:pPr>
            <w:r>
              <w:rPr>
                <w:rFonts w:ascii="Courier New" w:cs="Courier New" w:eastAsia="Courier New" w:hAnsi="Courier New"/>
                <w:sz w:val="15"/>
                <w:szCs w:val="15"/>
                <w:color w:val="auto"/>
                <w:w w:val="99"/>
              </w:rPr>
              <w:t>ASSETS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729,867</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 of allowance for doubtful</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of $25,468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199,602</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16,303</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99,479</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1,045,251</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1,271,183</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29,959</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 net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578,234</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assets</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$2,924,627</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80" w:type="dxa"/>
            <w:vAlign w:val="bottom"/>
            <w:gridSpan w:val="3"/>
          </w:tcPr>
          <w:p>
            <w:pPr>
              <w:jc w:val="center"/>
              <w:ind w:left="467"/>
              <w:spacing w:after="0"/>
              <w:rPr>
                <w:sz w:val="20"/>
                <w:szCs w:val="20"/>
                <w:color w:val="auto"/>
              </w:rPr>
            </w:pPr>
            <w:r>
              <w:rPr>
                <w:rFonts w:ascii="Courier New" w:cs="Courier New" w:eastAsia="Courier New" w:hAnsi="Courier New"/>
                <w:sz w:val="15"/>
                <w:szCs w:val="15"/>
                <w:color w:val="auto"/>
                <w:w w:val="96"/>
              </w:rPr>
              <w:t>LIABILITIES AND STOCKHOLDERS' EQUITY AND PARTNERS' CAPITAL</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319,973</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notes payable to</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related parties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16,879</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172,712</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63,944</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180,445</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119,300</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873,253</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maturities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1,195,694</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PAYABLE TO RELATED PARTIES, net of</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86,353</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232,456</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2,387,756</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 AND PARTNERS' CAPITAL:</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 and partners' capital</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535,771</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stockholders' equity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partners' capital</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536,871</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equity and partners' capital</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$2,924,627</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110</w:t>
      </w:r>
    </w:p>
    <w:tbl>
      <w:tblPr>
        <w:tblLayout w:type="fixed"/>
        <w:tblInd w:w="0" w:type="dxa"/>
        <w:tblCellMar>
          <w:top w:w="0" w:type="dxa"/>
          <w:left w:w="0" w:type="dxa"/>
          <w:bottom w:w="0" w:type="dxa"/>
          <w:right w:w="0" w:type="dxa"/>
        </w:tblCellMar>
      </w:tblPr>
      <w:tr>
        <w:trPr>
          <w:trHeight w:val="168"/>
        </w:trPr>
        <w:tc>
          <w:tcPr>
            <w:tcW w:w="566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COMBINED COMPANIES (CITY, ALPINE AND LGI)</w:t>
            </w:r>
          </w:p>
        </w:tc>
        <w:tc>
          <w:tcPr>
            <w:tcW w:w="1260" w:type="dxa"/>
            <w:vAlign w:val="bottom"/>
          </w:tcPr>
          <w:p>
            <w:pPr>
              <w:spacing w:after="0"/>
              <w:rPr>
                <w:sz w:val="14"/>
                <w:szCs w:val="14"/>
                <w:color w:val="auto"/>
              </w:rPr>
            </w:pPr>
          </w:p>
        </w:tc>
      </w:tr>
      <w:tr>
        <w:trPr>
          <w:trHeight w:val="336"/>
        </w:trPr>
        <w:tc>
          <w:tcPr>
            <w:tcW w:w="5660" w:type="dxa"/>
            <w:vAlign w:val="bottom"/>
          </w:tcPr>
          <w:p>
            <w:pPr>
              <w:ind w:left="2100"/>
              <w:spacing w:after="0"/>
              <w:rPr>
                <w:sz w:val="20"/>
                <w:szCs w:val="20"/>
                <w:color w:val="auto"/>
              </w:rPr>
            </w:pPr>
            <w:r>
              <w:rPr>
                <w:rFonts w:ascii="Courier New" w:cs="Courier New" w:eastAsia="Courier New" w:hAnsi="Courier New"/>
                <w:sz w:val="15"/>
                <w:szCs w:val="15"/>
                <w:color w:val="auto"/>
              </w:rPr>
              <w:t>COMBINED STATEMENT OF OPERATIONS</w:t>
            </w:r>
          </w:p>
        </w:tc>
        <w:tc>
          <w:tcPr>
            <w:tcW w:w="1260" w:type="dxa"/>
            <w:vAlign w:val="bottom"/>
          </w:tcPr>
          <w:p>
            <w:pPr>
              <w:spacing w:after="0"/>
              <w:rPr>
                <w:sz w:val="24"/>
                <w:szCs w:val="24"/>
                <w:color w:val="auto"/>
              </w:rPr>
            </w:pPr>
          </w:p>
        </w:tc>
      </w:tr>
      <w:tr>
        <w:trPr>
          <w:trHeight w:val="336"/>
        </w:trPr>
        <w:tc>
          <w:tcPr>
            <w:tcW w:w="5660" w:type="dxa"/>
            <w:vAlign w:val="bottom"/>
          </w:tcPr>
          <w:p>
            <w:pPr>
              <w:ind w:left="1940"/>
              <w:spacing w:after="0"/>
              <w:rPr>
                <w:sz w:val="20"/>
                <w:szCs w:val="20"/>
                <w:color w:val="auto"/>
              </w:rPr>
            </w:pPr>
            <w:r>
              <w:rPr>
                <w:rFonts w:ascii="Courier New" w:cs="Courier New" w:eastAsia="Courier New" w:hAnsi="Courier New"/>
                <w:sz w:val="15"/>
                <w:szCs w:val="15"/>
                <w:color w:val="auto"/>
              </w:rPr>
              <w:t>FOR THE YEAR ENDED DECEMBER 31, 1995</w:t>
            </w:r>
          </w:p>
        </w:tc>
        <w:tc>
          <w:tcPr>
            <w:tcW w:w="1260" w:type="dxa"/>
            <w:vAlign w:val="bottom"/>
          </w:tcPr>
          <w:p>
            <w:pPr>
              <w:spacing w:after="0"/>
              <w:rPr>
                <w:sz w:val="24"/>
                <w:szCs w:val="2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$5,223,327</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60" w:type="dxa"/>
            <w:vAlign w:val="bottom"/>
          </w:tcPr>
          <w:p>
            <w:pPr>
              <w:spacing w:after="0"/>
              <w:rPr>
                <w:sz w:val="24"/>
                <w:szCs w:val="24"/>
                <w:color w:val="auto"/>
              </w:rPr>
            </w:pP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2,928,279</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1,362,885</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462,252</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4,753,416</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469,911</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60" w:type="dxa"/>
            <w:vAlign w:val="bottom"/>
          </w:tcPr>
          <w:p>
            <w:pPr>
              <w:spacing w:after="0"/>
              <w:rPr>
                <w:sz w:val="24"/>
                <w:szCs w:val="24"/>
                <w:color w:val="auto"/>
              </w:rPr>
            </w:pP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(135,265)</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expense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(45,601)</w:t>
            </w:r>
          </w:p>
        </w:tc>
      </w:tr>
      <w:tr>
        <w:trPr>
          <w:trHeight w:val="168"/>
        </w:trPr>
        <w:tc>
          <w:tcPr>
            <w:tcW w:w="5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25,269</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(155,597)</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314,314</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49,098</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265,216</w:t>
            </w:r>
          </w:p>
        </w:tc>
      </w:tr>
      <w:tr>
        <w:trPr>
          <w:trHeight w:val="168"/>
        </w:trPr>
        <w:tc>
          <w:tcPr>
            <w:tcW w:w="56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111</w:t>
      </w:r>
    </w:p>
    <w:p>
      <w:pPr>
        <w:spacing w:after="0" w:line="200" w:lineRule="exact"/>
        <w:rPr>
          <w:sz w:val="20"/>
          <w:szCs w:val="20"/>
          <w:color w:val="auto"/>
        </w:rPr>
      </w:pPr>
    </w:p>
    <w:p>
      <w:pPr>
        <w:spacing w:after="0" w:line="30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COMBINED COMPANIES (CITY, ALPINE AND LGI)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COMBINED STATEMENT OF STOCKHOLDERS' EQUITY AND PARTNERS' CAPITAL</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Retained</w:t>
            </w:r>
          </w:p>
        </w:tc>
        <w:tc>
          <w:tcPr>
            <w:tcW w:w="11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9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Common Stock</w:t>
            </w:r>
          </w:p>
        </w:tc>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and</w:t>
            </w:r>
          </w:p>
        </w:tc>
        <w:tc>
          <w:tcPr>
            <w:tcW w:w="11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9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Partners'</w:t>
            </w:r>
          </w:p>
        </w:tc>
        <w:tc>
          <w:tcPr>
            <w:tcW w:w="11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Capital</w:t>
            </w: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00" w:type="dxa"/>
            <w:vAlign w:val="bottom"/>
          </w:tcPr>
          <w:p>
            <w:pPr>
              <w:spacing w:after="0"/>
              <w:rPr>
                <w:sz w:val="14"/>
                <w:szCs w:val="14"/>
                <w:color w:val="auto"/>
              </w:rPr>
            </w:pPr>
          </w:p>
        </w:tc>
        <w:tc>
          <w:tcPr>
            <w:tcW w:w="158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10,100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$1,100</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$368,019</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$369,119</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265,216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265,216</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(97,464)</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(97,464)</w:t>
            </w:r>
          </w:p>
        </w:tc>
      </w:tr>
      <w:tr>
        <w:trPr>
          <w:trHeight w:val="168"/>
        </w:trPr>
        <w:tc>
          <w:tcPr>
            <w:tcW w:w="2800" w:type="dxa"/>
            <w:vAlign w:val="bottom"/>
          </w:tcPr>
          <w:p>
            <w:pPr>
              <w:spacing w:after="0"/>
              <w:rPr>
                <w:sz w:val="14"/>
                <w:szCs w:val="14"/>
                <w:color w:val="auto"/>
              </w:rPr>
            </w:pPr>
          </w:p>
        </w:tc>
        <w:tc>
          <w:tcPr>
            <w:tcW w:w="15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31,1995</w:t>
            </w:r>
          </w:p>
        </w:tc>
        <w:tc>
          <w:tcPr>
            <w:tcW w:w="15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10,100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$535,771</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$536,871</w:t>
            </w:r>
          </w:p>
        </w:tc>
      </w:tr>
      <w:tr>
        <w:trPr>
          <w:trHeight w:val="168"/>
        </w:trPr>
        <w:tc>
          <w:tcPr>
            <w:tcW w:w="2800" w:type="dxa"/>
            <w:vAlign w:val="bottom"/>
          </w:tcPr>
          <w:p>
            <w:pPr>
              <w:spacing w:after="0"/>
              <w:rPr>
                <w:sz w:val="14"/>
                <w:szCs w:val="14"/>
                <w:color w:val="auto"/>
              </w:rPr>
            </w:pPr>
          </w:p>
        </w:tc>
        <w:tc>
          <w:tcPr>
            <w:tcW w:w="15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accompanying notes are an integral part of this</w:t>
      </w:r>
    </w:p>
    <w:p>
      <w:pPr>
        <w:jc w:val="center"/>
        <w:ind w:right="3479"/>
        <w:spacing w:after="0" w:line="237" w:lineRule="auto"/>
        <w:rPr>
          <w:sz w:val="20"/>
          <w:szCs w:val="20"/>
          <w:color w:val="auto"/>
        </w:rPr>
      </w:pPr>
      <w:r>
        <w:rPr>
          <w:rFonts w:ascii="Courier New" w:cs="Courier New" w:eastAsia="Courier New" w:hAnsi="Courier New"/>
          <w:sz w:val="15"/>
          <w:szCs w:val="15"/>
          <w:color w:val="auto"/>
        </w:rPr>
        <w:t>combined financial statement.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112</w:t>
      </w:r>
    </w:p>
    <w:p>
      <w:pPr>
        <w:ind w:left="1580"/>
        <w:spacing w:after="0" w:line="237" w:lineRule="auto"/>
        <w:rPr>
          <w:sz w:val="20"/>
          <w:szCs w:val="20"/>
          <w:color w:val="auto"/>
        </w:rPr>
      </w:pPr>
      <w:r>
        <w:rPr>
          <w:rFonts w:ascii="Courier New" w:cs="Courier New" w:eastAsia="Courier New" w:hAnsi="Courier New"/>
          <w:sz w:val="15"/>
          <w:szCs w:val="15"/>
          <w:color w:val="auto"/>
        </w:rPr>
        <w:t>COMBINED COMPANIES (CITY, ALPINE AND LGI)</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COMBINED STATEMENT OF CASH FLOWS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$ 265,216</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462,252</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25,468</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(78,611)</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sale of assets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6,316</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(16,521)</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20,159</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18,407</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278,417</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88,819</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1,069,922</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(477,910)</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service route</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(253,317)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(731,227)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616,700</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Repayments of borrowings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(392,370)</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Distributions to partners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(97,464)</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126,866</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4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465,561</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4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264,306</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AT END OF PERIOD</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$ 729,867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 taxes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 interest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$ 135,575</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this combined financial</w:t>
      </w:r>
    </w:p>
    <w:p>
      <w:pPr>
        <w:jc w:val="center"/>
        <w:ind w:right="3399"/>
        <w:spacing w:after="0" w:line="237" w:lineRule="auto"/>
        <w:rPr>
          <w:sz w:val="20"/>
          <w:szCs w:val="20"/>
          <w:color w:val="auto"/>
        </w:rPr>
      </w:pPr>
      <w:r>
        <w:rPr>
          <w:rFonts w:ascii="Courier New" w:cs="Courier New" w:eastAsia="Courier New" w:hAnsi="Courier New"/>
          <w:sz w:val="15"/>
          <w:szCs w:val="15"/>
          <w:color w:val="auto"/>
        </w:rPr>
        <w:t>statement.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113</w:t>
      </w:r>
    </w:p>
    <w:p>
      <w:pPr>
        <w:ind w:left="1580"/>
        <w:spacing w:after="0" w:line="237" w:lineRule="auto"/>
        <w:rPr>
          <w:sz w:val="20"/>
          <w:szCs w:val="20"/>
          <w:color w:val="auto"/>
        </w:rPr>
      </w:pPr>
      <w:r>
        <w:rPr>
          <w:rFonts w:ascii="Courier New" w:cs="Courier New" w:eastAsia="Courier New" w:hAnsi="Courier New"/>
          <w:sz w:val="15"/>
          <w:szCs w:val="15"/>
          <w:color w:val="auto"/>
        </w:rPr>
        <w:t>COMBINED COMPANIES (CITY, ALPINE AND LGI)</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DECEMBER 31, 1995</w:t>
      </w:r>
    </w:p>
    <w:p>
      <w:pPr>
        <w:spacing w:after="0" w:line="335" w:lineRule="exact"/>
        <w:rPr>
          <w:sz w:val="20"/>
          <w:szCs w:val="20"/>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accompanying combined balance sheet and related combined statements of operations, stockholders' equity and partners' capital and cash flows include the following companies (collectively, the Combined Companies).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City Disposal, Inc. (City), provides waste collection and recycling services primarily in Denver, Colorado.</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Alpine Disposal and Recycling, Inc. (Alpine), provides waste collection and recycling services in Portland, Oregon.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L.G. Industries, Inc. (LGI), operates a construction and demolition waste transfer station and holds a 50 percent interest in a joint venture with Garnet of Maryland (a subsidiary of Sanifill, Inc.). This joint venture operates a municipal solid waste transfer station. LGI and the joint venture operate in the same facility in Washington, D.C., and serve customers primarily in the Washington, D.C., and Annapolis, Maryland, markets.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In February, May and August 1996, Sanifill, Inc. (Sanifill), acquired City, Alpine and LGI, respectively. The purchase price for each of these companies is sufficient to allow each company to recover the recorded value of its assets.</w:t>
      </w:r>
    </w:p>
    <w:p>
      <w:pPr>
        <w:spacing w:after="0" w:line="161"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Sanifill intends to integrate the Combined Companies into its existing operations.</w:t>
      </w:r>
    </w:p>
    <w:p>
      <w:pPr>
        <w:spacing w:after="0" w:line="173" w:lineRule="exact"/>
        <w:rPr>
          <w:sz w:val="20"/>
          <w:szCs w:val="20"/>
          <w:color w:val="auto"/>
        </w:rPr>
      </w:pPr>
    </w:p>
    <w:p>
      <w:pPr>
        <w:ind w:left="360" w:right="7959" w:hanging="350"/>
        <w:spacing w:after="0" w:line="261"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Although the accompanying combined financial statements are dated as of and for the year ended December 31, 1995, one of the companies has a fiscal year-end of October 31, 1995. The combined financial statements include 12 months of the Combined Companies' operations, the fiscal year-ends of which are all within 93 days of the December 31, 1995, year-end.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right="3679"/>
        <w:spacing w:after="0" w:line="258" w:lineRule="auto"/>
        <w:rPr>
          <w:sz w:val="20"/>
          <w:szCs w:val="20"/>
          <w:color w:val="auto"/>
        </w:rPr>
      </w:pPr>
      <w:r>
        <w:rPr>
          <w:rFonts w:ascii="Courier New" w:cs="Courier New" w:eastAsia="Courier New" w:hAnsi="Courier New"/>
          <w:sz w:val="14"/>
          <w:szCs w:val="14"/>
          <w:color w:val="auto"/>
        </w:rPr>
        <w:t>The Combined Companies' revenues are comprised primarily of collection fees charged to customers and sales of recyclables. Revenues are recorded in the combined financial statements as the services are performed.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Costs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Operating costs include labor, fuel, equipment maintenance, disposal fees and other direct costs of operating the collection and recycling operations.</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114</w:t>
      </w:r>
    </w:p>
    <w:p>
      <w:pPr>
        <w:ind w:left="3240"/>
        <w:spacing w:after="0" w:line="237" w:lineRule="auto"/>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General and administrative expenses include corporate management salaries, clerical and other administrative overhead.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Property and equipment are recorded at cost. Expenditures for major additions and improvements are capitalized. Minor replacements, maintenance and repairs which do not improve or extend the life of such assets are charged to operations as incurred. Disposals are removed at cost less accumulated depreciation and amortization, and any resulting gain or loss is reflected in current operations. The Combined Companies have computed depreciation for financial reporting purposes on the straight-line method. The estimated lives used in computing depreciation are as follows: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YEARS</w:t>
      </w:r>
    </w:p>
    <w:tbl>
      <w:tblPr>
        <w:tblLayout w:type="fixed"/>
        <w:tblInd w:w="1320" w:type="dxa"/>
        <w:tblCellMar>
          <w:top w:w="0" w:type="dxa"/>
          <w:left w:w="0" w:type="dxa"/>
          <w:bottom w:w="0" w:type="dxa"/>
          <w:right w:w="0" w:type="dxa"/>
        </w:tblCellMar>
      </w:tblPr>
      <w:tr>
        <w:trPr>
          <w:trHeight w:val="168"/>
        </w:trPr>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2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Machinery and</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1240" w:type="dxa"/>
            <w:vAlign w:val="bottom"/>
          </w:tcPr>
          <w:p>
            <w:pPr>
              <w:ind w:left="840"/>
              <w:spacing w:after="0"/>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Buildings and</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improvements</w:t>
            </w:r>
          </w:p>
        </w:tc>
        <w:tc>
          <w:tcPr>
            <w:tcW w:w="12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3-31</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Other assets consist primarily of contracts purchased by one of the Combined Companies (Alpine) to provide trash collection services to residential and commercial customers within the city of Portland, Oregon. The purchased contracts are accounted for using the purchase method of accounting and are amortized over the life of each contract, ranging from three to 15 years.</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financial results of the purchased contracts have been included in the combined financial statements of the Combined Companies from the date each contract was purchased. During the year ended December 31, 1995, Alpine purchased one contract from the city of Portland, Oregon, for $253,317 which is being amortized over the life of the contract, three years. The pro forma effect of the purchased contract for the full year was not material to the results of operations or financial position for the Combined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principles requires the Combined Companies to make estimates and assumptions that affect the reported amounts of assets and liabilities and disclosure of contingent assets and liabilities at the date of the financial statements, and affect the reported amounts of revenues and expenses during the reporting period.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Alpine is a partnership for federal income tax purposes. In accordance with the partnership provisions of the Internal Revenue Code, the earnings of Alpine are included in the personal tax returns of the partners; therefore, no federal or state income tax expense is recorded in the accompanying combined financial statements for the income of this entity.</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City and LGI are C Corporations for federal income tax purposes. City and LGI use the liability method in accounting for income taxes. Under this method, deferred taxes are recorded based upon differences between the financial reporting basis and tax basis of assets and liabilities and are measured using the enacted tax rates and laws that will be in effect when the differences are expected to reverse.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115</w:t>
      </w:r>
    </w:p>
    <w:p>
      <w:pPr>
        <w:ind w:left="3240"/>
        <w:spacing w:after="0" w:line="237" w:lineRule="auto"/>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STOCKHOLDERS' EQUITY:</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Common stock of the corporate entities as of December 31, 1995,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Issued and</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Company</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Par Value</w:t>
            </w:r>
          </w:p>
        </w:tc>
        <w:tc>
          <w:tcPr>
            <w:tcW w:w="16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Authorized</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Outstanding</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City Disposal, Inc.</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No par</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L.G. Industries, Inc.</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 par</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property and equipment as of December 31, 1995,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$1,972,347</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157,134</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2,129,481</w:t>
            </w:r>
          </w:p>
        </w:tc>
      </w:tr>
      <w:tr>
        <w:trPr>
          <w:trHeight w:val="336"/>
        </w:trPr>
        <w:tc>
          <w:tcPr>
            <w:tcW w:w="3700" w:type="dxa"/>
            <w:vAlign w:val="bottom"/>
          </w:tcPr>
          <w:p>
            <w:pPr>
              <w:spacing w:after="0"/>
              <w:rPr>
                <w:sz w:val="20"/>
                <w:szCs w:val="20"/>
                <w:color w:val="auto"/>
              </w:rPr>
            </w:pPr>
            <w:r>
              <w:rPr>
                <w:rFonts w:ascii="Courier New" w:cs="Courier New" w:eastAsia="Courier New" w:hAnsi="Courier New"/>
                <w:sz w:val="15"/>
                <w:szCs w:val="15"/>
                <w:color w:val="auto"/>
              </w:rPr>
              <w:t>Less-Accumulated depreciation</w:t>
            </w:r>
          </w:p>
        </w:tc>
        <w:tc>
          <w:tcPr>
            <w:tcW w:w="1100" w:type="dxa"/>
            <w:vAlign w:val="bottom"/>
          </w:tcPr>
          <w:p>
            <w:pPr>
              <w:spacing w:after="0"/>
              <w:rPr>
                <w:sz w:val="24"/>
                <w:szCs w:val="24"/>
                <w:color w:val="auto"/>
              </w:rPr>
            </w:pPr>
          </w:p>
        </w:tc>
      </w:tr>
      <w:tr>
        <w:trPr>
          <w:trHeight w:val="168"/>
        </w:trPr>
        <w:tc>
          <w:tcPr>
            <w:tcW w:w="3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858,298</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 Property and equipment, net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$1,271,183</w:t>
            </w:r>
          </w:p>
        </w:tc>
      </w:tr>
      <w:tr>
        <w:trPr>
          <w:trHeight w:val="168"/>
        </w:trPr>
        <w:tc>
          <w:tcPr>
            <w:tcW w:w="3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Maintenance and repairs charged to operations during 1995 were approximately $227,287.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OTHER ASSETS: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 summary of other assets, net of accumulated amortization, as of December 31, 1995,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Route Costs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569,160</w:t>
            </w:r>
          </w:p>
        </w:tc>
      </w:tr>
      <w:tr>
        <w:trPr>
          <w:trHeight w:val="168"/>
        </w:trPr>
        <w:tc>
          <w:tcPr>
            <w:tcW w:w="2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9,074</w:t>
            </w:r>
          </w:p>
        </w:tc>
      </w:tr>
      <w:tr>
        <w:trPr>
          <w:trHeight w:val="168"/>
        </w:trPr>
        <w:tc>
          <w:tcPr>
            <w:tcW w:w="296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578,234</w:t>
            </w:r>
          </w:p>
        </w:tc>
      </w:tr>
      <w:tr>
        <w:trPr>
          <w:trHeight w:val="168"/>
        </w:trPr>
        <w:tc>
          <w:tcPr>
            <w:tcW w:w="296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ACCRUED LIABILITIES: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liabilities and other consist of the following at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Accrued wages</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13,134</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accruals</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50,810</w:t>
            </w:r>
          </w:p>
        </w:tc>
      </w:tr>
      <w:tr>
        <w:trPr>
          <w:trHeight w:val="168"/>
        </w:trPr>
        <w:tc>
          <w:tcPr>
            <w:tcW w:w="37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Total accrued liabilities and other</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63,944</w:t>
            </w:r>
          </w:p>
        </w:tc>
      </w:tr>
      <w:tr>
        <w:trPr>
          <w:trHeight w:val="168"/>
        </w:trPr>
        <w:tc>
          <w:tcPr>
            <w:tcW w:w="37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8039" w:firstLine="10"/>
        <w:spacing w:after="0" w:line="509" w:lineRule="auto"/>
        <w:tabs>
          <w:tab w:leader="none" w:pos="26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OBLIGATIONS: Long-Term Debt</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debt consists of the following as of December 31,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20"/>
                <w:szCs w:val="20"/>
                <w:color w:val="auto"/>
              </w:rPr>
            </w:pPr>
            <w:r>
              <w:rPr>
                <w:rFonts w:ascii="Courier New" w:cs="Courier New" w:eastAsia="Courier New" w:hAnsi="Courier New"/>
                <w:sz w:val="15"/>
                <w:szCs w:val="15"/>
                <w:color w:val="auto"/>
              </w:rPr>
              <w:t>Notes payable, maturing in varying amounts from December 1996</w:t>
            </w:r>
          </w:p>
        </w:tc>
        <w:tc>
          <w:tcPr>
            <w:tcW w:w="11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 July 2004, with interest ranging from 7.8% to 10.5%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$1,089,572</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due in March 2001, with interest at prime</w:t>
            </w:r>
          </w:p>
        </w:tc>
        <w:tc>
          <w:tcPr>
            <w:tcW w:w="11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plus 2.75%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371,095</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of credit with a bank, due in January 1996, with interest</w:t>
            </w:r>
          </w:p>
        </w:tc>
        <w:tc>
          <w:tcPr>
            <w:tcW w:w="118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prime plus 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55,000</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1,515,667</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Less-Current maturities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319,973</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debt, net of current maturities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$1,195,694</w:t>
            </w:r>
          </w:p>
        </w:tc>
      </w:tr>
      <w:tr>
        <w:trPr>
          <w:trHeight w:val="168"/>
        </w:trPr>
        <w:tc>
          <w:tcPr>
            <w:tcW w:w="57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85"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281" w:right="1440" w:bottom="185" w:gutter="0" w:footer="0" w:header="0"/>
          <w:type w:val="continuous"/>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116</w:t>
      </w:r>
    </w:p>
    <w:tbl>
      <w:tblPr>
        <w:tblLayout w:type="fixed"/>
        <w:tblInd w:w="0" w:type="dxa"/>
        <w:tblCellMar>
          <w:top w:w="0" w:type="dxa"/>
          <w:left w:w="0" w:type="dxa"/>
          <w:bottom w:w="0" w:type="dxa"/>
          <w:right w:w="0" w:type="dxa"/>
        </w:tblCellMar>
      </w:tblPr>
      <w:tr>
        <w:trPr>
          <w:trHeight w:val="168"/>
        </w:trPr>
        <w:tc>
          <w:tcPr>
            <w:tcW w:w="6000" w:type="dxa"/>
            <w:vAlign w:val="bottom"/>
          </w:tcPr>
          <w:p>
            <w:pPr>
              <w:ind w:left="3340"/>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spacing w:after="0"/>
              <w:rPr>
                <w:sz w:val="14"/>
                <w:szCs w:val="14"/>
                <w:color w:val="auto"/>
              </w:rPr>
            </w:pPr>
          </w:p>
        </w:tc>
      </w:tr>
      <w:tr>
        <w:trPr>
          <w:trHeight w:val="505"/>
        </w:trPr>
        <w:tc>
          <w:tcPr>
            <w:tcW w:w="6000" w:type="dxa"/>
            <w:vAlign w:val="bottom"/>
          </w:tcPr>
          <w:p>
            <w:pPr>
              <w:spacing w:after="0"/>
              <w:rPr>
                <w:sz w:val="20"/>
                <w:szCs w:val="20"/>
                <w:color w:val="auto"/>
              </w:rPr>
            </w:pPr>
            <w:r>
              <w:rPr>
                <w:rFonts w:ascii="Courier New" w:cs="Courier New" w:eastAsia="Courier New" w:hAnsi="Courier New"/>
                <w:sz w:val="15"/>
                <w:szCs w:val="15"/>
                <w:color w:val="auto"/>
              </w:rPr>
              <w:t>Notes Payable to Related Parties</w:t>
            </w:r>
          </w:p>
        </w:tc>
        <w:tc>
          <w:tcPr>
            <w:tcW w:w="1000" w:type="dxa"/>
            <w:vAlign w:val="bottom"/>
          </w:tcPr>
          <w:p>
            <w:pPr>
              <w:spacing w:after="0"/>
              <w:rPr>
                <w:sz w:val="24"/>
                <w:szCs w:val="2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Notes payable to related parties consists of the following as of</w:t>
            </w:r>
          </w:p>
        </w:tc>
        <w:tc>
          <w:tcPr>
            <w:tcW w:w="100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1995:</w:t>
            </w:r>
          </w:p>
        </w:tc>
        <w:tc>
          <w:tcPr>
            <w:tcW w:w="1000" w:type="dxa"/>
            <w:vAlign w:val="bottom"/>
          </w:tcPr>
          <w:p>
            <w:pPr>
              <w:spacing w:after="0"/>
              <w:rPr>
                <w:sz w:val="14"/>
                <w:szCs w:val="14"/>
                <w:color w:val="auto"/>
              </w:rPr>
            </w:pPr>
          </w:p>
        </w:tc>
      </w:tr>
      <w:tr>
        <w:trPr>
          <w:trHeight w:val="33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Notes payable, maturing in varying amounts from December 1997</w:t>
            </w:r>
          </w:p>
        </w:tc>
        <w:tc>
          <w:tcPr>
            <w:tcW w:w="1000" w:type="dxa"/>
            <w:vAlign w:val="bottom"/>
          </w:tcPr>
          <w:p>
            <w:pPr>
              <w:spacing w:after="0"/>
              <w:rPr>
                <w:sz w:val="24"/>
                <w:szCs w:val="24"/>
                <w:color w:val="auto"/>
              </w:rPr>
            </w:pPr>
          </w:p>
        </w:tc>
      </w:tr>
      <w:tr>
        <w:trPr>
          <w:trHeight w:val="168"/>
        </w:trPr>
        <w:tc>
          <w:tcPr>
            <w:tcW w:w="6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 November 2004, with interest ranging from 8% to 10%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$103,232</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Less-Current maturities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16,879</w:t>
            </w:r>
          </w:p>
        </w:tc>
      </w:tr>
      <w:tr>
        <w:trPr>
          <w:trHeight w:val="168"/>
        </w:trPr>
        <w:tc>
          <w:tcPr>
            <w:tcW w:w="6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 to related parties, net of current maturities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$ 86,353</w:t>
            </w:r>
          </w:p>
        </w:tc>
      </w:tr>
      <w:tr>
        <w:trPr>
          <w:trHeight w:val="168"/>
        </w:trPr>
        <w:tc>
          <w:tcPr>
            <w:tcW w:w="6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for 1995 on related-party debt totaled $6,962.</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Aggregate maturities of long-term debt and notes payable to related parties are as follows: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2540" w:type="dxa"/>
            <w:vAlign w:val="bottom"/>
          </w:tcPr>
          <w:p>
            <w:pPr>
              <w:spacing w:after="0"/>
              <w:rPr>
                <w:sz w:val="14"/>
                <w:szCs w:val="14"/>
                <w:color w:val="auto"/>
              </w:rPr>
            </w:pP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336,852</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1997</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264,923</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1998</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238,039</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233,155</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2000</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235,924</w:t>
            </w:r>
          </w:p>
        </w:tc>
      </w:tr>
      <w:tr>
        <w:trPr>
          <w:trHeight w:val="168"/>
        </w:trPr>
        <w:tc>
          <w:tcPr>
            <w:tcW w:w="3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Thereafter</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310,006</w:t>
            </w:r>
          </w:p>
        </w:tc>
      </w:tr>
      <w:tr>
        <w:trPr>
          <w:trHeight w:val="168"/>
        </w:trPr>
        <w:tc>
          <w:tcPr>
            <w:tcW w:w="368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$1,618,899</w:t>
            </w:r>
          </w:p>
        </w:tc>
      </w:tr>
      <w:tr>
        <w:trPr>
          <w:trHeight w:val="168"/>
        </w:trPr>
        <w:tc>
          <w:tcPr>
            <w:tcW w:w="368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notes payable are collateralized by various property and equipment of the Combined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RELATED-PARTY TRANSACTIONS: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February 1995, LGI entered into a joint venture agreement with Garnet of Maryland (GOM) for the operation of a municipal solid waste transfer station in Washington, D.C. Under the terms of this agreement, the joint venture (LGI/GOM) is operated in a Washington, D.C. facility leased by LGI. LGI leases this facility to LGI/GOM under a sublease agreement. Furthermore, under the terms of the joint venture agreement, LGI receives reimbursement of various operating expenses and receives a guaranteed royalty of at least $25,000 per month. In the event that LGI/GOM's net income exceeds $25,000 per month, LGI and GOM participate in profits on a 50/50 basis, with any amounts paid to LGI under the $25,000 guarantee, reducing the amount of profit allocable to LGI. As a condition to entering into the joint venture agreement, LGI received a payment of $250,000 from GOM as an access fee. This amount is recorded in deferred revenue and is being amortized over the life of the agreement (10 years). The table below details LGI's related-party transactions for 1995:</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Guaranteed royalties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Reimbursement of operating expenses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Reimbursement of rent expense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192,984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from LGI/GOM</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160,800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FEDERAL INCOME TAXES: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Deferred tax assets and liabilities are recognized and presented considering the future consequences of temporary differences between the financial statement basis and the tax basis of assets and liabilities using the tax rates in effect during the period when taxes are actually paid or recovered.</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117</w:t>
      </w:r>
    </w:p>
    <w:p>
      <w:pPr>
        <w:ind w:left="3340"/>
        <w:spacing w:after="0" w:line="237" w:lineRule="auto"/>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Federal income taxes have been provided based on the statutory rate of 34 percent plus applicable state taxes. Components of the income tax provision reflected in the accompanying combined statement of operations for the year ended December 31, 1995, consist of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Current -</w:t>
            </w:r>
          </w:p>
        </w:tc>
        <w:tc>
          <w:tcPr>
            <w:tcW w:w="1960" w:type="dxa"/>
            <w:vAlign w:val="bottom"/>
          </w:tcPr>
          <w:p>
            <w:pPr>
              <w:spacing w:after="0"/>
              <w:rPr>
                <w:sz w:val="14"/>
                <w:szCs w:val="14"/>
                <w:color w:val="auto"/>
              </w:rPr>
            </w:pP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Federal</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$ 31,348</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State</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96,361</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127,709</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w:t>
            </w:r>
          </w:p>
        </w:tc>
        <w:tc>
          <w:tcPr>
            <w:tcW w:w="1960" w:type="dxa"/>
            <w:vAlign w:val="bottom"/>
          </w:tcPr>
          <w:p>
            <w:pPr>
              <w:spacing w:after="0"/>
              <w:rPr>
                <w:sz w:val="14"/>
                <w:szCs w:val="14"/>
                <w:color w:val="auto"/>
              </w:rPr>
            </w:pP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Federal</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(63,492)</w:t>
            </w:r>
          </w:p>
        </w:tc>
      </w:tr>
      <w:tr>
        <w:trPr>
          <w:trHeight w:val="168"/>
        </w:trPr>
        <w:tc>
          <w:tcPr>
            <w:tcW w:w="4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State</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(15,119)</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(78,611)</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$ 49,098</w:t>
            </w:r>
          </w:p>
        </w:tc>
      </w:tr>
      <w:tr>
        <w:trPr>
          <w:trHeight w:val="168"/>
        </w:trPr>
        <w:tc>
          <w:tcPr>
            <w:tcW w:w="406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 reconciliation of the total income tax provision to the amounts calculated by applying the federal statutory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Tax at</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statutory rate</w:t>
            </w:r>
          </w:p>
        </w:tc>
        <w:tc>
          <w:tcPr>
            <w:tcW w:w="1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$106,867</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State taxes</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7,463</w:t>
            </w: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Utilization of prior-year net operating losses</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(31,654)</w:t>
            </w:r>
          </w:p>
        </w:tc>
      </w:tr>
      <w:tr>
        <w:trPr>
          <w:trHeight w:val="168"/>
        </w:trPr>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Effect</w:t>
            </w:r>
          </w:p>
        </w:tc>
        <w:tc>
          <w:tcPr>
            <w:tcW w:w="4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excluding income of partnership</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(33,578)</w:t>
            </w:r>
          </w:p>
        </w:tc>
      </w:tr>
      <w:tr>
        <w:trPr>
          <w:trHeight w:val="168"/>
        </w:trPr>
        <w:tc>
          <w:tcPr>
            <w:tcW w:w="5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 w:type="dxa"/>
            <w:vAlign w:val="bottom"/>
          </w:tcPr>
          <w:p>
            <w:pPr>
              <w:spacing w:after="0"/>
              <w:rPr>
                <w:sz w:val="14"/>
                <w:szCs w:val="14"/>
                <w:color w:val="auto"/>
              </w:rPr>
            </w:pPr>
          </w:p>
        </w:tc>
        <w:tc>
          <w:tcPr>
            <w:tcW w:w="4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$ 49,098</w:t>
            </w:r>
          </w:p>
        </w:tc>
      </w:tr>
      <w:tr>
        <w:trPr>
          <w:trHeight w:val="168"/>
        </w:trPr>
        <w:tc>
          <w:tcPr>
            <w:tcW w:w="5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deferred income tax assets and liabilities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Current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Deferred income tax assets -</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$59,429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$95,019</w:t>
            </w: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Cash to accrual conversions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20,625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State tax credits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19,425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deferred income tax assets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99,479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95,019</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liabilities -</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65,060</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deferred income tax liabilities</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65,060</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income tax asset</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$99,479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$29,959</w:t>
            </w:r>
          </w:p>
        </w:tc>
      </w:tr>
      <w:tr>
        <w:trPr>
          <w:trHeight w:val="168"/>
        </w:trPr>
        <w:tc>
          <w:tcPr>
            <w:tcW w:w="388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deferred income tax benefit for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$(56,982)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3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22,231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to accrual conversions</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(43,860)</w:t>
            </w:r>
          </w:p>
        </w:tc>
      </w:tr>
      <w:tr>
        <w:trPr>
          <w:trHeight w:val="168"/>
        </w:trPr>
        <w:tc>
          <w:tcPr>
            <w:tcW w:w="2580" w:type="dxa"/>
            <w:vAlign w:val="bottom"/>
          </w:tcPr>
          <w:p>
            <w:pPr>
              <w:spacing w:after="0"/>
              <w:rPr>
                <w:sz w:val="14"/>
                <w:szCs w:val="14"/>
                <w:color w:val="auto"/>
              </w:rPr>
            </w:pPr>
          </w:p>
        </w:tc>
        <w:tc>
          <w:tcPr>
            <w:tcW w:w="3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benefit</w:t>
            </w:r>
          </w:p>
        </w:tc>
        <w:tc>
          <w:tcPr>
            <w:tcW w:w="3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$(78,611)</w:t>
            </w:r>
          </w:p>
        </w:tc>
      </w:tr>
      <w:tr>
        <w:trPr>
          <w:trHeight w:val="168"/>
        </w:trPr>
        <w:tc>
          <w:tcPr>
            <w:tcW w:w="2580" w:type="dxa"/>
            <w:vAlign w:val="bottom"/>
          </w:tcPr>
          <w:p>
            <w:pPr>
              <w:spacing w:after="0"/>
              <w:rPr>
                <w:sz w:val="14"/>
                <w:szCs w:val="14"/>
                <w:color w:val="auto"/>
              </w:rPr>
            </w:pPr>
          </w:p>
        </w:tc>
        <w:tc>
          <w:tcPr>
            <w:tcW w:w="3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580" w:type="dxa"/>
            <w:vAlign w:val="bottom"/>
          </w:tcPr>
          <w:p>
            <w:pPr>
              <w:spacing w:after="0"/>
              <w:rPr>
                <w:sz w:val="24"/>
                <w:szCs w:val="24"/>
                <w:color w:val="auto"/>
              </w:rPr>
            </w:pPr>
          </w:p>
        </w:tc>
        <w:tc>
          <w:tcPr>
            <w:tcW w:w="3100" w:type="dxa"/>
            <w:vAlign w:val="bottom"/>
          </w:tcPr>
          <w:p>
            <w:pPr>
              <w:jc w:val="right"/>
              <w:ind w:right="2547"/>
              <w:spacing w:after="0"/>
              <w:rPr>
                <w:sz w:val="20"/>
                <w:szCs w:val="20"/>
                <w:color w:val="auto"/>
              </w:rPr>
            </w:pPr>
            <w:r>
              <w:rPr>
                <w:rFonts w:ascii="Courier New" w:cs="Courier New" w:eastAsia="Courier New" w:hAnsi="Courier New"/>
                <w:sz w:val="15"/>
                <w:szCs w:val="15"/>
                <w:color w:val="auto"/>
              </w:rPr>
              <w:t>117</w:t>
            </w:r>
          </w:p>
        </w:tc>
      </w:tr>
    </w:tbl>
    <w:p>
      <w:pPr>
        <w:sectPr>
          <w:pgSz w:w="11900" w:h="16838" w:orient="portrait"/>
          <w:cols w:equalWidth="0" w:num="1">
            <w:col w:w="10239"/>
          </w:cols>
          <w:pgMar w:left="22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118</w:t>
      </w:r>
    </w:p>
    <w:p>
      <w:pPr>
        <w:ind w:left="3340"/>
        <w:spacing w:after="0" w:line="237" w:lineRule="auto"/>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0" w:lineRule="exact"/>
        <w:rPr>
          <w:sz w:val="20"/>
          <w:szCs w:val="20"/>
          <w:color w:val="auto"/>
        </w:rPr>
      </w:pPr>
    </w:p>
    <w:p>
      <w:pPr>
        <w:ind w:right="7259" w:firstLine="10"/>
        <w:spacing w:after="0" w:line="465"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Combined Companies have various operating leases for facilities and equipment. Rental expense under operating and month-to-month leases, net of subleases, was $118,142 for the year ended December 31, 1995.</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LGI entered into an operating lease for the Washington, D.C., coliseum for the purpose of operating a construction and demolition transfer station. As discussed in Note 8, LGI entered into a sublease agreement for this property whereby rent expense is 100 percent reimbursed by LGI/GOM. Future minimum lease payments, net of subleases, are as follows: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  153,500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163,000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172,900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181,545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190,622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757,204</w:t>
            </w:r>
          </w:p>
        </w:tc>
      </w:tr>
      <w:tr>
        <w:trPr>
          <w:trHeight w:val="168"/>
        </w:trPr>
        <w:tc>
          <w:tcPr>
            <w:tcW w:w="24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$1,618,771</w:t>
            </w:r>
          </w:p>
        </w:tc>
      </w:tr>
      <w:tr>
        <w:trPr>
          <w:trHeight w:val="168"/>
        </w:trPr>
        <w:tc>
          <w:tcPr>
            <w:tcW w:w="24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279"/>
        <w:spacing w:after="0" w:line="261" w:lineRule="auto"/>
        <w:rPr>
          <w:sz w:val="20"/>
          <w:szCs w:val="20"/>
          <w:color w:val="auto"/>
        </w:rPr>
      </w:pPr>
      <w:r>
        <w:rPr>
          <w:rFonts w:ascii="Courier New" w:cs="Courier New" w:eastAsia="Courier New" w:hAnsi="Courier New"/>
          <w:sz w:val="14"/>
          <w:szCs w:val="14"/>
          <w:color w:val="auto"/>
        </w:rPr>
        <w:t>Other than the lease described above, the Combined Companies have no significant long-term noncancelable operating lease obligations.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Combined Companies are involved in certain claims and litigation arising in the normal course of business. Management believes the outcome of such matters will not have an adverse effect on the Combined Companies' combined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SUBSEQUENT EVENTS: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On August 30, 1996, Sanifill merged into USA Waste, Inc. (USA). Under the terms of the merger, each share of Sanifill's outstanding common stock was exchanged for 1.70 shares of USA common stock. In addition, USA assumed all of Sanifill's options and warrants outstanding.</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119</w:t>
      </w:r>
    </w:p>
    <w:p>
      <w:pPr>
        <w:ind w:left="3080"/>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GREGORY T. SANGALIS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Gregory T. Sangalis</w:t>
      </w:r>
    </w:p>
    <w:p>
      <w:pPr>
        <w:ind w:left="3940"/>
        <w:spacing w:after="0" w:line="237" w:lineRule="auto"/>
        <w:rPr>
          <w:sz w:val="20"/>
          <w:szCs w:val="20"/>
          <w:color w:val="auto"/>
        </w:rPr>
      </w:pPr>
      <w:r>
        <w:rPr>
          <w:rFonts w:ascii="Courier New" w:cs="Courier New" w:eastAsia="Courier New" w:hAnsi="Courier New"/>
          <w:sz w:val="15"/>
          <w:szCs w:val="15"/>
          <w:color w:val="auto"/>
        </w:rPr>
        <w:t>Vice President, General Counsel</w:t>
      </w:r>
    </w:p>
    <w:p>
      <w:pPr>
        <w:ind w:left="3940"/>
        <w:spacing w:after="0" w:line="238" w:lineRule="auto"/>
        <w:rPr>
          <w:sz w:val="20"/>
          <w:szCs w:val="20"/>
          <w:color w:val="auto"/>
        </w:rPr>
      </w:pPr>
      <w:r>
        <w:rPr>
          <w:rFonts w:ascii="Courier New" w:cs="Courier New" w:eastAsia="Courier New" w:hAnsi="Courier New"/>
          <w:sz w:val="15"/>
          <w:szCs w:val="15"/>
          <w:color w:val="auto"/>
        </w:rPr>
        <w:t>&amp; Secretary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13, 1996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120</w:t>
      </w:r>
    </w:p>
    <w:tbl>
      <w:tblPr>
        <w:tblLayout w:type="fixed"/>
        <w:tblInd w:w="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390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USA WASTE SERVICES, INC.</w:t>
            </w:r>
          </w:p>
        </w:tc>
      </w:tr>
      <w:tr>
        <w:trPr>
          <w:trHeight w:val="336"/>
        </w:trPr>
        <w:tc>
          <w:tcPr>
            <w:tcW w:w="1100" w:type="dxa"/>
            <w:vAlign w:val="bottom"/>
          </w:tcPr>
          <w:p>
            <w:pPr>
              <w:spacing w:after="0"/>
              <w:rPr>
                <w:sz w:val="24"/>
                <w:szCs w:val="24"/>
                <w:color w:val="auto"/>
              </w:rPr>
            </w:pPr>
          </w:p>
        </w:tc>
        <w:tc>
          <w:tcPr>
            <w:tcW w:w="3900" w:type="dxa"/>
            <w:vAlign w:val="bottom"/>
          </w:tcPr>
          <w:p>
            <w:pPr>
              <w:ind w:left="1800"/>
              <w:spacing w:after="0"/>
              <w:rPr>
                <w:sz w:val="20"/>
                <w:szCs w:val="20"/>
                <w:color w:val="auto"/>
              </w:rPr>
            </w:pPr>
            <w:r>
              <w:rPr>
                <w:rFonts w:ascii="Courier New" w:cs="Courier New" w:eastAsia="Courier New" w:hAnsi="Courier New"/>
                <w:sz w:val="15"/>
                <w:szCs w:val="15"/>
                <w:color w:val="auto"/>
              </w:rPr>
              <w:t>EXHIBIT INDEX</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900" w:type="dxa"/>
            <w:vAlign w:val="bottom"/>
          </w:tcPr>
          <w:p>
            <w:pPr>
              <w:spacing w:after="0"/>
              <w:rPr>
                <w:sz w:val="24"/>
                <w:szCs w:val="24"/>
                <w:color w:val="auto"/>
              </w:rPr>
            </w:pP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9"/>
              </w:rPr>
              <w:t>NUMBER</w:t>
            </w:r>
          </w:p>
        </w:tc>
        <w:tc>
          <w:tcPr>
            <w:tcW w:w="390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DESCRIPTION OF EXHIBIT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90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23.1</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23.2</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Accountants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23.3</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23.4</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23.5</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23.6</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Consent of Independent Public Accountants</w:t>
            </w:r>
          </w:p>
        </w:tc>
      </w:tr>
      <w:tr>
        <w:trPr>
          <w:trHeight w:val="168"/>
        </w:trPr>
        <w:tc>
          <w:tcPr>
            <w:tcW w:w="110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4"/>
              </w:rPr>
              <w:t>23.7</w:t>
            </w:r>
          </w:p>
        </w:tc>
        <w:tc>
          <w:tcPr>
            <w:tcW w:w="3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Consent of Independent Auditors</w:t>
            </w:r>
          </w:p>
        </w:tc>
      </w:tr>
    </w:tbl>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jc w:val="both"/>
        <w:ind w:right="35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 33-60103,</w:t>
      </w:r>
    </w:p>
    <w:p>
      <w:pPr>
        <w:spacing w:after="0" w:line="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33-63981, 333-02181 and 333-08161), Registration Statements on Form S-3 (File Nos. 33-42988, 33-43809, 33-76226, 33-85018, 333-00097, and 333-08573), and Registration Statements on Form S-8 (File Nos. 33-43619, 33-72436, 33-84988, 33-84990, 33-59807, 33-61621, 33-61625, 33-61627, 333-14115, and 333-14613), of our report dated October 25, 1996, on our audit of the balance sheet of Les Entreprises de Rebuts Sanipan Inc. as of December 31, 1995, and the related statements of earnings and retained earnings and changes in financial position for the year then ended, our report dated October 25, 1996, on our audit of the balance sheet of Transport Sanico Ltee as of December 31, 1995, and the related statements of earnings and retained earnings and changes in financial position for the year then ended, our report dated November 8, 1996, on our audit of the historical summary of revenues and direct operating expenses of the Combined Ontario and Michigan Operations of the Solid Waste Division of Philip Environmental Inc. for the year ended December 31, 1995, and our report dated November 8, 1996, on our audit of the historical summary of the net book value of property, plant and equipment of the Combined Ontario and Michigan Operations of the Solid Waste Division of Philip Environmental Inc. for the year ended December 31, 1995, which are included in this Current Report on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 DELOITTE &amp; TOUCHE</w:t>
      </w:r>
    </w:p>
    <w:p>
      <w:pPr>
        <w:spacing w:after="0" w:line="200" w:lineRule="exact"/>
        <w:rPr>
          <w:sz w:val="20"/>
          <w:szCs w:val="20"/>
          <w:color w:val="auto"/>
        </w:rPr>
      </w:pPr>
    </w:p>
    <w:p>
      <w:pPr>
        <w:spacing w:after="0" w:line="30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DELOITTE &amp; TOUCHE</w:t>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Chartered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238" w:lineRule="auto"/>
        <w:rPr>
          <w:sz w:val="20"/>
          <w:szCs w:val="20"/>
          <w:color w:val="auto"/>
        </w:rPr>
      </w:pPr>
      <w:r>
        <w:rPr>
          <w:rFonts w:ascii="Courier New" w:cs="Courier New" w:eastAsia="Courier New" w:hAnsi="Courier New"/>
          <w:sz w:val="15"/>
          <w:szCs w:val="15"/>
          <w:color w:val="auto"/>
        </w:rPr>
        <w:t>33-72436, 33-84988, 33-84990, 33-59807, 33-61621, 33-61625, 33-61627,</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333-14115, and 333-14613), of our report dated October 15, 1996, on our audit of the balance sheet of Kasper Brothers, Inc. as of September 30, 1995 and the related statements of operations and retained earnings and cash flows for the fiscal year then ended, which is included in this Current Report on Form 8-K/A.</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COOPERS &amp; LYBRAND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w:t>
      </w:r>
    </w:p>
    <w:p>
      <w:pPr>
        <w:ind w:left="5780"/>
        <w:spacing w:after="0" w:line="237" w:lineRule="auto"/>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238" w:lineRule="auto"/>
        <w:rPr>
          <w:sz w:val="20"/>
          <w:szCs w:val="20"/>
          <w:color w:val="auto"/>
        </w:rPr>
      </w:pPr>
      <w:r>
        <w:rPr>
          <w:rFonts w:ascii="Courier New" w:cs="Courier New" w:eastAsia="Courier New" w:hAnsi="Courier New"/>
          <w:sz w:val="15"/>
          <w:szCs w:val="15"/>
          <w:color w:val="auto"/>
        </w:rPr>
        <w:t>33-72436, 33-84988, 33-84990, 33-59807, 33-61621, 33-61625, 33-61627,</w:t>
      </w:r>
    </w:p>
    <w:p>
      <w:pPr>
        <w:spacing w:after="0" w:line="238" w:lineRule="auto"/>
        <w:rPr>
          <w:sz w:val="20"/>
          <w:szCs w:val="20"/>
          <w:color w:val="auto"/>
        </w:rPr>
      </w:pPr>
      <w:r>
        <w:rPr>
          <w:rFonts w:ascii="Courier New" w:cs="Courier New" w:eastAsia="Courier New" w:hAnsi="Courier New"/>
          <w:sz w:val="15"/>
          <w:szCs w:val="15"/>
          <w:color w:val="auto"/>
        </w:rPr>
        <w:t>333-14115, and 333-14613), of our report dated March 11, 1996, on our audit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the balance sheets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the year then ended, which is included in this Current Report on Form 8-K/A.</w:t>
      </w:r>
    </w:p>
    <w:p>
      <w:pPr>
        <w:spacing w:after="0" w:line="200" w:lineRule="exact"/>
        <w:rPr>
          <w:sz w:val="20"/>
          <w:szCs w:val="20"/>
          <w:color w:val="auto"/>
        </w:rPr>
      </w:pPr>
    </w:p>
    <w:p>
      <w:pPr>
        <w:spacing w:after="0" w:line="30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KAPLAN SIPOS &amp; ASSOCIATES</w:t>
      </w:r>
    </w:p>
    <w:p>
      <w:pPr>
        <w:ind w:left="3500"/>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23.4</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238" w:lineRule="auto"/>
        <w:rPr>
          <w:sz w:val="20"/>
          <w:szCs w:val="20"/>
          <w:color w:val="auto"/>
        </w:rPr>
      </w:pPr>
      <w:r>
        <w:rPr>
          <w:rFonts w:ascii="Courier New" w:cs="Courier New" w:eastAsia="Courier New" w:hAnsi="Courier New"/>
          <w:sz w:val="15"/>
          <w:szCs w:val="15"/>
          <w:color w:val="auto"/>
        </w:rPr>
        <w:t>33-72436, 33-84988, 33-84990, 33-59807, 33-61621, 33-61625, 33-61627,</w:t>
      </w:r>
    </w:p>
    <w:p>
      <w:pPr>
        <w:spacing w:after="0" w:line="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333-14115, and 333-14613), of our report dated March 18, 1996, on our audit of the balance sheet of Jennings Environmental Services, Inc. (an S corporation) as of December 31, 1995 and the related statements of income and changes in stockholders' equity and the statement of cash flows for the year then ended, which is included in this Current Report on Form 8-K/A.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BLAKE, KUEHLER, BABIONE &amp; POOL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w:t>
      </w:r>
    </w:p>
    <w:p>
      <w:pPr>
        <w:ind w:left="5700"/>
        <w:spacing w:after="0" w:line="237" w:lineRule="auto"/>
        <w:rPr>
          <w:sz w:val="20"/>
          <w:szCs w:val="20"/>
          <w:color w:val="auto"/>
        </w:rPr>
      </w:pPr>
      <w:r>
        <w:rPr>
          <w:rFonts w:ascii="Courier New" w:cs="Courier New" w:eastAsia="Courier New" w:hAnsi="Courier New"/>
          <w:sz w:val="15"/>
          <w:szCs w:val="15"/>
          <w:color w:val="auto"/>
        </w:rPr>
        <w:t>EXHIBIT 23.5</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33-60103, 33-63981, 333-02181, and 333-08161), Registration Statements on Form S-3 (File Nos. 33-42988, 33-43809, 33-76226, 33-85018, 333-00097, and 333-08573), and Registration Statements on Form S-8 (File Nos. 33-43619,</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33-72436, 33-84988, 33-84990, 33-59807, 33-61621, 33-61625, 33-61627, 333-14115, and 333-14613), of our report dated September 19, 1996, on our audits of the combined balance sheet of Grand Central Sanitation, Inc. and Related Companies as of December 31, 1995, and the related combined statements of income, stockholders' equity and cash flows for the year then ended, which is included in this Current Report on Form 8-K/A.</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BUCKNO LISICKY &amp;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Allentown, Pennsylvania</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23.6</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33-59807, 33-61621, 33-61625, 33-61627, 33-72436, 33-84988, 33-84990, 333-14115, and 333-14613), of our report dated February 2, 1996, on our audit of the Combined balance sheet of Garnet of Virginia, Inc., and Garnet of Maryland, Inc., as of December 31, 1995 and the related combined statements of operations, stockholders' deficit and cash flows for the year then ended, and our report dated September 13, 1996, on our audit of the combined balance sheet of the Combined Companies (consisting of City Disposal, Inc., Alpine Disposal and Recycling, Inc. and L.G. Industries, Inc.) as of December 31, 1995, and the related combined statements of operations, stockholders' equity and partners' capital and cash flows for the year then ended, which are included in this Current Report on Form 8-K/A.</w:t>
      </w:r>
    </w:p>
    <w:p>
      <w:pPr>
        <w:spacing w:after="0" w:line="17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November 13, 1996</w:t>
      </w:r>
    </w:p>
    <w:p>
      <w:pPr>
        <w:sectPr>
          <w:pgSz w:w="11900" w:h="16838" w:orient="portrait"/>
          <w:cols w:equalWidth="0" w:num="1">
            <w:col w:w="10239"/>
          </w:cols>
          <w:pgMar w:left="220" w:top="135"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23.7</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USA Waste Services, Inc. Registration Statements on Form S-4 (File Nos. 33-77110, 33-59259,</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33-60103, 33-63981, 333-02181, and 333-08161), Registration Statements on Form S-3 (File Nos. 33-42988, 33-43809, 33-76226, 33-85018, 333-00097, and</w:t>
      </w:r>
    </w:p>
    <w:p>
      <w:pPr>
        <w:spacing w:after="0" w:line="237" w:lineRule="auto"/>
        <w:rPr>
          <w:sz w:val="20"/>
          <w:szCs w:val="20"/>
          <w:color w:val="auto"/>
        </w:rPr>
      </w:pPr>
      <w:r>
        <w:rPr>
          <w:rFonts w:ascii="Courier New" w:cs="Courier New" w:eastAsia="Courier New" w:hAnsi="Courier New"/>
          <w:sz w:val="15"/>
          <w:szCs w:val="15"/>
          <w:color w:val="auto"/>
        </w:rPr>
        <w:t>333-08573), and Registration Statements on Form S-8 (File Nos. 33-43619,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33-72436, 33-84988, 33-84990, 33-59807, 33-61621, 33-61625, 33-61627, 333-14115, and 333-14613), of our report dated July 13, 1996, on our audit of the combined balance sheet of The Orange Group (consisting of Orange Waste, Recycling &amp; Materials, Inc., Orange Soil Cement, Inc., Orange Trucking, Inc. and Orange Transportation Corp.), as of December 31, 1995, and the related combined statements of operations, retained earnings, and cash flows for the year then ended, which is included in this Current Report on Form 8-K/A.</w:t>
      </w:r>
    </w:p>
    <w:p>
      <w:pPr>
        <w:spacing w:after="0" w:line="169"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OSBURN, HENNING AND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237" w:lineRule="auto"/>
        <w:rPr>
          <w:sz w:val="20"/>
          <w:szCs w:val="20"/>
          <w:color w:val="auto"/>
        </w:rPr>
      </w:pPr>
      <w:r>
        <w:rPr>
          <w:rFonts w:ascii="Courier New" w:cs="Courier New" w:eastAsia="Courier New" w:hAnsi="Courier New"/>
          <w:sz w:val="15"/>
          <w:szCs w:val="15"/>
          <w:color w:val="auto"/>
        </w:rPr>
        <w:t>November 13, 1996</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Letter"/>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4"/>
    </w:lvl>
  </w:abstractNum>
  <w:abstractNum w:abstractNumId="10">
    <w:nsid w:val="2CA88611"/>
    <w:multiLevelType w:val="hybridMultilevel"/>
    <w:lvl w:ilvl="0">
      <w:lvlJc w:val="left"/>
      <w:lvlText w:val="%1."/>
      <w:numFmt w:val="decimal"/>
      <w:start w:val="5"/>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lvl w:ilvl="1">
      <w:lvlJc w:val="left"/>
      <w:lvlText w:val="--"/>
      <w:numFmt w:val="bullet"/>
      <w:start w:val="1"/>
    </w:lvl>
  </w:abstractNum>
  <w:abstractNum w:abstractNumId="20">
    <w:nsid w:val="4516DDE9"/>
    <w:multiLevelType w:val="hybridMultilevel"/>
    <w:lvl w:ilvl="0">
      <w:lvlJc w:val="left"/>
      <w:lvlText w:val="%1."/>
      <w:numFmt w:val="decimal"/>
      <w:start w:val="7"/>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decimal"/>
      <w:start w:val="4"/>
    </w:lvl>
  </w:abstractNum>
  <w:abstractNum w:abstractNumId="33">
    <w:nsid w:val="51EAD36B"/>
    <w:multiLevelType w:val="hybridMultilevel"/>
    <w:lvl w:ilvl="0">
      <w:lvlJc w:val="left"/>
      <w:lvlText w:val="%1."/>
      <w:numFmt w:val="decimal"/>
      <w:start w:val="5"/>
    </w:lvl>
  </w:abstractNum>
  <w:abstractNum w:abstractNumId="34">
    <w:nsid w:val="2D517796"/>
    <w:multiLevelType w:val="hybridMultilevel"/>
    <w:lvl w:ilvl="0">
      <w:lvlJc w:val="left"/>
      <w:lvlText w:val="%1."/>
      <w:numFmt w:val="decimal"/>
      <w:start w:val="6"/>
    </w:lvl>
  </w:abstractNum>
  <w:abstractNum w:abstractNumId="35">
    <w:nsid w:val="580BD78F"/>
    <w:multiLevelType w:val="hybridMultilevel"/>
    <w:lvl w:ilvl="0">
      <w:lvlJc w:val="left"/>
      <w:lvlText w:val="%1."/>
      <w:numFmt w:val="decimal"/>
      <w:start w:val="7"/>
    </w:lvl>
  </w:abstractNum>
  <w:abstractNum w:abstractNumId="36">
    <w:nsid w:val="153EA438"/>
    <w:multiLevelType w:val="hybridMultilevel"/>
    <w:lvl w:ilvl="0">
      <w:lvlJc w:val="left"/>
      <w:lvlText w:val="%1."/>
      <w:numFmt w:val="decimal"/>
      <w:start w:val="8"/>
    </w:lvl>
  </w:abstractNum>
  <w:abstractNum w:abstractNumId="37">
    <w:nsid w:val="3855585C"/>
    <w:multiLevelType w:val="hybridMultilevel"/>
    <w:lvl w:ilvl="0">
      <w:lvlJc w:val="left"/>
      <w:lvlText w:val="%1."/>
      <w:numFmt w:val="decimal"/>
      <w:start w:val="9"/>
    </w:lvl>
  </w:abstractNum>
  <w:abstractNum w:abstractNumId="38">
    <w:nsid w:val="70A64E2A"/>
    <w:multiLevelType w:val="hybridMultilevel"/>
    <w:lvl w:ilvl="0">
      <w:lvlJc w:val="left"/>
      <w:lvlText w:val="%1."/>
      <w:numFmt w:val="decimal"/>
      <w:start w:val="10"/>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abstractNum>
  <w:abstractNum w:abstractNumId="43">
    <w:nsid w:val="2CD89A32"/>
    <w:multiLevelType w:val="hybridMultilevel"/>
    <w:lvl w:ilvl="0">
      <w:lvlJc w:val="left"/>
      <w:lvlText w:val="%1."/>
      <w:numFmt w:val="decimal"/>
      <w:start w:val="7"/>
    </w:lvl>
  </w:abstractNum>
  <w:abstractNum w:abstractNumId="44">
    <w:nsid w:val="57E4CCA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2019-12-20T04:51:18Z</dcterms:created>
  <dcterms:modified xsi:type="dcterms:W3CDTF">2019-12-20T04:51:18Z</dcterms:modified>
</cp:coreProperties>
</file>