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414d1_8k.htm"/>
      <w:bookmarkStart w:id="1" w:name="kstm2621414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8_edei--DocumentType_c202607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B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A_edei--EntityFileNumber_c20260728"/>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A_edei--EntityAddressAddressLine1_"/>
            <w:bookmarkEnd w:id="8"/>
            <w:r>
              <w:rPr>
                <w:rFonts w:ascii="Times New Roman;Times;Serif" w:hAnsi="Times New Roman;Times;Serif"/>
                <w:b/>
                <w:sz w:val="20"/>
              </w:rPr>
              <w:t xml:space="preserve">800 Capitol Street, </w:t>
            </w:r>
            <w:bookmarkStart w:id="9" w:name="xdx_909_edei--EntityAddressAddressLine2_"/>
            <w:bookmarkEnd w:id="9"/>
            <w:r>
              <w:rPr>
                <w:rFonts w:ascii="Times New Roman;Times;Serif" w:hAnsi="Times New Roman;Times;Serif"/>
                <w:b/>
                <w:sz w:val="20"/>
              </w:rPr>
              <w:t xml:space="preserve">Suite 3000, </w:t>
            </w:r>
            <w:bookmarkStart w:id="10" w:name="xdx_907_edei--EntityAddressCityOrTown_c2"/>
            <w:bookmarkEnd w:id="10"/>
            <w:r>
              <w:rPr>
                <w:rFonts w:ascii="Times New Roman;Times;Serif" w:hAnsi="Times New Roman;Times;Serif"/>
                <w:b/>
                <w:sz w:val="20"/>
              </w:rPr>
              <w:t xml:space="preserve">Houston, </w:t>
            </w:r>
            <w:bookmarkStart w:id="11" w:name="xdx_90A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E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F_edei--CityAreaCode_c20260728__20"/>
      <w:bookmarkEnd w:id="13"/>
      <w:r>
        <w:rPr>
          <w:rFonts w:ascii="Times New Roman;Times;Serif" w:hAnsi="Times New Roman;Times;Serif"/>
          <w:b/>
          <w:i w:val="false"/>
          <w:caps w:val="false"/>
          <w:smallCaps w:val="false"/>
          <w:sz w:val="20"/>
        </w:rPr>
        <w:t xml:space="preserve">713) </w:t>
      </w:r>
      <w:bookmarkStart w:id="14" w:name="xdx_905_edei--LocalPhoneNumber_c20260728"/>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7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A_edei--SolicitingMaterial_c202607"/>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F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4_edei--Security12bTitle_c20260728"/>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7_edei--TradingSymbol_c20260728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8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6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40"/>
        <w:gridCol w:w="4805"/>
      </w:tblGrid>
      <w:tr>
        <w:trPr/>
        <w:tc>
          <w:tcPr>
            <w:tcW w:w="104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(the “Company”) issued a press release today announcing its financial results for the second quarter of 2026, a copy of which is furnished as Exhibit 99.1 to this Form 8-K. The Company is conducting an audio webcast to discuss these results beginning at 10:00 a.m. Eastern Time on July 29, 2026. </w:t>
      </w:r>
      <w:r>
        <w:rPr>
          <w:rFonts w:ascii="Times New Roman;Times;Serif" w:hAnsi="Times New Roman;Times;Serif"/>
          <w:b w:val="false"/>
          <w:i w:val="false"/>
          <w:caps w:val="false"/>
          <w:smallCaps w:val="false"/>
          <w:color w:val="0A0A0A"/>
          <w:sz w:val="20"/>
        </w:rPr>
        <w:t xml:space="preserve">Listeners can access the live audio webcast by visiting investors.wm.com and selecting “Events &amp; Presentations” from the website menu. A replay of the audio webcast will be available at the same 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pStyle w:val="TextBody"/>
        <w:bidi w:val="0"/>
        <w:spacing w:before="0" w:after="0"/>
        <w:ind w:left="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bidi w:val="0"/>
        <w:spacing w:before="0" w:after="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pPr>
            <w:hyperlink w:anchor="tm2621414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tm2621414d1_ex99-1.htm">
              <w:r>
                <w:rPr>
                  <w:rStyle w:val="InternetLink"/>
                  <w:rFonts w:ascii="Times New Roman;Times;Serif" w:hAnsi="Times New Roman;Times;Serif"/>
                  <w:b w:val="false"/>
                  <w:i w:val="false"/>
                  <w:caps w:val="false"/>
                  <w:smallCaps w:val="false"/>
                  <w:sz w:val="20"/>
                </w:rPr>
                <w:t>Press Release dated July 28,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1625"/>
        <w:gridCol w:w="320"/>
        <w:gridCol w:w="402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3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28,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3" w:name="tm2621414d1_ex99-1.htm"/>
      <w:bookmarkStart w:id="24" w:name="kstm2621414d1_ex991"/>
      <w:bookmarkEnd w:id="23"/>
      <w:bookmarkEnd w:id="24"/>
      <w:r>
        <w:rPr>
          <w:caps w:val="false"/>
          <w:smallCaps w:val="false"/>
        </w:rPr>
        <w:t> </w:t>
      </w:r>
      <w:r>
        <w:br w:type="page"/>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99.1</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WM Announces Second Quarter 2026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2"/>
        </w:rPr>
      </w:pPr>
      <w:r>
        <w:rPr>
          <w:rFonts w:ascii="Times New Roman;Times;Serif" w:hAnsi="Times New Roman;Times;Serif"/>
          <w:b w:val="false"/>
          <w:i/>
          <w:caps w:val="false"/>
          <w:smallCaps w:val="false"/>
          <w:sz w:val="22"/>
        </w:rPr>
        <w:t>Cash Flow from Operations Increases Nearly 12%, Supporting the Return of More Than $1 Billion to Shareholders During the Quarter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2"/>
        </w:rPr>
      </w:pPr>
      <w:r>
        <w:rPr>
          <w:rFonts w:ascii="Times New Roman;Times;Serif" w:hAnsi="Times New Roman;Times;Serif"/>
          <w:b w:val="false"/>
          <w:i/>
          <w:caps w:val="false"/>
          <w:smallCaps w:val="false"/>
          <w:sz w:val="22"/>
        </w:rPr>
        <w:t>WM Completes Four Sustainability Growth Projects and Releases its 2026 Sustainability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Houston</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July 28, 2026 </w:t>
      </w:r>
      <w:r>
        <w:rPr>
          <w:rFonts w:ascii="Times New Roman;Times;Serif" w:hAnsi="Times New Roman;Times;Serif"/>
          <w:b w:val="false"/>
          <w:i w:val="false"/>
          <w:caps w:val="false"/>
          <w:smallCaps w:val="false"/>
          <w:sz w:val="20"/>
        </w:rPr>
        <w:t>— WM (NYSE: WM) today announced financial results for the quarter ended June 30, 2026.</w:t>
      </w:r>
    </w:p>
    <w:p>
      <w:pPr>
        <w:pStyle w:val="TextBody"/>
        <w:bidi w:val="0"/>
        <w:spacing w:before="0" w:after="0"/>
        <w:ind w:left="0" w:right="0" w:hanging="0"/>
        <w:jc w:val="left"/>
        <w:rPr>
          <w:caps w:val="false"/>
          <w:smallCaps w:val="false"/>
        </w:rPr>
      </w:pPr>
      <w:r>
        <w:rPr>
          <w:caps w:val="false"/>
          <w:smallCaps w:val="false"/>
        </w:rPr>
        <w:t> </w:t>
      </w:r>
    </w:p>
    <w:tbl>
      <w:tblPr>
        <w:tblW w:w="9287" w:type="dxa"/>
        <w:jc w:val="left"/>
        <w:tblInd w:w="0" w:type="dxa"/>
        <w:tblLayout w:type="fixed"/>
        <w:tblCellMar>
          <w:top w:w="0" w:type="dxa"/>
          <w:left w:w="0" w:type="dxa"/>
          <w:bottom w:w="0" w:type="dxa"/>
          <w:right w:w="0" w:type="dxa"/>
        </w:tblCellMar>
      </w:tblPr>
      <w:tblGrid>
        <w:gridCol w:w="2240"/>
        <w:gridCol w:w="60"/>
        <w:gridCol w:w="278"/>
        <w:gridCol w:w="1084"/>
        <w:gridCol w:w="414"/>
        <w:gridCol w:w="133"/>
        <w:gridCol w:w="278"/>
        <w:gridCol w:w="1084"/>
        <w:gridCol w:w="185"/>
        <w:gridCol w:w="60"/>
        <w:gridCol w:w="278"/>
        <w:gridCol w:w="1084"/>
        <w:gridCol w:w="414"/>
        <w:gridCol w:w="133"/>
        <w:gridCol w:w="278"/>
        <w:gridCol w:w="1084"/>
        <w:gridCol w:w="200"/>
      </w:tblGrid>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br/>
              <w:t>(in millions, except per share amounts)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7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br/>
              <w:t>(in millions, except per share amounts)</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w:t>
            </w:r>
            <w:r>
              <w:rPr>
                <w:rFonts w:ascii="Times New Roman;Times;Serif" w:hAnsi="Times New Roman;Times;Serif"/>
                <w:b w:val="false"/>
                <w:i w:val="false"/>
                <w:caps w:val="false"/>
                <w:smallCaps w:val="false"/>
                <w:position w:val="7"/>
                <w:sz w:val="16"/>
                <w:sz w:val="20"/>
              </w:rPr>
              <w:t>(a)</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Reported</w:t>
            </w:r>
          </w:p>
        </w:tc>
        <w:tc>
          <w:tcPr>
            <w:tcW w:w="414"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362"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Adjusted</w:t>
            </w:r>
            <w:r>
              <w:rPr>
                <w:rFonts w:ascii="Times New Roman;Times;Serif" w:hAnsi="Times New Roman;Times;Serif"/>
                <w:b w:val="false"/>
                <w:i w:val="false"/>
                <w:caps w:val="false"/>
                <w:smallCaps w:val="false"/>
                <w:position w:val="7"/>
                <w:sz w:val="16"/>
                <w:sz w:val="20"/>
              </w:rPr>
              <w:t>(a)</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w:t>
            </w:r>
          </w:p>
        </w:tc>
        <w:tc>
          <w:tcPr>
            <w:tcW w:w="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w:t>
            </w:r>
          </w:p>
        </w:tc>
        <w:tc>
          <w:tcPr>
            <w:tcW w:w="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EBITDA</w:t>
            </w:r>
            <w:r>
              <w:rPr>
                <w:rFonts w:ascii="Times New Roman;Times;Serif" w:hAnsi="Times New Roman;Times;Serif"/>
                <w:b w:val="false"/>
                <w:i w:val="false"/>
                <w:caps w:val="false"/>
                <w:smallCaps w:val="false"/>
                <w:position w:val="7"/>
                <w:sz w:val="16"/>
                <w:sz w:val="20"/>
              </w:rPr>
              <w:t>(b) (c)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1,895</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4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Second quarter earnings growth, margin expansion, and cash flow generation reflect the strength of our business model and consistent execution from the WM team,” said Jim Fish, WM’s CEO. “Adjusted operating EBITDA grew 5.5%, or 9.1% when removing contributions from wildfire cleanup activities in the prior year. Each of our operating segments contributed to growth in adjusted operating EBITDA and margin, led by the Collection and Disposal business and bolstered by our healthcare and sustainability businesses. The momentum across our operations and our confidence in the ability to execute our strategy position us well to achieve strong 2026 results.”</w:t>
      </w:r>
      <w:r>
        <w:rPr>
          <w:rFonts w:ascii="Times New Roman;Times;Serif" w:hAnsi="Times New Roman;Times;Serif"/>
          <w:b w:val="false"/>
          <w:i w:val="false"/>
          <w:caps w:val="false"/>
          <w:smallCaps w:val="false"/>
          <w:position w:val="7"/>
          <w:sz w:val="16"/>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Fish continued, “Our results continue to demonstrate our ability to harvest the benefits of our strategic investments in technology and automation, sustainability growth projects, and our healthcare business. Growth and productivity gains across our diversified portfolio, anchored by our Collection and Disposal business, drove a nearly 12% increase in cash flow from operations. With a strong balance sheet, industry-leading asset network, and significant technology runway ahead, we are confident in our ability to deliver long-term value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KEY HIGHLIGHTS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grew 4.0%, driven by core price of 5.7% and Collection and Disposal yield of 3.6%. In addition to disciplined execution on pricing, revenue growth was driven by increased volumes in the recycling and renewable energy businesses as a result of completed growth projects as well as higher energy surcharges.</w:t>
            </w:r>
            <w:r>
              <w:rPr>
                <w:rFonts w:ascii="Times New Roman;Times;Serif" w:hAnsi="Times New Roman;Times;Serif"/>
                <w:b w:val="false"/>
                <w:i w:val="false"/>
                <w:caps w:val="false"/>
                <w:smallCaps w:val="false"/>
                <w:position w:val="7"/>
                <w:sz w:val="16"/>
                <w:sz w:val="20"/>
              </w:rPr>
              <w: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Disposal volume declined 1.8%, primarily due to wildfire cleanup activities that benefited the prior year period. Excluding prior year’s wildfire cleanup activity, landfill volumes grew 1.7% and Collection and Disposal volume declined 0.4%. While intentional shedding of lower-margin residential business drove a portion of the Collection and Disposal volume decline, residential volume losses have begun to slow, as anticipated, with losses improving sequentially by 210 basis points.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were 59.2% of revenue, in-line with prior year despite higher fuel-related expenses, demonstrating the Company’s continued commitment to using technology and automation to optimize costs and enhance operational efficiency.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expenses were 10.2% of revenue, or 9.9% on an adjusted basis, an improvement of 60 basis points both on a reported and adjusted basis from the prior year, reflecting strong cost discipline and continued synergy capture in Healthcare Solutions.</w:t>
            </w:r>
            <w:r>
              <w:rPr>
                <w:rFonts w:ascii="Times New Roman;Times;Serif" w:hAnsi="Times New Roman;Times;Serif"/>
                <w:b w:val="false"/>
                <w:i w:val="false"/>
                <w:caps w:val="false"/>
                <w:smallCaps w:val="false"/>
                <w:position w:val="7"/>
                <w:sz w:val="16"/>
                <w:sz w:val="20"/>
              </w:rPr>
              <w: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Company operating EBITDA margin expanded 90 basis points, or 40 basis points on an adjusted basis, in the second quarter, overcoming a 60-basis point headwind from prior year wildfire cleanup volumes and a 40-basis point headwind from the impact of higher energy surcharges. </w:t>
            </w:r>
            <w:r>
              <w:rPr>
                <w:rFonts w:ascii="Times New Roman;Times;Serif" w:hAnsi="Times New Roman;Times;Serif"/>
                <w:b w:val="false"/>
                <w:i w:val="false"/>
                <w:caps w:val="false"/>
                <w:smallCaps w:val="false"/>
                <w:position w:val="7"/>
                <w:sz w:val="16"/>
                <w:sz w:val="20"/>
              </w:rPr>
              <w: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Disposal operating EBITDA grew by $104 million, or $79 million on an adjusted basis. Growth overcame a 70-basis point headwind to the segment from wildfire cleanup contributions in the prior year and was driven by favorable price-to-cost spread, reflecting the Company’s continued success in reducing frontline turnover and disciplined cost management initiatives.</w:t>
            </w:r>
            <w:r>
              <w:rPr>
                <w:rFonts w:ascii="Times New Roman;Times;Serif" w:hAnsi="Times New Roman;Times;Serif"/>
                <w:b w:val="false"/>
                <w:i w:val="false"/>
                <w:caps w:val="false"/>
                <w:smallCaps w:val="false"/>
                <w:position w:val="7"/>
                <w:sz w:val="16"/>
                <w:sz w:val="20"/>
              </w:rPr>
              <w: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operating EBITDA in the recycling and renewable energy businesses grew $39 million, or $40 million on an adjusted basis, an increase of 32.5% compared to last year driven by higher recycling volumes, efficiencies from automation projects, and increased renewable natural gas production.</w:t>
            </w:r>
            <w:r>
              <w:rPr>
                <w:rFonts w:ascii="Times New Roman;Times;Serif" w:hAnsi="Times New Roman;Times;Serif"/>
                <w:b w:val="false"/>
                <w:i w:val="false"/>
                <w:caps w:val="false"/>
                <w:smallCaps w:val="false"/>
                <w:position w:val="7"/>
                <w:sz w:val="16"/>
                <w:sz w:val="20"/>
              </w:rPr>
              <w:t>(a)(f)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EBITDA grew by $25 million, or $11 million on an adjusted basis, in the Healthcare Solutions business, driven by effective SG&amp;A cost management and benefits from integration with core Collection and Disposal operations.</w:t>
            </w:r>
            <w:r>
              <w:rPr>
                <w:rFonts w:ascii="Times New Roman;Times;Serif" w:hAnsi="Times New Roman;Times;Serif"/>
                <w:b w:val="false"/>
                <w:i w:val="false"/>
                <w:caps w:val="false"/>
                <w:smallCaps w:val="false"/>
                <w:position w:val="7"/>
                <w:sz w:val="16"/>
                <w:sz w:val="20"/>
              </w:rPr>
              <w: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$1.73 billion of net cash provided by operating activities compared to $1.55 billion in the prior year period, primarily driven by operating EBITDA growth and working capital improvements. Free cash flow was $1.10 billion, compared to $818 million in the prior year period, an increase of 34.5%.</w:t>
            </w:r>
            <w:r>
              <w:rPr>
                <w:rFonts w:ascii="Times New Roman;Times;Serif" w:hAnsi="Times New Roman;Times;Serif"/>
                <w:b w:val="false"/>
                <w:i w:val="false"/>
                <w:caps w:val="false"/>
                <w:smallCaps w:val="false"/>
                <w:position w:val="7"/>
                <w:sz w:val="16"/>
                <w:sz w:val="20"/>
              </w:rPr>
              <w:t>(a)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returned $1.04 billion to shareholders in the second quarter, consisting of $659 million in share repurchases and $379 million in cash dividends.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the Company completed three new renewable natural gas facilities, two in South Carolina and one in Florida that together added about 3.5 million MMBtu of expected annual run-rate production. Additionally, the Company completed a new recycling facility in Denver, Colorado that added about 60,000 tons of annual processing capacity.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WM released its 2026 Sustainability Report, </w:t>
            </w:r>
            <w:r>
              <w:rPr>
                <w:rFonts w:ascii="Times New Roman;Times;Serif" w:hAnsi="Times New Roman;Times;Serif"/>
                <w:b w:val="false"/>
                <w:i/>
                <w:caps w:val="false"/>
                <w:smallCaps w:val="false"/>
                <w:sz w:val="20"/>
              </w:rPr>
              <w:t>Driving Value Through Sustainability</w:t>
            </w:r>
            <w:r>
              <w:rPr>
                <w:rFonts w:ascii="Times New Roman;Times;Serif" w:hAnsi="Times New Roman;Times;Serif"/>
                <w:b w:val="false"/>
                <w:i w:val="false"/>
                <w:caps w:val="false"/>
                <w:smallCaps w:val="false"/>
                <w:sz w:val="20"/>
              </w:rPr>
              <w:t>, highlighting progress toward the Company’s sustainability ambitions and describing how its sustainability businesses drive value while advancing a more sustainable future for communities and the environment.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two quarters of the year complete, the Company remains confident in its ability to deliver its full-year outlook for adjusted operating EBITDA between $8.15 and $8.25 billion and free cash flow of between $3.75 and $3.85 billion. Revenue is now expected to be between $26.275 and $26.475 billion dollars, reflecting a reduction of approximately 0.6% compared to the prior outlook, primarily driven by lower volume expectations, partially offset by higher energy surcharges. Accordingly, adjusted operating EBITDA margin in 2026 is now expected to be between 31.0% and 31.2%, representing an increase of 20 basis points. Despite a slightly lower revenue outlook, the resilience of the Company’s operating model, including a proven ability to flex costs and drive productivity, supports continued confidence in achieving original profitability and cash flow targets.</w:t>
      </w:r>
      <w:r>
        <w:rPr>
          <w:rFonts w:ascii="Times New Roman;Times;Serif" w:hAnsi="Times New Roman;Times;Serif"/>
          <w:b w:val="false"/>
          <w:i w:val="false"/>
          <w:caps w:val="false"/>
          <w:smallCaps w:val="false"/>
          <w:position w:val="7"/>
          <w:sz w:val="16"/>
          <w:sz w:val="20"/>
        </w:rPr>
        <w: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labeled as adjusted in this press release, as well as free cash flow, are non-GAAP measures. Please see “Non-GAAP Financial Measures” below and the reconciliations in the accompanying schedules for more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defines operating EBITDA as GAAP income from operations before depreciation, depletion, amortization and accretion; this measure may not be comparable to similarly titled measures reported by other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2026, landfill accretion expense was moved from operating expenses to depreciation, depletion, amortization, and accretion.  Landfill accretion expense in the three months ended June 30, 2026 and 2025 was $39 million and $36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press release, all references to “Net income” refer to the financial statement line item “Net income attributable to Waste Management,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blended average price received for single stream recycled commodities sold during the quarter was about $75 per ton compared to about $84 per ton in the prior year period. The average price received for Renewable Fuel Standard credits was $2.33 during the quarter compared to $2.53 in the prior year period. The average price received for natural gas was $2.23 per MMBtu during the quarter compared to $2.81 per MMBtu in the prior year. The average price received for electricity was about $69 per megawatt hour in the quarter compared to about $67 per megawatt hour in the prior year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at 10 a.m. ET on July 29, 2026, to discuss the second quarter 2026 results. Information contained within this press release will be referenced and should be considered in conjunction with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Listeners can access a live audio webcast of the conference call by visiting </w:t>
      </w:r>
      <w:r>
        <w:rPr>
          <w:rFonts w:ascii="Times New Roman;Times;Serif" w:hAnsi="Times New Roman;Times;Serif"/>
          <w:b w:val="false"/>
          <w:i w:val="false"/>
          <w:caps w:val="false"/>
          <w:smallCaps w:val="false"/>
          <w:sz w:val="20"/>
          <w:u w:val="single"/>
        </w:rPr>
        <w:t>investors.wm.com</w:t>
      </w:r>
      <w:r>
        <w:rPr>
          <w:rFonts w:ascii="Times New Roman;Times;Serif" w:hAnsi="Times New Roman;Times;Serif"/>
          <w:b w:val="false"/>
          <w:i w:val="false"/>
          <w:caps w:val="false"/>
          <w:smallCaps w:val="false"/>
          <w:sz w:val="20"/>
        </w:rPr>
        <w:t xml:space="preserve"> and selecting “Events &amp; Presentations” from the website menu. A replay of the audio webcast will be available at the same location following the conclusion of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Conference call participants should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to obtain their dial in and passcode details. This streamlined process improves security and eliminates wait times when joining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about 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WM (</w:t>
      </w:r>
      <w:r>
        <w:rPr>
          <w:rFonts w:ascii="Times New Roman;Times;Serif" w:hAnsi="Times New Roman;Times;Serif"/>
          <w:b w:val="false"/>
          <w:i w:val="false"/>
          <w:caps w:val="false"/>
          <w:smallCaps w:val="false"/>
          <w:sz w:val="20"/>
          <w:u w:val="single"/>
          <w:shd w:fill="FFFFFF" w:val="clear"/>
        </w:rPr>
        <w:t>WM.com</w:t>
      </w:r>
      <w:r>
        <w:rPr>
          <w:rFonts w:ascii="Times New Roman;Times;Serif" w:hAnsi="Times New Roman;Times;Serif"/>
          <w:b w:val="false"/>
          <w:i w:val="false"/>
          <w:caps w:val="false"/>
          <w:smallCaps w:val="false"/>
          <w:sz w:val="20"/>
          <w:shd w:fill="FFFFFF" w:val="clear"/>
        </w:rPr>
        <w:t xml:space="preserve">) is North America's leading provider of comprehensive environmental solutions. Previously known as Waste Management and based in Houston, Texas, WM is driven by commitments to put people first and achieve success with integrity. WM,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through its subsidiaries, also provides collection and disposal services of regulated medical waste and secure information destruction services in the U.S., Canada and Western Europe. To learn more about WM and the company's sustainability progress and solutions, visit </w:t>
      </w:r>
      <w:r>
        <w:rPr>
          <w:rFonts w:ascii="Times New Roman;Times;Serif" w:hAnsi="Times New Roman;Times;Serif"/>
          <w:b w:val="false"/>
          <w:i w:val="false"/>
          <w:caps w:val="false"/>
          <w:smallCaps w:val="false"/>
          <w:sz w:val="20"/>
          <w:u w:val="single"/>
          <w:shd w:fill="FFFFFF" w:val="clear"/>
        </w:rPr>
        <w:t>Sustainability.WM.com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under the heading “2026 Outlook” and all statements regarding future growth, earnings, value creation, performance and results of our business; targets, financial guidance and outlook; ability to achieve the Company’s 2026 outlook; and technology and automation investments and results.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Inc. (which is now presented as our Healthcare Solutions segment) and achieve the anticipated benefits therefrom, including synergies; legal, regulatory, operational, technological and other matters that may affect the costs and timing of our ability to integrate and deliver all of the expected benefits of the Stericycle, Inc. acquisition;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and pricing pressure; impacts from international trade restrictions and tariffs; competitive disposal alternatives, diversion of waste from landfills and declining waste volumes; changes in general economic conditions, capital markets or consumer trends; changing conditions in the recycling industry, including impacts on demand, pricing and availability of counterparties; changing conditions in the healthcare industry; adoption of new tax legislation; fuel shortages; failure to develop and protect new technology; failure of technology to perform as expected; inability to adapt and manage the benefits and risks of artificial intelligence; failure to prevent, detect and address cybersecurity incidents or comply with privacy regulations; negative outcomes of litigation or governmental proceedings, including those acquired through transactions; failure to maintain an effective system of internal control over financial reporting;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Website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Analysts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Egl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713.265.1656 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eegl@wm.com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Toni Werner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OPERATIONS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 Except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357" w:type="dxa"/>
        <w:jc w:val="left"/>
        <w:tblInd w:w="0" w:type="dxa"/>
        <w:tblLayout w:type="fixed"/>
        <w:tblCellMar>
          <w:top w:w="0" w:type="dxa"/>
          <w:left w:w="0" w:type="dxa"/>
          <w:bottom w:w="0" w:type="dxa"/>
          <w:right w:w="0" w:type="dxa"/>
        </w:tblCellMar>
      </w:tblPr>
      <w:tblGrid>
        <w:gridCol w:w="5705"/>
        <w:gridCol w:w="60"/>
        <w:gridCol w:w="164"/>
        <w:gridCol w:w="638"/>
        <w:gridCol w:w="105"/>
        <w:gridCol w:w="78"/>
        <w:gridCol w:w="164"/>
        <w:gridCol w:w="638"/>
        <w:gridCol w:w="80"/>
        <w:gridCol w:w="60"/>
        <w:gridCol w:w="125"/>
        <w:gridCol w:w="590"/>
        <w:gridCol w:w="80"/>
        <w:gridCol w:w="60"/>
        <w:gridCol w:w="125"/>
        <w:gridCol w:w="590"/>
        <w:gridCol w:w="9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sz w:val="4"/>
                <w:szCs w:val="4"/>
              </w:rPr>
            </w:pPr>
            <w:r>
              <w:rPr>
                <w:sz w:val="4"/>
                <w:szCs w:val="4"/>
              </w:rPr>
            </w:r>
          </w:p>
        </w:tc>
        <w:tc>
          <w:tcPr>
            <w:tcW w:w="6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3,955</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divestitures, asset impairments and unusual items,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5,431</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Waste Management,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785</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common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basic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401.5</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diluted common shares outstanding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(a)</w:t>
            </w:r>
          </w:p>
        </w:tc>
        <w:tc>
          <w:tcPr>
            <w:tcW w:w="9954"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expenses in the three months and six months ended June 30, 2026 are $39 million and $78 million, respectively. Landfill accretion expenses in the three and six months ended June 30, 2025 are $36 million and $71 million, respectively. For comparability purposes, 2025 actuals have been updated to reflect that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BALANCE SHEETS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003" w:type="dxa"/>
        <w:jc w:val="left"/>
        <w:tblInd w:w="0" w:type="dxa"/>
        <w:tblLayout w:type="fixed"/>
        <w:tblCellMar>
          <w:top w:w="0" w:type="dxa"/>
          <w:left w:w="0" w:type="dxa"/>
          <w:bottom w:w="0" w:type="dxa"/>
          <w:right w:w="0" w:type="dxa"/>
        </w:tblCellMar>
      </w:tblPr>
      <w:tblGrid>
        <w:gridCol w:w="4850"/>
        <w:gridCol w:w="60"/>
        <w:gridCol w:w="126"/>
        <w:gridCol w:w="598"/>
        <w:gridCol w:w="60"/>
        <w:gridCol w:w="60"/>
        <w:gridCol w:w="204"/>
        <w:gridCol w:w="970"/>
        <w:gridCol w:w="7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45,835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liabilities and 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less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45,835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CONDENSED CONSOLIDATED STATEMENTS OF CASH FLOWS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7985"/>
        <w:gridCol w:w="60"/>
        <w:gridCol w:w="125"/>
        <w:gridCol w:w="650"/>
        <w:gridCol w:w="80"/>
        <w:gridCol w:w="60"/>
        <w:gridCol w:w="125"/>
        <w:gridCol w:w="545"/>
        <w:gridCol w:w="95"/>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consolidated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assets and liabilities, net of effects of acquisitions and divestitures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of businesses, net of cash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repayments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repurchase program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common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payments associated with equity-based compensation transactions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cash, cash equivalents and restricted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beginning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by Line of Business</w:t>
      </w:r>
    </w:p>
    <w:p>
      <w:pPr>
        <w:pStyle w:val="TextBody"/>
        <w:bidi w:val="0"/>
        <w:spacing w:before="0" w:after="0"/>
        <w:ind w:left="0" w:right="0" w:hanging="0"/>
        <w:jc w:val="left"/>
        <w:rPr>
          <w:caps w:val="false"/>
          <w:smallCaps w:val="false"/>
        </w:rPr>
      </w:pPr>
      <w:r>
        <w:rPr>
          <w:caps w:val="false"/>
          <w:smallCaps w:val="false"/>
        </w:rPr>
        <w:t> </w:t>
      </w:r>
    </w:p>
    <w:tbl>
      <w:tblPr>
        <w:tblW w:w="9375" w:type="dxa"/>
        <w:jc w:val="left"/>
        <w:tblInd w:w="0" w:type="dxa"/>
        <w:tblLayout w:type="fixed"/>
        <w:tblCellMar>
          <w:top w:w="0" w:type="dxa"/>
          <w:left w:w="0" w:type="dxa"/>
          <w:bottom w:w="0" w:type="dxa"/>
          <w:right w:w="0" w:type="dxa"/>
        </w:tblCellMar>
      </w:tblPr>
      <w:tblGrid>
        <w:gridCol w:w="2600"/>
        <w:gridCol w:w="60"/>
        <w:gridCol w:w="182"/>
        <w:gridCol w:w="708"/>
        <w:gridCol w:w="60"/>
        <w:gridCol w:w="60"/>
        <w:gridCol w:w="227"/>
        <w:gridCol w:w="993"/>
        <w:gridCol w:w="80"/>
        <w:gridCol w:w="60"/>
        <w:gridCol w:w="182"/>
        <w:gridCol w:w="708"/>
        <w:gridCol w:w="60"/>
        <w:gridCol w:w="60"/>
        <w:gridCol w:w="182"/>
        <w:gridCol w:w="708"/>
        <w:gridCol w:w="60"/>
        <w:gridCol w:w="60"/>
        <w:gridCol w:w="227"/>
        <w:gridCol w:w="993"/>
        <w:gridCol w:w="80"/>
        <w:gridCol w:w="60"/>
        <w:gridCol w:w="182"/>
        <w:gridCol w:w="708"/>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4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collection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Processing and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Renewable Energy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Solutions</w:t>
            </w:r>
            <w:r>
              <w:rPr>
                <w:rFonts w:ascii="Times New Roman;Times;Serif" w:hAnsi="Times New Roman;Times;Serif"/>
                <w:b/>
                <w:i w:val="false"/>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375" w:type="dxa"/>
        <w:jc w:val="left"/>
        <w:tblInd w:w="0" w:type="dxa"/>
        <w:tblLayout w:type="fixed"/>
        <w:tblCellMar>
          <w:top w:w="0" w:type="dxa"/>
          <w:left w:w="0" w:type="dxa"/>
          <w:bottom w:w="0" w:type="dxa"/>
          <w:right w:w="0" w:type="dxa"/>
        </w:tblCellMar>
      </w:tblPr>
      <w:tblGrid>
        <w:gridCol w:w="2600"/>
        <w:gridCol w:w="60"/>
        <w:gridCol w:w="155"/>
        <w:gridCol w:w="735"/>
        <w:gridCol w:w="60"/>
        <w:gridCol w:w="60"/>
        <w:gridCol w:w="227"/>
        <w:gridCol w:w="993"/>
        <w:gridCol w:w="80"/>
        <w:gridCol w:w="60"/>
        <w:gridCol w:w="155"/>
        <w:gridCol w:w="735"/>
        <w:gridCol w:w="60"/>
        <w:gridCol w:w="60"/>
        <w:gridCol w:w="155"/>
        <w:gridCol w:w="735"/>
        <w:gridCol w:w="60"/>
        <w:gridCol w:w="60"/>
        <w:gridCol w:w="227"/>
        <w:gridCol w:w="993"/>
        <w:gridCol w:w="80"/>
        <w:gridCol w:w="60"/>
        <w:gridCol w:w="155"/>
        <w:gridCol w:w="735"/>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4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r>
              <w:rPr>
                <w:rFonts w:ascii="Times New Roman;Times;Serif" w:hAnsi="Times New Roman;Times;Serif"/>
                <w:b/>
                <w:i w:val="false"/>
                <w:caps w:val="false"/>
                <w:smallCaps w:val="false"/>
                <w:position w:val="7"/>
                <w:sz w:val="16"/>
                <w:sz w:val="20"/>
              </w:rPr>
              <w:t>(a)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collection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Processing and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Renewable Energy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Solutions</w:t>
            </w:r>
            <w:r>
              <w:rPr>
                <w:rFonts w:ascii="Times New Roman;Times;Serif" w:hAnsi="Times New Roman;Times;Serif"/>
                <w:b/>
                <w:i w:val="false"/>
                <w:caps w:val="false"/>
                <w:smallCaps w:val="false"/>
                <w:position w:val="7"/>
                <w:sz w:val="16"/>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Includes each segment’s intercompany activity, including transactions within a segment and between segments. Transactions within and between segments are generally made on a basis intended to reflect the market value of the service.</w:t>
            </w:r>
          </w:p>
        </w:tc>
      </w:tr>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In the third quarter of 2025, as a result of continued integration efforts and to enhance transparency and accountability, the Company began reflecting intra-segment activity within the Healthcare Solutions segment. These charges were designed to measure profitability at more granular levels of the enterprise and to facilitate clearer financial accountability within operating units. Accordingly, adjustments to the three and six months ended June 30, 2025 were made to properly reflect intra-segment activity for each period. Intra-segment operating revenues and operating expenses within Healthcare Solutions for the three and six months ended June 30, 2026 are $101 million and $202 million, respectively. Intra-segment operating revenues and operating expenses within Healthcare Solutions for the three and six months ended June 30, 2025 are $113 million and $207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Revenue Growth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9"/>
        <w:gridCol w:w="60"/>
        <w:gridCol w:w="188"/>
        <w:gridCol w:w="507"/>
        <w:gridCol w:w="85"/>
        <w:gridCol w:w="63"/>
        <w:gridCol w:w="118"/>
        <w:gridCol w:w="752"/>
        <w:gridCol w:w="197"/>
        <w:gridCol w:w="63"/>
        <w:gridCol w:w="188"/>
        <w:gridCol w:w="507"/>
        <w:gridCol w:w="85"/>
        <w:gridCol w:w="63"/>
        <w:gridCol w:w="144"/>
        <w:gridCol w:w="812"/>
        <w:gridCol w:w="185"/>
        <w:gridCol w:w="60"/>
        <w:gridCol w:w="188"/>
        <w:gridCol w:w="507"/>
        <w:gridCol w:w="83"/>
        <w:gridCol w:w="62"/>
        <w:gridCol w:w="118"/>
        <w:gridCol w:w="752"/>
        <w:gridCol w:w="193"/>
        <w:gridCol w:w="62"/>
        <w:gridCol w:w="188"/>
        <w:gridCol w:w="507"/>
        <w:gridCol w:w="83"/>
        <w:gridCol w:w="62"/>
        <w:gridCol w:w="607"/>
        <w:gridCol w:w="377"/>
      </w:tblGrid>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72"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89"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r>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72" w:type="dxa"/>
            <w:gridSpan w:val="14"/>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89"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r>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72" w:type="dxa"/>
            <w:gridSpan w:val="14"/>
            <w:tcBorders>
              <w:bottom w:val="single" w:sz="8"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June 30, 2026 vs. 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89"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vs. 2025</w:t>
            </w:r>
          </w:p>
        </w:tc>
      </w:tr>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r>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r>
      <w:tr>
        <w:trPr/>
        <w:tc>
          <w:tcPr>
            <w:tcW w:w="233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i w:val="false"/>
                <w:caps w:val="false"/>
                <w:smallCaps w:val="false"/>
                <w:position w:val="7"/>
                <w:sz w:val="16"/>
                <w:sz w:val="20"/>
              </w:rPr>
              <w:t>(a)</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left"/>
              <w:rPr>
                <w:caps w:val="false"/>
                <w:smallCaps w:val="false"/>
              </w:rPr>
            </w:pPr>
            <w:r>
              <w:rPr>
                <w:caps w:val="false"/>
                <w:smallCaps w:val="false"/>
              </w:rPr>
              <w:t> </w:t>
            </w:r>
          </w:p>
        </w:tc>
        <w:tc>
          <w:tcPr>
            <w:tcW w:w="9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i w:val="false"/>
                <w:caps w:val="false"/>
                <w:smallCaps w:val="false"/>
                <w:position w:val="7"/>
                <w:sz w:val="16"/>
                <w:sz w:val="20"/>
              </w:rPr>
              <w:t>(b)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i w:val="false"/>
                <w:caps w:val="false"/>
                <w:smallCaps w:val="false"/>
                <w:position w:val="7"/>
                <w:sz w:val="16"/>
                <w:sz w:val="20"/>
              </w:rPr>
              <w:t>(a)</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i w:val="false"/>
                <w:caps w:val="false"/>
                <w:smallCaps w:val="false"/>
                <w:position w:val="7"/>
                <w:sz w:val="16"/>
                <w:sz w:val="20"/>
              </w:rPr>
              <w:t>(b)</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Processing and Sales and Renewable Energy</w:t>
            </w:r>
            <w:r>
              <w:rPr>
                <w:rFonts w:ascii="Times New Roman;Times;Serif" w:hAnsi="Times New Roman;Times;Serif"/>
                <w:b w:val="false"/>
                <w:i w:val="false"/>
                <w:caps w:val="false"/>
                <w:smallCaps w:val="false"/>
                <w:position w:val="7"/>
                <w:sz w:val="16"/>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9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surcharge and mandated fees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average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3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w:t>
            </w:r>
            <w:r>
              <w:rPr>
                <w:rFonts w:ascii="Times New Roman;Times;Serif" w:hAnsi="Times New Roman;Times;Serif"/>
                <w:b w:val="false"/>
                <w:i w:val="false"/>
                <w:caps w:val="false"/>
                <w:smallCaps w:val="false"/>
                <w:position w:val="7"/>
                <w:sz w:val="16"/>
                <w:sz w:val="20"/>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3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Solutions</w:t>
            </w:r>
            <w:r>
              <w:rPr>
                <w:rFonts w:ascii="Times New Roman;Times;Serif" w:hAnsi="Times New Roman;Times;Serif"/>
                <w:b w:val="false"/>
                <w:i w:val="false"/>
                <w:caps w:val="false"/>
                <w:smallCaps w:val="false"/>
                <w:position w:val="7"/>
                <w:sz w:val="16"/>
                <w:sz w:val="20"/>
              </w:rPr>
              <w: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377" w:type="dxa"/>
            <w:tcBorders>
              <w:bottom w:val="single" w:sz="8" w:space="0" w:color="000000"/>
            </w:tcBorders>
            <w:shd w:fill="FFFFFF" w:val="clear"/>
            <w:tcMar>
              <w:bottom w:w="28" w:type="dxa"/>
            </w:tcM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revenue growth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3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3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37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3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37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569" w:type="dxa"/>
        <w:jc w:val="left"/>
        <w:tblInd w:w="0" w:type="dxa"/>
        <w:tblLayout w:type="fixed"/>
        <w:tblCellMar>
          <w:top w:w="0" w:type="dxa"/>
          <w:left w:w="0" w:type="dxa"/>
          <w:bottom w:w="0" w:type="dxa"/>
          <w:right w:w="0" w:type="dxa"/>
        </w:tblCellMar>
      </w:tblPr>
      <w:tblGrid>
        <w:gridCol w:w="2480"/>
        <w:gridCol w:w="60"/>
        <w:gridCol w:w="166"/>
        <w:gridCol w:w="770"/>
        <w:gridCol w:w="518"/>
        <w:gridCol w:w="166"/>
        <w:gridCol w:w="166"/>
        <w:gridCol w:w="946"/>
        <w:gridCol w:w="245"/>
        <w:gridCol w:w="60"/>
        <w:gridCol w:w="166"/>
        <w:gridCol w:w="770"/>
        <w:gridCol w:w="518"/>
        <w:gridCol w:w="166"/>
        <w:gridCol w:w="166"/>
        <w:gridCol w:w="946"/>
        <w:gridCol w:w="260"/>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vs. 2025</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vs. 2025</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Related Business</w:t>
            </w:r>
            <w:r>
              <w:rPr>
                <w:rFonts w:ascii="Times New Roman;Times;Serif" w:hAnsi="Times New Roman;Times;Serif"/>
                <w:b/>
                <w:i w:val="false"/>
                <w:caps w:val="false"/>
                <w:smallCaps w:val="false"/>
                <w:position w:val="7"/>
                <w:sz w:val="16"/>
                <w:sz w:val="20"/>
              </w:rPr>
              <w:t>(a)</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Related Business</w:t>
            </w:r>
            <w:r>
              <w:rPr>
                <w:rFonts w:ascii="Times New Roman;Times;Serif" w:hAnsi="Times New Roman;Times;Serif"/>
                <w:b/>
                <w:i w:val="false"/>
                <w:caps w:val="false"/>
                <w:smallCaps w:val="false"/>
                <w:position w:val="7"/>
                <w:sz w:val="16"/>
                <w:sz w:val="20"/>
              </w:rPr>
              <w:t>(a)</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tc>
        <w:tc>
          <w:tcPr>
            <w:tcW w:w="51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11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tc>
        <w:tc>
          <w:tcPr>
            <w:tcW w:w="518"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caps w:val="false"/>
                <w:smallCaps w:val="false"/>
              </w:rPr>
            </w:pPr>
            <w:r>
              <w:rPr>
                <w:caps w:val="false"/>
                <w:smallCaps w:val="false"/>
              </w:rPr>
              <w:t> </w:t>
            </w:r>
          </w:p>
        </w:tc>
        <w:tc>
          <w:tcPr>
            <w:tcW w:w="11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5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5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5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283"/>
              <w:jc w:val="both"/>
              <w:rPr/>
            </w:pPr>
            <w:r>
              <w:rPr/>
              <w:t>Calculated by dividing the increase or decrease for the current year period by the prior year period’s related business revenues adjusted to exclude the impacts of divestitures for the current 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Calculated by dividing the increase or decrease for the current year period by the prior year period’s total Company revenues adjusted to exclude the impacts of divestitures for the current year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283"/>
              <w:jc w:val="both"/>
              <w:rPr/>
            </w:pPr>
            <w:r>
              <w:rPr/>
              <w:t>Includes combined impact of commodity price variability in both our Recycling Processing and Sales and WM Renewable Energy segments, as well as changes in certain recycling fees charged by our collection and disposal operations.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(d)</w:t>
            </w:r>
          </w:p>
        </w:tc>
        <w:tc>
          <w:tcPr>
            <w:tcW w:w="9921" w:type="dxa"/>
            <w:tcBorders/>
            <w:vAlign w:val="center"/>
          </w:tcPr>
          <w:p>
            <w:pPr>
              <w:pStyle w:val="TableContents"/>
              <w:bidi w:val="0"/>
              <w:spacing w:before="0" w:after="283"/>
              <w:jc w:val="both"/>
              <w:rPr/>
            </w:pPr>
            <w:r>
              <w:rPr/>
              <w:t>Includes activities from our Corporate and Other businesses.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(e)</w:t>
            </w:r>
          </w:p>
        </w:tc>
        <w:tc>
          <w:tcPr>
            <w:tcW w:w="9921" w:type="dxa"/>
            <w:tcBorders/>
            <w:vAlign w:val="center"/>
          </w:tcPr>
          <w:p>
            <w:pPr>
              <w:pStyle w:val="TableContents"/>
              <w:bidi w:val="0"/>
              <w:spacing w:before="0" w:after="283"/>
              <w:jc w:val="both"/>
              <w:rPr/>
            </w:pPr>
            <w:r>
              <w:rPr/>
              <w:t>The amounts reported herein represent the change in our revenues from the combined impacts of yield and volume attributable to our Healthcare Solutions segment.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SUMMARY DATA SHEET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r>
        <w:rPr>
          <w:rFonts w:ascii="Times New Roman;Times;Serif" w:hAnsi="Times New Roman;Times;Serif"/>
          <w:b/>
          <w:i w:val="false"/>
          <w:caps w:val="false"/>
          <w:smallCaps w:val="false"/>
          <w:position w:val="7"/>
          <w:sz w:val="16"/>
          <w:sz w:val="20"/>
        </w:rPr>
        <w:t>(a)</w:t>
      </w:r>
    </w:p>
    <w:p>
      <w:pPr>
        <w:pStyle w:val="TextBody"/>
        <w:bidi w:val="0"/>
        <w:spacing w:before="0" w:after="0"/>
        <w:ind w:left="0" w:right="0" w:hanging="0"/>
        <w:jc w:val="left"/>
        <w:rPr>
          <w:caps w:val="false"/>
          <w:smallCaps w:val="false"/>
        </w:rPr>
      </w:pPr>
      <w:r>
        <w:rPr>
          <w:caps w:val="false"/>
          <w:smallCaps w:val="false"/>
        </w:rPr>
        <w:t> </w:t>
      </w:r>
    </w:p>
    <w:tbl>
      <w:tblPr>
        <w:tblW w:w="9917" w:type="dxa"/>
        <w:jc w:val="left"/>
        <w:tblInd w:w="0" w:type="dxa"/>
        <w:tblLayout w:type="fixed"/>
        <w:tblCellMar>
          <w:top w:w="0" w:type="dxa"/>
          <w:left w:w="0" w:type="dxa"/>
          <w:bottom w:w="0" w:type="dxa"/>
          <w:right w:w="0" w:type="dxa"/>
        </w:tblCellMar>
      </w:tblPr>
      <w:tblGrid>
        <w:gridCol w:w="6290"/>
        <w:gridCol w:w="60"/>
        <w:gridCol w:w="164"/>
        <w:gridCol w:w="638"/>
        <w:gridCol w:w="105"/>
        <w:gridCol w:w="78"/>
        <w:gridCol w:w="164"/>
        <w:gridCol w:w="638"/>
        <w:gridCol w:w="80"/>
        <w:gridCol w:w="60"/>
        <w:gridCol w:w="130"/>
        <w:gridCol w:w="570"/>
        <w:gridCol w:w="83"/>
        <w:gridCol w:w="62"/>
        <w:gridCol w:w="130"/>
        <w:gridCol w:w="570"/>
        <w:gridCol w:w="95"/>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8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3" w:type="dxa"/>
            <w:tcBorders/>
            <w:vAlign w:val="center"/>
          </w:tcPr>
          <w:p>
            <w:pPr>
              <w:pStyle w:val="TableContents"/>
              <w:bidi w:val="0"/>
              <w:spacing w:before="0" w:after="283"/>
              <w:jc w:val="left"/>
              <w:rPr>
                <w:caps w:val="false"/>
                <w:smallCaps w:val="false"/>
              </w:rPr>
            </w:pPr>
            <w:r>
              <w:rPr>
                <w:caps w:val="false"/>
                <w:smallCaps w:val="false"/>
              </w:rPr>
              <w:t> </w:t>
            </w:r>
          </w:p>
        </w:tc>
        <w:tc>
          <w:tcPr>
            <w:tcW w:w="62" w:type="dxa"/>
            <w:tcBorders/>
            <w:vAlign w:val="center"/>
          </w:tcPr>
          <w:p>
            <w:pPr>
              <w:pStyle w:val="TableContents"/>
              <w:bidi w:val="0"/>
              <w:spacing w:before="0" w:after="283"/>
              <w:jc w:val="left"/>
              <w:rPr>
                <w:caps w:val="false"/>
                <w:smallCaps w:val="false"/>
              </w:rPr>
            </w:pPr>
            <w:r>
              <w:rPr>
                <w:caps w:val="false"/>
                <w:smallCaps w:val="false"/>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1,726</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 support the business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w:t>
            </w:r>
          </w:p>
        </w:tc>
        <w:tc>
          <w:tcPr>
            <w:tcW w:w="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(1,275</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without sustainability growth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 sustainability growth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54"/>
        <w:gridCol w:w="60"/>
        <w:gridCol w:w="159"/>
        <w:gridCol w:w="484"/>
        <w:gridCol w:w="235"/>
        <w:gridCol w:w="76"/>
        <w:gridCol w:w="159"/>
        <w:gridCol w:w="484"/>
        <w:gridCol w:w="185"/>
        <w:gridCol w:w="60"/>
        <w:gridCol w:w="143"/>
        <w:gridCol w:w="437"/>
        <w:gridCol w:w="212"/>
        <w:gridCol w:w="69"/>
        <w:gridCol w:w="143"/>
        <w:gridCol w:w="437"/>
        <w:gridCol w:w="208"/>
      </w:tblGrid>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7"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1"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35"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1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r>
      <w:tr>
        <w:trPr/>
        <w:tc>
          <w:tcPr>
            <w:tcW w:w="6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Internalization of waste, based on disposal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2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2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depletable tons (in millions)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Summary</w:t>
            </w: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 </w:t>
            </w:r>
          </w:p>
        </w:tc>
        <w:tc>
          <w:tcPr>
            <w:tcW w:w="208" w:type="dxa"/>
            <w:tcBorders/>
            <w:shd w:fill="FFFFFF" w:val="clear"/>
            <w:vAlign w:val="center"/>
          </w:tcPr>
          <w:p>
            <w:pPr>
              <w:pStyle w:val="TableContents"/>
              <w:bidi w:val="0"/>
              <w:spacing w:before="0" w:after="283"/>
              <w:jc w:val="left"/>
              <w:rPr/>
            </w:pPr>
            <w:r>
              <w:rPr/>
              <w:t> </w:t>
            </w:r>
          </w:p>
        </w:tc>
      </w:tr>
      <w:tr>
        <w:trPr/>
        <w:tc>
          <w:tcPr>
            <w:tcW w:w="6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annualized revenue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208"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6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consummated during the period, net of cash acquired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w:t>
            </w:r>
          </w:p>
        </w:tc>
        <w:tc>
          <w:tcPr>
            <w:tcW w:w="208"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66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including contingent consideration and other items from prior periods,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2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2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Landfill Amortization and Accretion Expenses</w:t>
      </w:r>
    </w:p>
    <w:p>
      <w:pPr>
        <w:pStyle w:val="TextBody"/>
        <w:bidi w:val="0"/>
        <w:spacing w:before="0" w:after="283"/>
        <w:jc w:val="left"/>
        <w:rPr/>
      </w:pPr>
      <w:r>
        <w:rPr/>
        <w:t> </w:t>
      </w:r>
    </w:p>
    <w:tbl>
      <w:tblPr>
        <w:tblW w:w="6956" w:type="dxa"/>
        <w:jc w:val="left"/>
        <w:tblInd w:w="0" w:type="dxa"/>
        <w:tblLayout w:type="fixed"/>
        <w:tblCellMar>
          <w:top w:w="0" w:type="dxa"/>
          <w:left w:w="0" w:type="dxa"/>
          <w:bottom w:w="0" w:type="dxa"/>
          <w:right w:w="0" w:type="dxa"/>
        </w:tblCellMar>
      </w:tblPr>
      <w:tblGrid>
        <w:gridCol w:w="3365"/>
        <w:gridCol w:w="60"/>
        <w:gridCol w:w="215"/>
        <w:gridCol w:w="576"/>
        <w:gridCol w:w="103"/>
        <w:gridCol w:w="103"/>
        <w:gridCol w:w="215"/>
        <w:gridCol w:w="576"/>
        <w:gridCol w:w="60"/>
        <w:gridCol w:w="60"/>
        <w:gridCol w:w="186"/>
        <w:gridCol w:w="499"/>
        <w:gridCol w:w="89"/>
        <w:gridCol w:w="89"/>
        <w:gridCol w:w="186"/>
        <w:gridCol w:w="499"/>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c>
          <w:tcPr>
            <w:tcW w:w="7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basis of landfill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retirement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landfill depletion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9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and accretion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Represents amounts associated with business acquisitions consummated during the applicable period except where noted.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 Except Per Share Amounts)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3"/>
        <w:gridCol w:w="60"/>
        <w:gridCol w:w="228"/>
        <w:gridCol w:w="871"/>
        <w:gridCol w:w="215"/>
        <w:gridCol w:w="60"/>
        <w:gridCol w:w="133"/>
        <w:gridCol w:w="517"/>
        <w:gridCol w:w="60"/>
        <w:gridCol w:w="60"/>
        <w:gridCol w:w="197"/>
        <w:gridCol w:w="528"/>
        <w:gridCol w:w="223"/>
        <w:gridCol w:w="60"/>
        <w:gridCol w:w="227"/>
        <w:gridCol w:w="616"/>
        <w:gridCol w:w="60"/>
        <w:gridCol w:w="60"/>
        <w:gridCol w:w="296"/>
        <w:gridCol w:w="883"/>
        <w:gridCol w:w="78"/>
      </w:tblGrid>
      <w:tr>
        <w:trPr/>
        <w:tc>
          <w:tcPr>
            <w:tcW w:w="477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94"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acquisition and integration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7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1,290</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w:t>
            </w:r>
          </w:p>
        </w:tc>
        <w:tc>
          <w:tcPr>
            <w:tcW w:w="22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7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2,067</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74"/>
        <w:gridCol w:w="60"/>
        <w:gridCol w:w="228"/>
        <w:gridCol w:w="864"/>
        <w:gridCol w:w="215"/>
        <w:gridCol w:w="60"/>
        <w:gridCol w:w="176"/>
        <w:gridCol w:w="474"/>
        <w:gridCol w:w="60"/>
        <w:gridCol w:w="60"/>
        <w:gridCol w:w="197"/>
        <w:gridCol w:w="528"/>
        <w:gridCol w:w="221"/>
        <w:gridCol w:w="60"/>
        <w:gridCol w:w="236"/>
        <w:gridCol w:w="639"/>
        <w:gridCol w:w="60"/>
        <w:gridCol w:w="60"/>
        <w:gridCol w:w="292"/>
        <w:gridCol w:w="863"/>
        <w:gridCol w:w="78"/>
      </w:tblGrid>
      <w:tr>
        <w:trPr/>
        <w:tc>
          <w:tcPr>
            <w:tcW w:w="4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93"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2025</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7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acquisition and integration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ind w:left="0" w:right="0" w:hanging="180"/>
              <w:jc w:val="left"/>
              <w:rPr/>
            </w:pPr>
            <w:r>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asset impairments, unusual items and other, net</w:t>
            </w:r>
            <w:r>
              <w:rPr>
                <w:rFonts w:ascii="Times New Roman;Times;Serif" w:hAnsi="Times New Roman;Times;Serif"/>
                <w:b w:val="false"/>
                <w:i w:val="false"/>
                <w:caps w:val="false"/>
                <w:smallCaps w:val="false"/>
                <w:position w:val="7"/>
                <w:sz w:val="16"/>
                <w:sz w:val="20"/>
              </w:rPr>
              <w: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2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1,215</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w:t>
            </w:r>
          </w:p>
        </w:tc>
        <w:tc>
          <w:tcPr>
            <w:tcW w:w="22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w:t>
            </w:r>
          </w:p>
        </w:tc>
        <w:tc>
          <w:tcPr>
            <w:tcW w:w="7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4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amortization, and accretion</w:t>
            </w:r>
            <w:r>
              <w:rPr>
                <w:rFonts w:ascii="Times New Roman;Times;Serif" w:hAnsi="Times New Roman;Times;Serif"/>
                <w:b w:val="false"/>
                <w:i w:val="false"/>
                <w:caps w:val="false"/>
                <w:smallCaps w:val="false"/>
                <w:position w:val="7"/>
                <w:sz w:val="16"/>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30.5</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Wildfire Adjustment: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477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Wildfire clean-up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4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right"/>
              <w:rPr/>
            </w:pPr>
            <w:r>
              <w:rPr/>
              <w:t> </w:t>
            </w:r>
          </w:p>
        </w:tc>
        <w:tc>
          <w:tcPr>
            <w:tcW w:w="2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477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EBITDA adjusted for wildfires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1,895</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8"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(a)</w:t>
            </w:r>
          </w:p>
        </w:tc>
        <w:tc>
          <w:tcPr>
            <w:tcW w:w="9936" w:type="dxa"/>
            <w:tcBorders/>
            <w:vAlign w:val="center"/>
          </w:tcPr>
          <w:p>
            <w:pPr>
              <w:pStyle w:val="TableContents"/>
              <w:bidi w:val="0"/>
              <w:spacing w:before="0" w:after="283"/>
              <w:jc w:val="both"/>
              <w:rPr/>
            </w:pPr>
            <w:r>
              <w:rPr/>
              <w:t>For purposes of this press release table, all references to “Net income” refer to the financial statement line item “Net income attributable to Waste Management, Inc.”</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pPr>
            <w:r>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three months ended June 30, 2026 and 2025 adjusted effective tax rates are 23.3% and 21.8%, respectively.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(c)</w:t>
            </w:r>
          </w:p>
        </w:tc>
        <w:tc>
          <w:tcPr>
            <w:tcW w:w="9936"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expenses in the three months ended June 30, 2026 and 2025 are $39 million and $36 million, respectively. For comparability purposes, 2025 results have been updated to reflect that change.</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6" w:type="dxa"/>
            <w:tcBorders/>
            <w:vAlign w:val="center"/>
          </w:tcPr>
          <w:p>
            <w:pPr>
              <w:pStyle w:val="TableContents"/>
              <w:bidi w:val="0"/>
              <w:spacing w:before="0" w:after="283"/>
              <w:jc w:val="both"/>
              <w:rPr/>
            </w:pPr>
            <w:r>
              <w:rPr/>
              <w:t>The three months ended June 30, 2025 includes net charges primarily related to a business engaged in oil recovery and sludge processing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60"/>
        <w:gridCol w:w="231"/>
        <w:gridCol w:w="898"/>
        <w:gridCol w:w="185"/>
        <w:gridCol w:w="60"/>
        <w:gridCol w:w="206"/>
        <w:gridCol w:w="633"/>
        <w:gridCol w:w="185"/>
        <w:gridCol w:w="60"/>
        <w:gridCol w:w="197"/>
        <w:gridCol w:w="603"/>
        <w:gridCol w:w="185"/>
        <w:gridCol w:w="60"/>
        <w:gridCol w:w="205"/>
        <w:gridCol w:w="625"/>
        <w:gridCol w:w="185"/>
        <w:gridCol w:w="60"/>
        <w:gridCol w:w="187"/>
        <w:gridCol w:w="598"/>
        <w:gridCol w:w="80"/>
        <w:gridCol w:w="60"/>
        <w:gridCol w:w="110"/>
        <w:gridCol w:w="425"/>
        <w:gridCol w:w="202"/>
      </w:tblGrid>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38"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2026</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Recycling</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Collection</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Processing</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Renewable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Healthcare</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Corporate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Disposal</w:t>
            </w:r>
            <w:r>
              <w:rPr>
                <w:rFonts w:ascii="Times New Roman;Times;Serif" w:hAnsi="Times New Roman;Times;Serif"/>
                <w:b/>
                <w:i w:val="false"/>
                <w:caps w:val="false"/>
                <w:smallCaps w:val="false"/>
                <w:position w:val="5"/>
                <w:sz w:val="13"/>
                <w:sz w:val="16"/>
              </w:rPr>
              <w:t>(a)(b)</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Sales</w:t>
            </w:r>
            <w:r>
              <w:rPr>
                <w:rFonts w:ascii="Times New Roman;Times;Serif" w:hAnsi="Times New Roman;Times;Serif"/>
                <w:b/>
                <w:i w:val="false"/>
                <w:caps w:val="false"/>
                <w:smallCaps w:val="false"/>
                <w:position w:val="5"/>
                <w:sz w:val="13"/>
                <w:sz w:val="16"/>
              </w:rPr>
              <w:t>(a)</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Energy</w:t>
            </w:r>
            <w:r>
              <w:rPr>
                <w:rFonts w:ascii="Times New Roman;Times;Serif" w:hAnsi="Times New Roman;Times;Serif"/>
                <w:b/>
                <w:i w:val="false"/>
                <w:caps w:val="false"/>
                <w:smallCaps w:val="false"/>
                <w:position w:val="5"/>
                <w:sz w:val="13"/>
                <w:sz w:val="16"/>
              </w:rPr>
              <w:t>(b)</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Solutions</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Other</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WM</w:t>
            </w:r>
          </w:p>
        </w:tc>
        <w:tc>
          <w:tcPr>
            <w:tcW w:w="20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Adjusted Operating EBITDA and Adjusted Operating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6,684</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from operations,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1,253</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depletion, amortization, and accretion</w:t>
            </w:r>
            <w:r>
              <w:rPr>
                <w:rFonts w:ascii="Times New Roman;Times;Serif" w:hAnsi="Times New Roman;Times;Serif"/>
                <w:b w:val="false"/>
                <w:i w:val="false"/>
                <w:caps w:val="false"/>
                <w:smallCaps w:val="false"/>
                <w:position w:val="5"/>
                <w:sz w:val="13"/>
                <w:sz w:val="16"/>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777</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EBITDA,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2,030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Stericycle acquisition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loss from asset impairments, unusual items and other,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Adjusted operating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2,067</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EBITDA margin, as reported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38.6</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22.3</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45.2</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16.8</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30.4</w:t>
            </w:r>
          </w:p>
        </w:tc>
        <w:tc>
          <w:tcPr>
            <w:tcW w:w="2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Adjusted operating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22.8</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45.2</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30.9</w:t>
            </w:r>
          </w:p>
        </w:tc>
        <w:tc>
          <w:tcPr>
            <w:tcW w:w="2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05"/>
        <w:gridCol w:w="60"/>
        <w:gridCol w:w="231"/>
        <w:gridCol w:w="898"/>
        <w:gridCol w:w="185"/>
        <w:gridCol w:w="60"/>
        <w:gridCol w:w="206"/>
        <w:gridCol w:w="633"/>
        <w:gridCol w:w="185"/>
        <w:gridCol w:w="60"/>
        <w:gridCol w:w="197"/>
        <w:gridCol w:w="603"/>
        <w:gridCol w:w="185"/>
        <w:gridCol w:w="60"/>
        <w:gridCol w:w="205"/>
        <w:gridCol w:w="625"/>
        <w:gridCol w:w="185"/>
        <w:gridCol w:w="60"/>
        <w:gridCol w:w="187"/>
        <w:gridCol w:w="598"/>
        <w:gridCol w:w="80"/>
        <w:gridCol w:w="60"/>
        <w:gridCol w:w="110"/>
        <w:gridCol w:w="425"/>
        <w:gridCol w:w="202"/>
      </w:tblGrid>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38"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June 30, 2025</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Recycling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Collection</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Processing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Renewable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Healthcare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Corporate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Disposal</w:t>
            </w:r>
            <w:r>
              <w:rPr>
                <w:rFonts w:ascii="Times New Roman;Times;Serif" w:hAnsi="Times New Roman;Times;Serif"/>
                <w:b/>
                <w:i w:val="false"/>
                <w:caps w:val="false"/>
                <w:smallCaps w:val="false"/>
                <w:position w:val="5"/>
                <w:sz w:val="13"/>
                <w:sz w:val="16"/>
              </w:rPr>
              <w:t>(a)(b)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Sales</w:t>
            </w:r>
            <w:r>
              <w:rPr>
                <w:rFonts w:ascii="Times New Roman;Times;Serif" w:hAnsi="Times New Roman;Times;Serif"/>
                <w:b/>
                <w:i w:val="false"/>
                <w:caps w:val="false"/>
                <w:smallCaps w:val="false"/>
                <w:position w:val="5"/>
                <w:sz w:val="13"/>
                <w:sz w:val="16"/>
              </w:rPr>
              <w:t>(a)</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Energy</w:t>
            </w:r>
            <w:r>
              <w:rPr>
                <w:rFonts w:ascii="Times New Roman;Times;Serif" w:hAnsi="Times New Roman;Times;Serif"/>
                <w:b/>
                <w:i w:val="false"/>
                <w:caps w:val="false"/>
                <w:smallCaps w:val="false"/>
                <w:position w:val="5"/>
                <w:sz w:val="13"/>
                <w:sz w:val="16"/>
              </w:rPr>
              <w:t>(b)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Solutions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and 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WM</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16"/>
              </w:rPr>
            </w:pPr>
            <w:r>
              <w:rPr>
                <w:rFonts w:ascii="Times New Roman;Times;Serif" w:hAnsi="Times New Roman;Times;Serif"/>
                <w:b/>
                <w:i/>
                <w:caps w:val="false"/>
                <w:smallCaps w:val="false"/>
                <w:sz w:val="16"/>
              </w:rPr>
              <w:t>Adjusted Operating EBITDA and Adjusted Operating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5,281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6,430</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from operations,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1,461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1,151</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Depreciation, depletion, amortization, and accretion</w:t>
            </w:r>
            <w:r>
              <w:rPr>
                <w:rFonts w:ascii="Times New Roman;Times;Serif" w:hAnsi="Times New Roman;Times;Serif"/>
                <w:b w:val="false"/>
                <w:i w:val="false"/>
                <w:caps w:val="false"/>
                <w:smallCaps w:val="false"/>
                <w:position w:val="5"/>
                <w:sz w:val="13"/>
                <w:sz w:val="16"/>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EBITDA,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1,895</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Stericycle acquisition and integration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(Gain) loss from asset impairments, unusual items and other, net</w:t>
            </w:r>
            <w:r>
              <w:rPr>
                <w:rFonts w:ascii="Times New Roman;Times;Serif" w:hAnsi="Times New Roman;Times;Serif"/>
                <w:b w:val="false"/>
                <w:i w:val="false"/>
                <w:caps w:val="false"/>
                <w:smallCaps w:val="false"/>
                <w:position w:val="5"/>
                <w:sz w:val="13"/>
                <w:sz w:val="16"/>
              </w:rPr>
              <w:t>(d)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Adjusted operating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2,036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3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1,959</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9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Operating EBITDA margin, as reported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46.1</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12.7</w:t>
            </w:r>
          </w:p>
        </w:tc>
        <w:tc>
          <w:tcPr>
            <w:tcW w:w="1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29.5</w:t>
            </w:r>
          </w:p>
        </w:tc>
        <w:tc>
          <w:tcPr>
            <w:tcW w:w="20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39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Adjusted operating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38.6</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18.4</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46.1</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17.0</w:t>
            </w:r>
          </w:p>
        </w:tc>
        <w:tc>
          <w:tcPr>
            <w:tcW w:w="1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N/A</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30.5</w:t>
            </w:r>
          </w:p>
        </w:tc>
        <w:tc>
          <w:tcPr>
            <w:tcW w:w="20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Certain fees related to the processing of recycled material we collect are included within our Collection and Disposal business. The amounts in Income from Operations for the three months ended June 30, 2026 and 2025 are $22 million and $20 million, respectively.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WM Renewable Energy pays a 15% intercompany royalty to our Collection and Disposal business and Corporate and Other for landfill gas. The total amount of royalties in Income from Operations for the three months ended June 30, 2026 and 2025, are $24 million and $17 million, respectively.</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expenses in the three months ended June 30, 2026 and 2025 are $39 million and $36 million, respectively. For comparability purposes, 2025 results have been updated to reflect that change.</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both"/>
              <w:rPr/>
            </w:pPr>
            <w:r>
              <w:rPr/>
              <w:t>The three months ended June 30, 2025 includes net charges primarily related to a business engaged in oil recovery and sludge processing services.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RECONCILIATION OF CERTAIN NON-GAAP MEASURES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48" w:type="dxa"/>
        <w:jc w:val="left"/>
        <w:tblInd w:w="0" w:type="dxa"/>
        <w:tblLayout w:type="fixed"/>
        <w:tblCellMar>
          <w:top w:w="0" w:type="dxa"/>
          <w:left w:w="0" w:type="dxa"/>
          <w:bottom w:w="0" w:type="dxa"/>
          <w:right w:w="0" w:type="dxa"/>
        </w:tblCellMar>
      </w:tblPr>
      <w:tblGrid>
        <w:gridCol w:w="6005"/>
        <w:gridCol w:w="60"/>
        <w:gridCol w:w="366"/>
        <w:gridCol w:w="1423"/>
        <w:gridCol w:w="215"/>
        <w:gridCol w:w="60"/>
        <w:gridCol w:w="366"/>
        <w:gridCol w:w="1423"/>
        <w:gridCol w:w="23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r>
              <w:rPr>
                <w:rFonts w:ascii="Times New Roman;Times;Serif" w:hAnsi="Times New Roman;Times;Serif"/>
                <w:b/>
                <w:i w:val="false"/>
                <w:caps w:val="false"/>
                <w:smallCaps w:val="false"/>
                <w:position w:val="7"/>
                <w:sz w:val="16"/>
                <w:sz w:val="20"/>
              </w:rPr>
              <w:t>(a)</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Operating Expenses and Adjusted Operating Expenses Margin</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3,803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loss contingency 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tbl>
      <w:tblPr>
        <w:tblW w:w="9518" w:type="dxa"/>
        <w:jc w:val="left"/>
        <w:tblInd w:w="0" w:type="dxa"/>
        <w:tblLayout w:type="fixed"/>
        <w:tblCellMar>
          <w:top w:w="0" w:type="dxa"/>
          <w:left w:w="0" w:type="dxa"/>
          <w:bottom w:w="0" w:type="dxa"/>
          <w:right w:w="0" w:type="dxa"/>
        </w:tblCellMar>
      </w:tblPr>
      <w:tblGrid>
        <w:gridCol w:w="5375"/>
        <w:gridCol w:w="60"/>
        <w:gridCol w:w="366"/>
        <w:gridCol w:w="1423"/>
        <w:gridCol w:w="215"/>
        <w:gridCol w:w="60"/>
        <w:gridCol w:w="366"/>
        <w:gridCol w:w="1423"/>
        <w:gridCol w:w="230"/>
      </w:tblGrid>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SG&amp;A Expenses and Adjusted SG&amp;A Expenses Margin</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6,684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6,430</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423"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SG&amp;A expenses, as reported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Stericycle acquisition and integration-related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SG&amp;A expenses, as adjusted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672</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283"/>
        <w:jc w:val="left"/>
        <w:rPr/>
      </w:pPr>
      <w:r>
        <w:rPr/>
        <w:t> </w:t>
      </w:r>
    </w:p>
    <w:tbl>
      <w:tblPr>
        <w:tblW w:w="8424" w:type="dxa"/>
        <w:jc w:val="left"/>
        <w:tblInd w:w="0" w:type="dxa"/>
        <w:tblLayout w:type="fixed"/>
        <w:tblCellMar>
          <w:top w:w="0" w:type="dxa"/>
          <w:left w:w="0" w:type="dxa"/>
          <w:bottom w:w="28" w:type="dxa"/>
          <w:right w:w="0" w:type="dxa"/>
        </w:tblCellMar>
      </w:tblPr>
      <w:tblGrid>
        <w:gridCol w:w="6290"/>
        <w:gridCol w:w="60"/>
        <w:gridCol w:w="171"/>
        <w:gridCol w:w="749"/>
        <w:gridCol w:w="80"/>
        <w:gridCol w:w="60"/>
        <w:gridCol w:w="170"/>
        <w:gridCol w:w="749"/>
        <w:gridCol w:w="95"/>
      </w:tblGrid>
      <w:tr>
        <w:trPr/>
        <w:tc>
          <w:tcPr>
            <w:tcW w:w="6290"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Projected Free Cash Flow Reconciliation</w:t>
            </w:r>
            <w:r>
              <w:rPr>
                <w:rFonts w:ascii="Times New Roman;Times;Serif" w:hAnsi="Times New Roman;Times;Serif"/>
                <w:b/>
                <w:i/>
                <w:caps w:val="false"/>
                <w:smallCaps w:val="false"/>
                <w:position w:val="7"/>
                <w:sz w:val="16"/>
                <w:sz w:val="20"/>
              </w:rPr>
              <w:t>(b)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1</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2</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 support the business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without sustainability growth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 sustainability growth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3,850</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(a)</w:t>
            </w:r>
          </w:p>
        </w:tc>
        <w:tc>
          <w:tcPr>
            <w:tcW w:w="9933" w:type="dxa"/>
            <w:tcBorders/>
            <w:vAlign w:val="center"/>
          </w:tcPr>
          <w:p>
            <w:pPr>
              <w:pStyle w:val="TableContents"/>
              <w:bidi w:val="0"/>
              <w:spacing w:before="0" w:after="283"/>
              <w:jc w:val="both"/>
              <w:rPr/>
            </w:pPr>
            <w:r>
              <w:rPr/>
              <w:t>Beginning in 2026, landfill accretion expense was moved from operating expenses to depreciation, depletion, amortization and accretion. Landfill accretion expenses in the three months ended June 30, 2026 and 2025 are $39 million and $36 million, respectively. For comparability purposes, 2025 results have been updated to reflect that change.</w:t>
            </w:r>
          </w:p>
        </w:tc>
      </w:tr>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The reconciliation includes two scenarios that illustrate our projected free cash flow range for 2026. The amounts used in the reconciliation are subject to many variables, some of which are not under our control and, therefore, are not necessarily indicative of actual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SUPPLEMENTAL INFORMATION PROVIDED FOR ILLUSTRATIVE PURPOSES ONLY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Millions)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impact that differing contract structures have on the Company’s adjusted operating EBITDA margin results. This information has been provided to enhance comparability and is not intended to replace or adjust GAAP reported results.</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185"/>
        <w:gridCol w:w="60"/>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br/>
              <w:t>Adjusted</w:t>
              <w:br/>
              <w:t>Operating</w:t>
              <w:br/>
              <w:t>EBITDA Margin</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br/>
              <w:t>Adjusted</w:t>
              <w:br/>
              <w:t>Operating</w:t>
              <w:br/>
              <w:t>EBITDA Margin</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commodity rebates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283"/>
        <w:jc w:val="left"/>
        <w:rPr/>
      </w:pPr>
      <w:r>
        <w:rPr/>
        <w:t> </w:t>
      </w:r>
    </w:p>
    <w:tbl>
      <w:tblPr>
        <w:tblW w:w="7590" w:type="dxa"/>
        <w:jc w:val="left"/>
        <w:tblInd w:w="0" w:type="dxa"/>
        <w:tblLayout w:type="fixed"/>
        <w:tblCellMar>
          <w:top w:w="0" w:type="dxa"/>
          <w:left w:w="0" w:type="dxa"/>
          <w:bottom w:w="0" w:type="dxa"/>
          <w:right w:w="0" w:type="dxa"/>
        </w:tblCellMar>
      </w:tblPr>
      <w:tblGrid>
        <w:gridCol w:w="2465"/>
        <w:gridCol w:w="60"/>
        <w:gridCol w:w="188"/>
        <w:gridCol w:w="507"/>
        <w:gridCol w:w="78"/>
        <w:gridCol w:w="78"/>
        <w:gridCol w:w="260"/>
        <w:gridCol w:w="1199"/>
        <w:gridCol w:w="185"/>
        <w:gridCol w:w="60"/>
        <w:gridCol w:w="188"/>
        <w:gridCol w:w="507"/>
        <w:gridCol w:w="78"/>
        <w:gridCol w:w="78"/>
        <w:gridCol w:w="260"/>
        <w:gridCol w:w="1199"/>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br/>
              <w:t>Adjusted</w:t>
              <w:br/>
              <w:t>Operating</w:t>
              <w:br/>
              <w:t>EBITDA Margin</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br/>
              <w:t>Adjusted</w:t>
              <w:br/>
              <w:t>Operating</w:t>
              <w:br/>
              <w:t>EBITDA Margin</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commodity rebates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36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6454</Words>
  <Characters>34840</Characters>
  <CharactersWithSpaces>42992</CharactersWithSpaces>
  <Paragraphs>5053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