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20,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60"/>
          </w:cols>
          <w:pgMar w:left="240" w:top="544" w:right="29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firstLine="648"/>
        <w:spacing w:after="0" w:line="297"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first quarter of 2018,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3888516. A replay of the call will be available on the Company’s website and by telephone until May 4, 2018. To access a replay telephonically, please dial (855) 859-2056 and use the replay conference ID number 3888516.</w:t>
      </w:r>
    </w:p>
    <w:p>
      <w:pPr>
        <w:spacing w:after="0" w:line="158" w:lineRule="exact"/>
        <w:rPr>
          <w:sz w:val="24"/>
          <w:szCs w:val="24"/>
          <w:color w:val="auto"/>
        </w:rPr>
      </w:pPr>
    </w:p>
    <w:p>
      <w:pPr>
        <w:ind w:right="340"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4"/>
          <w:szCs w:val="24"/>
          <w:color w:val="auto"/>
        </w:rPr>
      </w:pPr>
    </w:p>
    <w:p>
      <w:pPr>
        <w:spacing w:after="0"/>
        <w:tabs>
          <w:tab w:leader="none" w:pos="60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ectPr>
          <w:pgSz w:w="11900" w:h="16838" w:orient="portrait"/>
          <w:cols w:equalWidth="0" w:num="1">
            <w:col w:w="11360"/>
          </w:cols>
          <w:pgMar w:left="240" w:top="544" w:right="29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4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EE"/>
          </w:rPr>
          <w:t>Press Release dated April 20, 2018</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April 20, 2018</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2" w:name="page3"/>
    <w:bookmarkEnd w:id="2"/>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pacing w:after="0" w:line="232" w:lineRule="exact"/>
        <w:rPr>
          <w:sz w:val="20"/>
          <w:szCs w:val="20"/>
          <w:color w:val="auto"/>
        </w:rPr>
      </w:pPr>
    </w:p>
    <w:p>
      <w:pPr>
        <w:jc w:val="center"/>
        <w:spacing w:after="0" w:line="248" w:lineRule="auto"/>
        <w:rPr>
          <w:sz w:val="20"/>
          <w:szCs w:val="20"/>
          <w:color w:val="auto"/>
        </w:rPr>
      </w:pPr>
      <w:r>
        <w:rPr>
          <w:rFonts w:ascii="Arial" w:cs="Arial" w:eastAsia="Arial" w:hAnsi="Arial"/>
          <w:sz w:val="40"/>
          <w:szCs w:val="40"/>
          <w:color w:val="7AB800"/>
        </w:rPr>
        <w:t>Waste Management Announces First Quarter Earnings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57584F"/>
        </w:rPr>
        <w:t>Strong Income from Operations growth of 9%</w:t>
      </w:r>
    </w:p>
    <w:p>
      <w:pPr>
        <w:jc w:val="center"/>
        <w:spacing w:after="0"/>
        <w:rPr>
          <w:sz w:val="20"/>
          <w:szCs w:val="20"/>
          <w:color w:val="auto"/>
        </w:rPr>
      </w:pPr>
      <w:r>
        <w:rPr>
          <w:rFonts w:ascii="Arial" w:cs="Arial" w:eastAsia="Arial" w:hAnsi="Arial"/>
          <w:sz w:val="22"/>
          <w:szCs w:val="22"/>
          <w:color w:val="57584F"/>
        </w:rPr>
        <w:t>led to Operating Cash growth of 12%</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April 20, 2018</w:t>
      </w:r>
      <w:r>
        <w:rPr>
          <w:rFonts w:ascii="Arial" w:cs="Arial" w:eastAsia="Arial" w:hAnsi="Arial"/>
          <w:sz w:val="16"/>
          <w:szCs w:val="16"/>
          <w:b w:val="1"/>
          <w:bCs w:val="1"/>
          <w:color w:val="auto"/>
        </w:rPr>
        <w:t xml:space="preserve"> </w:t>
      </w:r>
      <w:r>
        <w:rPr>
          <w:rFonts w:ascii="Arial" w:cs="Arial" w:eastAsia="Arial" w:hAnsi="Arial"/>
          <w:sz w:val="18"/>
          <w:szCs w:val="18"/>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57584F"/>
        </w:rPr>
        <w:t>Waste Management, Inc. (NYSE: WM) today announced financial results for its</w:t>
      </w:r>
      <w:r>
        <w:rPr>
          <w:rFonts w:ascii="Arial" w:cs="Arial" w:eastAsia="Arial" w:hAnsi="Arial"/>
          <w:sz w:val="16"/>
          <w:szCs w:val="16"/>
          <w:b w:val="1"/>
          <w:bCs w:val="1"/>
          <w:color w:val="auto"/>
        </w:rPr>
        <w:t xml:space="preserve"> </w:t>
      </w:r>
      <w:r>
        <w:rPr>
          <w:rFonts w:ascii="Arial" w:cs="Arial" w:eastAsia="Arial" w:hAnsi="Arial"/>
          <w:sz w:val="18"/>
          <w:szCs w:val="18"/>
          <w:color w:val="57584F"/>
        </w:rPr>
        <w:t>quarter ended March 31, 2018. Revenues for the first quarter of 2018 were $3.51 billion compared with $3.44 billion for the same 2017 period. Net income for the quarter was $396 million, or $ 0.91 per diluted share, compared with $298 million, or $0.67 per diluted share, for the first quarter of 2017.</w:t>
      </w:r>
      <w:r>
        <w:rPr>
          <w:rFonts w:ascii="Arial" w:cs="Arial" w:eastAsia="Arial" w:hAnsi="Arial"/>
          <w:sz w:val="18"/>
          <w:szCs w:val="18"/>
          <w:color w:val="57584F"/>
          <w:vertAlign w:val="superscript"/>
        </w:rPr>
        <w:t>(a)</w:t>
      </w:r>
      <w:r>
        <w:rPr>
          <w:rFonts w:ascii="Arial" w:cs="Arial" w:eastAsia="Arial" w:hAnsi="Arial"/>
          <w:sz w:val="18"/>
          <w:szCs w:val="18"/>
          <w:color w:val="57584F"/>
        </w:rPr>
        <w:t xml:space="preserve"> On an as-adjusted basis in the first quarter of 2017, net income was $291 million, or $0.66 per diluted share.</w:t>
      </w:r>
      <w:r>
        <w:rPr>
          <w:rFonts w:ascii="Arial" w:cs="Arial" w:eastAsia="Arial" w:hAnsi="Arial"/>
          <w:sz w:val="18"/>
          <w:szCs w:val="18"/>
          <w:color w:val="57584F"/>
          <w:vertAlign w:val="superscript"/>
        </w:rPr>
        <w:t>(b)</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57584F"/>
        </w:rPr>
        <w:t>Jim Fish, President and Chief Executive Officer of Waste Management, commented, “We delivered strong operating and financial results in the first quarter. We saw organic revenue growth of 6% in our collection and disposal business, which drove the almost 8% increase in the Company’s operating EBITDA for the quarter.</w:t>
      </w:r>
      <w:r>
        <w:rPr>
          <w:rFonts w:ascii="Arial" w:cs="Arial" w:eastAsia="Arial" w:hAnsi="Arial"/>
          <w:sz w:val="18"/>
          <w:szCs w:val="18"/>
          <w:color w:val="57584F"/>
          <w:vertAlign w:val="superscript"/>
        </w:rPr>
        <w:t>(c)</w:t>
      </w:r>
      <w:r>
        <w:rPr>
          <w:rFonts w:ascii="Arial" w:cs="Arial" w:eastAsia="Arial" w:hAnsi="Arial"/>
          <w:sz w:val="18"/>
          <w:szCs w:val="18"/>
          <w:color w:val="57584F"/>
        </w:rPr>
        <w:t xml:space="preserve"> This strong operational performance resulted in robust net cash provided by operating activities and free cash flow, which allowed us to return $456 million to our shareholders in dividends and share repurchases and to spend $248 million on acquisitions.</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57584F"/>
        </w:rPr>
        <w:t>“The traditional solid waste business is in exceptional health, and we achieved outstanding results despite significant challenges presented by external market factors in the recycling line of business. The great start to 2018 shows how well we are executing upon our strategic plan, and we will continue with the focus and discipline required to produce strong results in the face of the challenging recycling environment.”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FIRST QUARTER 2018</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57584F"/>
        </w:rPr>
        <w:t>Revenue Growth</w:t>
      </w:r>
    </w:p>
    <w:p>
      <w:pPr>
        <w:spacing w:after="0" w:line="112" w:lineRule="exact"/>
        <w:rPr>
          <w:sz w:val="20"/>
          <w:szCs w:val="20"/>
          <w:color w:val="auto"/>
        </w:rPr>
      </w:pPr>
    </w:p>
    <w:p>
      <w:pPr>
        <w:jc w:val="both"/>
        <w:ind w:left="820" w:hanging="407"/>
        <w:spacing w:after="0" w:line="238" w:lineRule="auto"/>
        <w:tabs>
          <w:tab w:leader="none" w:pos="8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 the first quarter, revenue growth was driven by strong yield and volume growth in the Company’s collection and disposal business, which contributed $160 million of incremental revenue. This was partially offset by a decline in revenue from the Company’s recycling line of business, which fell by $77 million on a year-over-year basis in the first quarter of 2018.</w:t>
      </w:r>
    </w:p>
    <w:p>
      <w:pPr>
        <w:spacing w:after="0" w:line="2" w:lineRule="exact"/>
        <w:rPr>
          <w:rFonts w:ascii="Arial" w:cs="Arial" w:eastAsia="Arial" w:hAnsi="Arial"/>
          <w:sz w:val="18"/>
          <w:szCs w:val="18"/>
          <w:color w:val="57584F"/>
        </w:rPr>
      </w:pPr>
    </w:p>
    <w:p>
      <w:pPr>
        <w:jc w:val="both"/>
        <w:ind w:left="820" w:hanging="407"/>
        <w:spacing w:after="0"/>
        <w:tabs>
          <w:tab w:leader="none" w:pos="8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Core price, which consists of price increases net of rollbacks and fees, excluding the Company’s fuel surcharge, was 4.9%, compared to 5.1% in the first quarter of 2017 and 4.8% in the fourth quarter of 2017.</w:t>
      </w:r>
      <w:r>
        <w:rPr>
          <w:rFonts w:ascii="Arial" w:cs="Arial" w:eastAsia="Arial" w:hAnsi="Arial"/>
          <w:sz w:val="18"/>
          <w:szCs w:val="18"/>
          <w:color w:val="57584F"/>
          <w:vertAlign w:val="superscript"/>
        </w:rPr>
        <w:t>(d)</w:t>
      </w:r>
    </w:p>
    <w:p>
      <w:pPr>
        <w:ind w:left="820" w:hanging="407"/>
        <w:spacing w:after="0" w:line="242" w:lineRule="auto"/>
        <w:tabs>
          <w:tab w:leader="none" w:pos="8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Internal revenue growth from yield for collection and disposal operations was 2.3% for the first quarter versus 2.0% in the first quarter of 2017.</w:t>
      </w:r>
    </w:p>
    <w:p>
      <w:pPr>
        <w:spacing w:after="0" w:line="1" w:lineRule="exact"/>
        <w:rPr>
          <w:rFonts w:ascii="Arial" w:cs="Arial" w:eastAsia="Arial" w:hAnsi="Arial"/>
          <w:sz w:val="18"/>
          <w:szCs w:val="18"/>
          <w:color w:val="57584F"/>
        </w:rPr>
      </w:pPr>
    </w:p>
    <w:p>
      <w:pPr>
        <w:jc w:val="both"/>
        <w:ind w:left="820" w:hanging="407"/>
        <w:spacing w:after="0" w:line="239" w:lineRule="auto"/>
        <w:tabs>
          <w:tab w:leader="none" w:pos="8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Traditional solid waste internal revenue growth from volume was 3.0%, or 3.4% on a workday adjusted basis, in the first quarter of 2018. Total Company internal revenue growth from volume, which includes our recycling and other ancillary businesses, was 2.6%, or 3.0% on a workday adjusted basis, in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860"/>
        <w:spacing w:after="0" w:line="321" w:lineRule="auto"/>
        <w:rPr>
          <w:sz w:val="20"/>
          <w:szCs w:val="20"/>
          <w:color w:val="auto"/>
        </w:rPr>
      </w:pPr>
      <w:r>
        <w:rPr>
          <w:rFonts w:ascii="Arial" w:cs="Arial" w:eastAsia="Arial" w:hAnsi="Arial"/>
          <w:sz w:val="15"/>
          <w:szCs w:val="15"/>
          <w:b w:val="1"/>
          <w:bCs w:val="1"/>
          <w:color w:val="00693C"/>
        </w:rPr>
        <w:t>FOR MORE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ind w:right="800"/>
        <w:spacing w:after="0" w:line="275" w:lineRule="auto"/>
        <w:rPr>
          <w:sz w:val="20"/>
          <w:szCs w:val="20"/>
          <w:color w:val="auto"/>
        </w:rPr>
      </w:pPr>
      <w:r>
        <w:rPr>
          <w:rFonts w:ascii="Arial" w:cs="Arial" w:eastAsia="Arial" w:hAnsi="Arial"/>
          <w:sz w:val="17"/>
          <w:szCs w:val="17"/>
          <w:color w:val="57584F"/>
        </w:rPr>
        <w:t xml:space="preserve">713.265.1656 </w:t>
      </w:r>
      <w:r>
        <w:rPr>
          <w:rFonts w:ascii="Arial" w:cs="Arial" w:eastAsia="Arial" w:hAnsi="Arial"/>
          <w:sz w:val="17"/>
          <w:szCs w:val="17"/>
          <w:u w:val="single" w:color="auto"/>
          <w:color w:val="0000FF"/>
        </w:rPr>
        <w:t>eegl@wm.com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440"/>
        <w:spacing w:after="0" w:line="261" w:lineRule="auto"/>
        <w:rPr>
          <w:sz w:val="20"/>
          <w:szCs w:val="20"/>
          <w:color w:val="auto"/>
        </w:rPr>
      </w:pPr>
      <w:r>
        <w:rPr>
          <w:rFonts w:ascii="Arial" w:cs="Arial" w:eastAsia="Arial" w:hAnsi="Arial"/>
          <w:sz w:val="17"/>
          <w:szCs w:val="17"/>
          <w:color w:val="57584F"/>
        </w:rPr>
        <w:t xml:space="preserve">Tiffiany Moehring 720.346.5372 </w:t>
      </w:r>
      <w:r>
        <w:rPr>
          <w:rFonts w:ascii="Arial" w:cs="Arial" w:eastAsia="Arial" w:hAnsi="Arial"/>
          <w:sz w:val="17"/>
          <w:szCs w:val="17"/>
          <w:u w:val="single" w:color="auto"/>
          <w:color w:val="0000FF"/>
        </w:rPr>
        <w:t>tmoehrin@wm.com</w:t>
      </w:r>
    </w:p>
    <w:p>
      <w:pPr>
        <w:spacing w:after="0" w:line="4735" w:lineRule="exact"/>
        <w:rPr>
          <w:sz w:val="20"/>
          <w:szCs w:val="20"/>
          <w:color w:val="auto"/>
        </w:rPr>
      </w:pPr>
    </w:p>
    <w:p>
      <w:pPr>
        <w:sectPr>
          <w:pgSz w:w="11900" w:h="16838" w:orient="portrait"/>
          <w:cols w:equalWidth="0" w:num="2">
            <w:col w:w="9160" w:space="280"/>
            <w:col w:w="1980"/>
          </w:cols>
          <w:pgMar w:left="240" w:top="10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57584F"/>
        </w:rPr>
        <w:t>Recycling</w:t>
      </w:r>
    </w:p>
    <w:p>
      <w:pPr>
        <w:spacing w:after="0" w:line="139" w:lineRule="exact"/>
        <w:rPr>
          <w:sz w:val="20"/>
          <w:szCs w:val="20"/>
          <w:color w:val="auto"/>
        </w:rPr>
      </w:pPr>
    </w:p>
    <w:p>
      <w:pPr>
        <w:jc w:val="both"/>
        <w:ind w:left="820" w:right="2260" w:hanging="407"/>
        <w:spacing w:after="0" w:line="239" w:lineRule="auto"/>
        <w:tabs>
          <w:tab w:leader="none" w:pos="8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Average recycling commodity prices at the Company’s facilities were approximately 36% lower in the first quarter of 2018 compared to the prior year period. Recycling volumes decreased about 1% in the first quarter of 2018. Results in the Company’s recycling line of business declined by $0.08 per diluted share when compared to the first quarter of 2017.</w:t>
      </w:r>
    </w:p>
    <w:p>
      <w:pPr>
        <w:spacing w:after="0" w:line="193" w:lineRule="exact"/>
        <w:rPr>
          <w:rFonts w:ascii="Arial" w:cs="Arial" w:eastAsia="Arial" w:hAnsi="Arial"/>
          <w:sz w:val="18"/>
          <w:szCs w:val="18"/>
          <w:color w:val="57584F"/>
        </w:rPr>
      </w:pPr>
    </w:p>
    <w:p>
      <w:pPr>
        <w:ind w:left="82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Cost Management &amp; Profitability</w:t>
      </w:r>
    </w:p>
    <w:p>
      <w:pPr>
        <w:spacing w:after="0" w:line="139" w:lineRule="exact"/>
        <w:rPr>
          <w:rFonts w:ascii="Arial" w:cs="Arial" w:eastAsia="Arial" w:hAnsi="Arial"/>
          <w:sz w:val="18"/>
          <w:szCs w:val="18"/>
          <w:color w:val="57584F"/>
        </w:rPr>
      </w:pPr>
    </w:p>
    <w:p>
      <w:pPr>
        <w:ind w:left="820" w:right="2260" w:hanging="407"/>
        <w:spacing w:after="0" w:line="242" w:lineRule="auto"/>
        <w:tabs>
          <w:tab w:leader="none" w:pos="8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As a percent of revenue, total Company operating expenses were 62.2% in the first quarter of 2018 compared to 63.0% in the first quarter of 2017.</w:t>
      </w:r>
    </w:p>
    <w:p>
      <w:pPr>
        <w:spacing w:after="0" w:line="1" w:lineRule="exact"/>
        <w:rPr>
          <w:rFonts w:ascii="Arial" w:cs="Arial" w:eastAsia="Arial" w:hAnsi="Arial"/>
          <w:sz w:val="18"/>
          <w:szCs w:val="18"/>
          <w:color w:val="57584F"/>
        </w:rPr>
      </w:pPr>
    </w:p>
    <w:p>
      <w:pPr>
        <w:ind w:left="820" w:right="2260" w:hanging="407"/>
        <w:spacing w:after="0" w:line="242" w:lineRule="auto"/>
        <w:tabs>
          <w:tab w:leader="none" w:pos="8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As a percent of revenue, SG&amp;A expenses were 10.6% in the first quarter of 2018 compared to 11.3% in the first quarter of 2017.</w:t>
      </w:r>
    </w:p>
    <w:p>
      <w:pPr>
        <w:spacing w:after="0" w:line="1" w:lineRule="exact"/>
        <w:rPr>
          <w:rFonts w:ascii="Arial" w:cs="Arial" w:eastAsia="Arial" w:hAnsi="Arial"/>
          <w:sz w:val="18"/>
          <w:szCs w:val="18"/>
          <w:color w:val="57584F"/>
        </w:rPr>
      </w:pPr>
    </w:p>
    <w:p>
      <w:pPr>
        <w:ind w:left="820" w:right="2260" w:hanging="407"/>
        <w:spacing w:after="0" w:line="246" w:lineRule="auto"/>
        <w:tabs>
          <w:tab w:leader="none" w:pos="8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Operating EBITDA was $955 million for the first quarter of 2018, an increase of $69 million, or 7.8%, from the first quarter of 2017.</w:t>
      </w:r>
    </w:p>
    <w:p>
      <w:pPr>
        <w:spacing w:after="0" w:line="188" w:lineRule="exact"/>
        <w:rPr>
          <w:rFonts w:ascii="Arial" w:cs="Arial" w:eastAsia="Arial" w:hAnsi="Arial"/>
          <w:sz w:val="18"/>
          <w:szCs w:val="18"/>
          <w:color w:val="57584F"/>
        </w:rPr>
      </w:pPr>
    </w:p>
    <w:p>
      <w:pPr>
        <w:ind w:left="82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Free Cash Flow &amp; Capital Allocation</w:t>
      </w:r>
    </w:p>
    <w:p>
      <w:pPr>
        <w:spacing w:after="0" w:line="139" w:lineRule="exact"/>
        <w:rPr>
          <w:rFonts w:ascii="Arial" w:cs="Arial" w:eastAsia="Arial" w:hAnsi="Arial"/>
          <w:sz w:val="18"/>
          <w:szCs w:val="18"/>
          <w:color w:val="57584F"/>
        </w:rPr>
      </w:pPr>
    </w:p>
    <w:p>
      <w:pPr>
        <w:ind w:left="820" w:right="2260" w:hanging="407"/>
        <w:spacing w:after="0" w:line="242" w:lineRule="auto"/>
        <w:tabs>
          <w:tab w:leader="none" w:pos="8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Net cash provided by operating activities was $809 million in the first quarter of 2018, an increase of $87 million, or 12.0%, when compared to the first quarter of 2017.</w:t>
      </w:r>
    </w:p>
    <w:p>
      <w:pPr>
        <w:spacing w:after="0" w:line="1" w:lineRule="exact"/>
        <w:rPr>
          <w:rFonts w:ascii="Arial" w:cs="Arial" w:eastAsia="Arial" w:hAnsi="Arial"/>
          <w:sz w:val="18"/>
          <w:szCs w:val="18"/>
          <w:color w:val="57584F"/>
        </w:rPr>
      </w:pPr>
    </w:p>
    <w:p>
      <w:pPr>
        <w:ind w:left="820" w:right="2260" w:hanging="407"/>
        <w:spacing w:after="0" w:line="242" w:lineRule="auto"/>
        <w:tabs>
          <w:tab w:leader="none" w:pos="8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Capital expenditures were $400 million in the first quarter of 2018, a $68 million increase from the first quarter of 2017.</w:t>
      </w:r>
    </w:p>
    <w:p>
      <w:pPr>
        <w:spacing w:after="0" w:line="1" w:lineRule="exact"/>
        <w:rPr>
          <w:rFonts w:ascii="Arial" w:cs="Arial" w:eastAsia="Arial" w:hAnsi="Arial"/>
          <w:sz w:val="18"/>
          <w:szCs w:val="18"/>
          <w:color w:val="57584F"/>
        </w:rPr>
      </w:pPr>
    </w:p>
    <w:p>
      <w:pPr>
        <w:ind w:left="820" w:right="2260" w:hanging="407"/>
        <w:spacing w:after="0" w:line="242" w:lineRule="auto"/>
        <w:tabs>
          <w:tab w:leader="none" w:pos="8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Free cash flow was $423 million in the first quarter of 2018 compared to $397 million in the first quarter of 2017.</w:t>
      </w:r>
      <w:r>
        <w:rPr>
          <w:rFonts w:ascii="Arial" w:cs="Arial" w:eastAsia="Arial" w:hAnsi="Arial"/>
          <w:sz w:val="18"/>
          <w:szCs w:val="18"/>
          <w:color w:val="57584F"/>
          <w:vertAlign w:val="superscript"/>
        </w:rPr>
        <w:t>(b)</w:t>
      </w:r>
    </w:p>
    <w:p>
      <w:pPr>
        <w:spacing w:after="0" w:line="1" w:lineRule="exact"/>
        <w:rPr>
          <w:rFonts w:ascii="Arial" w:cs="Arial" w:eastAsia="Arial" w:hAnsi="Arial"/>
          <w:sz w:val="18"/>
          <w:szCs w:val="18"/>
          <w:color w:val="57584F"/>
        </w:rPr>
      </w:pPr>
    </w:p>
    <w:p>
      <w:pPr>
        <w:ind w:left="820" w:right="2260" w:hanging="407"/>
        <w:spacing w:after="0" w:line="242" w:lineRule="auto"/>
        <w:tabs>
          <w:tab w:leader="none" w:pos="8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The Company paid $206 million of dividends to shareholders and paid $250 million to repurchase shares in the first quarter of 2018.</w:t>
      </w:r>
    </w:p>
    <w:p>
      <w:pPr>
        <w:spacing w:after="0" w:line="1" w:lineRule="exact"/>
        <w:rPr>
          <w:rFonts w:ascii="Arial" w:cs="Arial" w:eastAsia="Arial" w:hAnsi="Arial"/>
          <w:sz w:val="18"/>
          <w:szCs w:val="18"/>
          <w:color w:val="57584F"/>
        </w:rPr>
      </w:pPr>
    </w:p>
    <w:p>
      <w:pPr>
        <w:ind w:left="820" w:right="2260" w:hanging="407"/>
        <w:spacing w:after="0" w:line="246" w:lineRule="auto"/>
        <w:tabs>
          <w:tab w:leader="none" w:pos="8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The Company spent $248 million on acquisitions of traditional solid waste businesses during the first quarter of 2018.</w:t>
      </w:r>
    </w:p>
    <w:p>
      <w:pPr>
        <w:sectPr>
          <w:pgSz w:w="11900" w:h="16838" w:orient="portrait"/>
          <w:cols w:equalWidth="0" w:num="1">
            <w:col w:w="11420"/>
          </w:cols>
          <w:pgMar w:left="240" w:top="105" w:right="239" w:bottom="0" w:gutter="0" w:footer="0" w:header="0"/>
          <w:type w:val="continuous"/>
        </w:sectPr>
      </w:pPr>
    </w:p>
    <w:bookmarkStart w:id="3" w:name="page4"/>
    <w:bookmarkEnd w:id="3"/>
    <w:p>
      <w:pPr>
        <w:ind w:left="820"/>
        <w:spacing w:after="0"/>
        <w:rPr>
          <w:sz w:val="20"/>
          <w:szCs w:val="20"/>
          <w:color w:val="auto"/>
        </w:rPr>
      </w:pPr>
      <w:r>
        <w:rPr>
          <w:rFonts w:ascii="Arial" w:cs="Arial" w:eastAsia="Arial" w:hAnsi="Arial"/>
          <w:sz w:val="18"/>
          <w:szCs w:val="18"/>
          <w:b w:val="1"/>
          <w:bCs w:val="1"/>
          <w:u w:val="single" w:color="auto"/>
          <w:color w:val="57584F"/>
        </w:rPr>
        <w:t>Taxes</w:t>
      </w:r>
    </w:p>
    <w:p>
      <w:pPr>
        <w:spacing w:after="0" w:line="138" w:lineRule="exact"/>
        <w:rPr>
          <w:sz w:val="20"/>
          <w:szCs w:val="20"/>
          <w:color w:val="auto"/>
        </w:rPr>
      </w:pPr>
    </w:p>
    <w:p>
      <w:pPr>
        <w:jc w:val="both"/>
        <w:ind w:left="820" w:right="1059" w:hanging="407"/>
        <w:spacing w:after="0"/>
        <w:tabs>
          <w:tab w:leader="none" w:pos="820"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Company’s effective tax rate for the first quarter of 2018 was approximately 23%. The Company expects its 2018 full-year tax rate to be between 24% and 25%, which is lower than previous expectations due to additional clarity on the impacts of tax reform.</w:t>
      </w:r>
    </w:p>
    <w:p>
      <w:pPr>
        <w:spacing w:after="0" w:line="216" w:lineRule="exact"/>
        <w:rPr>
          <w:sz w:val="20"/>
          <w:szCs w:val="20"/>
          <w:color w:val="auto"/>
        </w:rPr>
      </w:pPr>
    </w:p>
    <w:p>
      <w:pPr>
        <w:jc w:val="both"/>
        <w:ind w:right="1059"/>
        <w:spacing w:after="0" w:line="238" w:lineRule="auto"/>
        <w:rPr>
          <w:sz w:val="20"/>
          <w:szCs w:val="20"/>
          <w:color w:val="auto"/>
        </w:rPr>
      </w:pPr>
      <w:r>
        <w:rPr>
          <w:rFonts w:ascii="Arial" w:cs="Arial" w:eastAsia="Arial" w:hAnsi="Arial"/>
          <w:sz w:val="18"/>
          <w:szCs w:val="18"/>
          <w:color w:val="57584F"/>
        </w:rPr>
        <w:t>Fish concluded, “2018 is off to a very good start for us and the results give us confidence that we are on track to achieve our full-year 2018 guidance of adjusted earnings per diluted share of between $ 3.97 and $4.05 and free cash flow of between $1.95 and $2.05 billion.</w:t>
      </w:r>
      <w:r>
        <w:rPr>
          <w:rFonts w:ascii="Arial" w:cs="Arial" w:eastAsia="Arial" w:hAnsi="Arial"/>
          <w:sz w:val="18"/>
          <w:szCs w:val="18"/>
          <w:color w:val="57584F"/>
          <w:vertAlign w:val="superscript"/>
        </w:rPr>
        <w:t>(b)</w:t>
      </w:r>
      <w:r>
        <w:rPr>
          <w:rFonts w:ascii="Arial" w:cs="Arial" w:eastAsia="Arial" w:hAnsi="Arial"/>
          <w:sz w:val="18"/>
          <w:szCs w:val="18"/>
          <w:color w:val="57584F"/>
        </w:rPr>
        <w:t xml:space="preserve"> Our employees have continued to deliver strong performance and are focused on delivering exceptional customer service, growing profitable volumes, and improving our cost structure to produce another successful year for Waste Management.”</w:t>
      </w:r>
    </w:p>
    <w:p>
      <w:pPr>
        <w:spacing w:after="0" w:line="262" w:lineRule="exact"/>
        <w:rPr>
          <w:sz w:val="20"/>
          <w:szCs w:val="20"/>
          <w:color w:val="auto"/>
        </w:rPr>
      </w:pPr>
    </w:p>
    <w:p>
      <w:pPr>
        <w:ind w:left="820" w:right="1059" w:hanging="407"/>
        <w:spacing w:after="0" w:line="258" w:lineRule="auto"/>
        <w:tabs>
          <w:tab w:leader="none" w:pos="82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For purposes of this press release, all references to “Net income” refer to the financial statement line item “Net income attributable to Waste Management, Inc.”</w:t>
      </w:r>
    </w:p>
    <w:p>
      <w:pPr>
        <w:spacing w:after="0" w:line="207" w:lineRule="exact"/>
        <w:rPr>
          <w:rFonts w:ascii="Arial" w:cs="Arial" w:eastAsia="Arial" w:hAnsi="Arial"/>
          <w:sz w:val="14"/>
          <w:szCs w:val="14"/>
          <w:color w:val="57584F"/>
        </w:rPr>
      </w:pPr>
    </w:p>
    <w:p>
      <w:pPr>
        <w:ind w:left="820" w:right="1059" w:hanging="407"/>
        <w:spacing w:after="0" w:line="258" w:lineRule="auto"/>
        <w:tabs>
          <w:tab w:leader="none" w:pos="82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Adjusted earnings per diluted share, adjusted net income, and free cash flow are non-GAAP measures. Please see “Non-GAAP Financial Measures” below and the reconciliations in the accompanying schedules for more information.</w:t>
      </w:r>
    </w:p>
    <w:p>
      <w:pPr>
        <w:spacing w:after="0" w:line="207" w:lineRule="exact"/>
        <w:rPr>
          <w:rFonts w:ascii="Arial" w:cs="Arial" w:eastAsia="Arial" w:hAnsi="Arial"/>
          <w:sz w:val="14"/>
          <w:szCs w:val="14"/>
          <w:color w:val="57584F"/>
        </w:rPr>
      </w:pPr>
    </w:p>
    <w:p>
      <w:pPr>
        <w:ind w:left="820" w:right="1059" w:hanging="407"/>
        <w:spacing w:after="0" w:line="258" w:lineRule="auto"/>
        <w:tabs>
          <w:tab w:leader="none" w:pos="82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Management defines operating EBITDA as GAAP income from operations before depreciation and amortization; this measure may not be comparable to similarly-titled measures reported by other companies.</w:t>
      </w:r>
    </w:p>
    <w:p>
      <w:pPr>
        <w:spacing w:after="0" w:line="207" w:lineRule="exact"/>
        <w:rPr>
          <w:rFonts w:ascii="Arial" w:cs="Arial" w:eastAsia="Arial" w:hAnsi="Arial"/>
          <w:sz w:val="14"/>
          <w:szCs w:val="14"/>
          <w:color w:val="57584F"/>
        </w:rPr>
      </w:pPr>
    </w:p>
    <w:p>
      <w:pPr>
        <w:jc w:val="both"/>
        <w:ind w:left="820" w:right="1059" w:hanging="407"/>
        <w:spacing w:after="0" w:line="247" w:lineRule="auto"/>
        <w:tabs>
          <w:tab w:leader="none" w:pos="82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039"/>
        <w:spacing w:after="0"/>
        <w:rPr>
          <w:sz w:val="20"/>
          <w:szCs w:val="20"/>
          <w:color w:val="auto"/>
        </w:rPr>
      </w:pPr>
      <w:r>
        <w:rPr>
          <w:rFonts w:ascii="Arial" w:cs="Arial" w:eastAsia="Arial" w:hAnsi="Arial"/>
          <w:sz w:val="18"/>
          <w:szCs w:val="18"/>
          <w:color w:val="57584F"/>
        </w:rPr>
        <w:t>The Company will host a conference call at 10:00 AM (Eastern) today to discuss the first quarter results. Information contained within this press release will be referenced and should be considered in conjunction with the call.</w:t>
      </w:r>
    </w:p>
    <w:p>
      <w:pPr>
        <w:spacing w:after="0" w:line="189" w:lineRule="exact"/>
        <w:rPr>
          <w:sz w:val="20"/>
          <w:szCs w:val="20"/>
          <w:color w:val="auto"/>
        </w:rPr>
      </w:pPr>
    </w:p>
    <w:p>
      <w:pPr>
        <w:jc w:val="both"/>
        <w:ind w:right="1039"/>
        <w:spacing w:after="0" w:line="239" w:lineRule="auto"/>
        <w:rPr>
          <w:sz w:val="20"/>
          <w:szCs w:val="20"/>
          <w:color w:val="auto"/>
        </w:rPr>
      </w:pPr>
      <w:r>
        <w:rPr>
          <w:rFonts w:ascii="Arial" w:cs="Arial" w:eastAsia="Arial" w:hAnsi="Arial"/>
          <w:sz w:val="18"/>
          <w:szCs w:val="18"/>
          <w:color w:val="57584F"/>
        </w:rPr>
        <w:t xml:space="preserve">The conference call will be webcast live from the Investor Relations section of Waste Management’s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To access the conference call by telephone, please dial (877) 710-6139 approximately 10 minutes</w:t>
      </w:r>
      <w:r>
        <w:rPr>
          <w:rFonts w:ascii="Arial" w:cs="Arial" w:eastAsia="Arial" w:hAnsi="Arial"/>
          <w:sz w:val="18"/>
          <w:szCs w:val="18"/>
          <w:color w:val="0000FF"/>
        </w:rPr>
        <w:t xml:space="preserve"> </w:t>
      </w:r>
      <w:r>
        <w:rPr>
          <w:rFonts w:ascii="Arial" w:cs="Arial" w:eastAsia="Arial" w:hAnsi="Arial"/>
          <w:sz w:val="18"/>
          <w:szCs w:val="18"/>
          <w:color w:val="57584F"/>
        </w:rPr>
        <w:t>prior to the scheduled start of the call. If you are calling from outside of the United States or Canada, please dial (706) 643-7398. Please utilize conference ID number 3888516 when prompted by the conference call operator.</w:t>
      </w:r>
    </w:p>
    <w:p>
      <w:pPr>
        <w:spacing w:after="0" w:line="188" w:lineRule="exact"/>
        <w:rPr>
          <w:sz w:val="20"/>
          <w:szCs w:val="20"/>
          <w:color w:val="auto"/>
        </w:rPr>
      </w:pPr>
    </w:p>
    <w:p>
      <w:pPr>
        <w:jc w:val="both"/>
        <w:ind w:right="1039"/>
        <w:spacing w:after="0" w:line="239" w:lineRule="auto"/>
        <w:rPr>
          <w:sz w:val="20"/>
          <w:szCs w:val="20"/>
          <w:color w:val="auto"/>
        </w:rPr>
      </w:pPr>
      <w:r>
        <w:rPr>
          <w:rFonts w:ascii="Arial" w:cs="Arial" w:eastAsia="Arial" w:hAnsi="Arial"/>
          <w:sz w:val="18"/>
          <w:szCs w:val="18"/>
          <w:color w:val="57584F"/>
        </w:rPr>
        <w:t xml:space="preserve">A replay of the conference call will be available on the Company’s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xml:space="preserve"> and by telephone from approximately 1:00 PM (Eastern) today through 5:00 PM (Eastern) on Friday, May 4, 2018. To access the replay telephonically, please dial (855) 859-2056, or from outside of the United States or Canada dial (404) 537-3406, and use the replay conference ID number 3888516.</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1039"/>
        <w:spacing w:after="0" w:line="237"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595959"/>
        </w:rPr>
        <w:t>www.wm.com</w:t>
      </w:r>
      <w:r>
        <w:rPr>
          <w:rFonts w:ascii="Arial" w:cs="Arial" w:eastAsia="Arial" w:hAnsi="Arial"/>
          <w:sz w:val="18"/>
          <w:szCs w:val="18"/>
          <w:color w:val="595959"/>
        </w:rPr>
        <w:t xml:space="preserve"> or </w:t>
      </w:r>
      <w:r>
        <w:rPr>
          <w:rFonts w:ascii="Arial" w:cs="Arial" w:eastAsia="Arial" w:hAnsi="Arial"/>
          <w:sz w:val="18"/>
          <w:szCs w:val="18"/>
          <w:u w:val="single" w:color="auto"/>
          <w:color w:val="0000FF"/>
        </w:rPr>
        <w:t>www.thinkgreen.com</w:t>
      </w:r>
      <w:r>
        <w:rPr>
          <w:rFonts w:ascii="Arial" w:cs="Arial" w:eastAsia="Arial" w:hAnsi="Arial"/>
          <w:sz w:val="18"/>
          <w:szCs w:val="18"/>
          <w:color w:val="595959"/>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 w:lineRule="exact"/>
        <w:rPr>
          <w:sz w:val="20"/>
          <w:szCs w:val="20"/>
          <w:color w:val="auto"/>
        </w:rPr>
      </w:pPr>
    </w:p>
    <w:p>
      <w:pPr>
        <w:jc w:val="both"/>
        <w:ind w:right="1039"/>
        <w:spacing w:after="0" w:line="235" w:lineRule="auto"/>
        <w:rPr>
          <w:sz w:val="20"/>
          <w:szCs w:val="20"/>
          <w:color w:val="auto"/>
        </w:rPr>
      </w:pPr>
      <w:r>
        <w:rPr>
          <w:rFonts w:ascii="Arial" w:cs="Arial" w:eastAsia="Arial" w:hAnsi="Arial"/>
          <w:sz w:val="18"/>
          <w:szCs w:val="18"/>
          <w:color w:val="57584F"/>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2018 earnings per diluted share; 2018 free cash flow; 2018 tax rate; growth of profitable volumes; improving cost structure; future strong performance, results and business success and ability of our recycling line of business to overcome challenges.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international trade restrictions;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 w:lineRule="exact"/>
        <w:rPr>
          <w:sz w:val="20"/>
          <w:szCs w:val="20"/>
          <w:color w:val="auto"/>
        </w:rPr>
      </w:pPr>
    </w:p>
    <w:p>
      <w:pPr>
        <w:jc w:val="both"/>
        <w:ind w:right="1039"/>
        <w:spacing w:after="0" w:line="239" w:lineRule="auto"/>
        <w:rPr>
          <w:sz w:val="20"/>
          <w:szCs w:val="20"/>
          <w:color w:val="auto"/>
        </w:rPr>
      </w:pPr>
      <w:r>
        <w:rPr>
          <w:rFonts w:ascii="Arial" w:cs="Arial" w:eastAsia="Arial" w:hAnsi="Arial"/>
          <w:sz w:val="18"/>
          <w:szCs w:val="18"/>
          <w:color w:val="57584F"/>
        </w:rPr>
        <w:t>To supplement its financial information, the Company, in some instances, has presented adjusted earnings per diluted share, adjusted net income and free cash flow, and has also presented projections of adjusted earnings per diluted share and free cash flow; these are non-GAAP financial measures, as defined in Regulation G of the Securities Exchange Act of 1934, as amended. The Company reports its financial results in compliance with GAAP</w:t>
      </w:r>
    </w:p>
    <w:p>
      <w:pPr>
        <w:sectPr>
          <w:pgSz w:w="11900" w:h="16838" w:orient="portrait"/>
          <w:cols w:equalWidth="0" w:num="1">
            <w:col w:w="10219"/>
          </w:cols>
          <w:pgMar w:left="240" w:top="118" w:right="1440" w:bottom="0" w:gutter="0" w:footer="0" w:header="0"/>
        </w:sectPr>
      </w:pPr>
    </w:p>
    <w:bookmarkStart w:id="4" w:name="page5"/>
    <w:bookmarkEnd w:id="4"/>
    <w:p>
      <w:pPr>
        <w:jc w:val="both"/>
        <w:ind w:right="2240"/>
        <w:spacing w:after="0" w:line="238" w:lineRule="auto"/>
        <w:rPr>
          <w:sz w:val="20"/>
          <w:szCs w:val="20"/>
          <w:color w:val="auto"/>
        </w:rPr>
      </w:pPr>
      <w:r>
        <w:rPr>
          <w:rFonts w:ascii="Arial" w:cs="Arial" w:eastAsia="Arial" w:hAnsi="Arial"/>
          <w:sz w:val="18"/>
          <w:szCs w:val="18"/>
          <w:color w:val="57584F"/>
        </w:rPr>
        <w:t>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w:t>
      </w:r>
    </w:p>
    <w:p>
      <w:pPr>
        <w:spacing w:after="0" w:line="191" w:lineRule="exact"/>
        <w:rPr>
          <w:sz w:val="20"/>
          <w:szCs w:val="20"/>
          <w:color w:val="auto"/>
        </w:rPr>
      </w:pPr>
    </w:p>
    <w:p>
      <w:pPr>
        <w:jc w:val="both"/>
        <w:ind w:right="2240"/>
        <w:spacing w:after="0"/>
        <w:rPr>
          <w:sz w:val="20"/>
          <w:szCs w:val="20"/>
          <w:color w:val="auto"/>
        </w:rPr>
      </w:pPr>
      <w:r>
        <w:rPr>
          <w:rFonts w:ascii="Arial" w:cs="Arial" w:eastAsia="Arial" w:hAnsi="Arial"/>
          <w:sz w:val="18"/>
          <w:szCs w:val="18"/>
          <w:color w:val="57584F"/>
        </w:rPr>
        <w:t>The Company’s projected full year 2018 earnings per diluted share are anticipated to exclude the effects of events or circumstances in 2018 that are not representative or indicative of the Company’s results of operations. Such excluded items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full-year earnings per diluted share to the comparable GAAP measures.</w:t>
      </w:r>
    </w:p>
    <w:p>
      <w:pPr>
        <w:spacing w:after="0" w:line="379" w:lineRule="exact"/>
        <w:rPr>
          <w:sz w:val="20"/>
          <w:szCs w:val="20"/>
          <w:color w:val="auto"/>
        </w:rPr>
      </w:pPr>
    </w:p>
    <w:p>
      <w:pPr>
        <w:jc w:val="both"/>
        <w:ind w:right="2240"/>
        <w:spacing w:after="0" w:line="236" w:lineRule="auto"/>
        <w:rPr>
          <w:sz w:val="20"/>
          <w:szCs w:val="20"/>
          <w:color w:val="auto"/>
        </w:rPr>
      </w:pPr>
      <w:r>
        <w:rPr>
          <w:rFonts w:ascii="Arial" w:cs="Arial" w:eastAsia="Arial" w:hAnsi="Arial"/>
          <w:sz w:val="18"/>
          <w:szCs w:val="18"/>
          <w:color w:val="57584F"/>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93" w:lineRule="exact"/>
        <w:rPr>
          <w:sz w:val="20"/>
          <w:szCs w:val="20"/>
          <w:color w:val="auto"/>
        </w:rPr>
      </w:pPr>
    </w:p>
    <w:p>
      <w:pPr>
        <w:jc w:val="both"/>
        <w:ind w:right="2240"/>
        <w:spacing w:after="0"/>
        <w:rPr>
          <w:sz w:val="20"/>
          <w:szCs w:val="20"/>
          <w:color w:val="auto"/>
        </w:rPr>
      </w:pPr>
      <w:r>
        <w:rPr>
          <w:rFonts w:ascii="Arial" w:cs="Arial" w:eastAsia="Arial" w:hAnsi="Arial"/>
          <w:sz w:val="18"/>
          <w:szCs w:val="18"/>
          <w:color w:val="57584F"/>
        </w:rPr>
        <w:t>The quantitative reconciliations of non-GAAP measures used herein to the most comparable GAAP measures are included in the accompanying schedules, with the exception of projected earnings per diluted share. Non-GAAP measures should not be considered a substitute for financial measures presented in accordance with GAAP.</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Waste Management,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Millions, Except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280" w:type="dxa"/>
            <w:vAlign w:val="bottom"/>
          </w:tcPr>
          <w:p>
            <w:pPr>
              <w:spacing w:after="0"/>
              <w:rPr>
                <w:sz w:val="20"/>
                <w:szCs w:val="20"/>
                <w:color w:val="auto"/>
              </w:rPr>
            </w:pPr>
            <w:r>
              <w:rPr>
                <w:rFonts w:ascii="Arial" w:cs="Arial" w:eastAsia="Arial" w:hAnsi="Arial"/>
                <w:sz w:val="18"/>
                <w:szCs w:val="18"/>
                <w:color w:val="auto"/>
              </w:rPr>
              <w:t>Operating revenues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3,511</w:t>
            </w:r>
          </w:p>
        </w:tc>
        <w:tc>
          <w:tcPr>
            <w:tcW w:w="38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8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Operating</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2,184</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Net gain from divestitures</w:t>
            </w:r>
          </w:p>
        </w:tc>
        <w:tc>
          <w:tcPr>
            <w:tcW w:w="34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82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3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Equity in net losses of unconsolidated entities</w:t>
            </w:r>
          </w:p>
        </w:tc>
        <w:tc>
          <w:tcPr>
            <w:tcW w:w="34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8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34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395</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297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34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3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380" w:type="dxa"/>
            <w:vAlign w:val="bottom"/>
          </w:tcPr>
          <w:p>
            <w:pPr>
              <w:spacing w:after="0"/>
              <w:rPr>
                <w:sz w:val="24"/>
                <w:szCs w:val="24"/>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380" w:type="dxa"/>
            <w:vAlign w:val="bottom"/>
          </w:tcPr>
          <w:p>
            <w:pPr>
              <w:spacing w:after="0"/>
              <w:rPr>
                <w:sz w:val="24"/>
                <w:szCs w:val="24"/>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80" w:type="dxa"/>
            <w:vAlign w:val="bottom"/>
          </w:tcPr>
          <w:p>
            <w:pPr>
              <w:spacing w:after="0"/>
              <w:rPr>
                <w:sz w:val="20"/>
                <w:szCs w:val="20"/>
                <w:color w:val="auto"/>
              </w:rPr>
            </w:pPr>
            <w:r>
              <w:rPr>
                <w:rFonts w:ascii="Arial" w:cs="Arial" w:eastAsia="Arial" w:hAnsi="Arial"/>
                <w:sz w:val="18"/>
                <w:szCs w:val="18"/>
                <w:color w:val="auto"/>
              </w:rPr>
              <w:t>Basic common shares outstanding</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80" w:type="dxa"/>
            <w:vAlign w:val="bottom"/>
          </w:tcPr>
          <w:p>
            <w:pPr>
              <w:spacing w:after="0"/>
              <w:rPr>
                <w:sz w:val="20"/>
                <w:szCs w:val="20"/>
                <w:color w:val="auto"/>
              </w:rPr>
            </w:pPr>
            <w:r>
              <w:rPr>
                <w:rFonts w:ascii="Arial" w:cs="Arial" w:eastAsia="Arial" w:hAnsi="Arial"/>
                <w:sz w:val="18"/>
                <w:szCs w:val="18"/>
                <w:color w:val="auto"/>
              </w:rPr>
              <w:t>Diluted common shares outstanding</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8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0.465</w:t>
            </w:r>
          </w:p>
        </w:tc>
        <w:tc>
          <w:tcPr>
            <w:tcW w:w="380" w:type="dxa"/>
            <w:vAlign w:val="bottom"/>
          </w:tcPr>
          <w:p>
            <w:pPr>
              <w:spacing w:after="0"/>
              <w:rPr>
                <w:sz w:val="24"/>
                <w:szCs w:val="24"/>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5" w:name="page6"/>
    <w:bookmarkEnd w:id="5"/>
    <w:p>
      <w:pPr>
        <w:spacing w:after="0" w:line="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Waste Management,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Millions)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11,637</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3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310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22,106</w:t>
            </w:r>
          </w:p>
        </w:tc>
        <w:tc>
          <w:tcPr>
            <w:tcW w:w="400" w:type="dxa"/>
            <w:vAlign w:val="bottom"/>
          </w:tcPr>
          <w:p>
            <w:pPr>
              <w:spacing w:after="0"/>
              <w:rPr>
                <w:sz w:val="18"/>
                <w:szCs w:val="18"/>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80" w:type="dxa"/>
            <w:vAlign w:val="bottom"/>
          </w:tcPr>
          <w:p>
            <w:pPr>
              <w:spacing w:after="0"/>
              <w:rPr>
                <w:sz w:val="20"/>
                <w:szCs w:val="20"/>
                <w:color w:val="auto"/>
              </w:rPr>
            </w:pPr>
            <w:r>
              <w:rPr>
                <w:rFonts w:ascii="Arial" w:cs="Arial" w:eastAsia="Arial" w:hAnsi="Arial"/>
                <w:sz w:val="18"/>
                <w:szCs w:val="18"/>
                <w:color w:val="auto"/>
              </w:rPr>
              <w:t>Current liabilities:</w:t>
            </w: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2,317</w:t>
            </w:r>
          </w:p>
        </w:tc>
        <w:tc>
          <w:tcPr>
            <w:tcW w:w="40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8,901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3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16,041</w:t>
            </w: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180" w:type="dxa"/>
            <w:vAlign w:val="bottom"/>
          </w:tcPr>
          <w:p>
            <w:pPr>
              <w:spacing w:after="0"/>
              <w:rPr>
                <w:sz w:val="20"/>
                <w:szCs w:val="20"/>
                <w:color w:val="auto"/>
              </w:rPr>
            </w:pPr>
            <w:r>
              <w:rPr>
                <w:rFonts w:ascii="Arial" w:cs="Arial" w:eastAsia="Arial" w:hAnsi="Arial"/>
                <w:sz w:val="18"/>
                <w:szCs w:val="18"/>
                <w:color w:val="auto"/>
              </w:rPr>
              <w:t>Equity:</w:t>
            </w: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Waste Management, Inc. stockholders’ equity</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3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540"/>
              <w:spacing w:after="0"/>
              <w:rPr>
                <w:sz w:val="20"/>
                <w:szCs w:val="20"/>
                <w:color w:val="auto"/>
              </w:rPr>
            </w:pPr>
            <w:r>
              <w:rPr>
                <w:rFonts w:ascii="Arial" w:cs="Arial" w:eastAsia="Arial" w:hAnsi="Arial"/>
                <w:sz w:val="18"/>
                <w:szCs w:val="18"/>
                <w:color w:val="auto"/>
              </w:rPr>
              <w:t>Total equity</w:t>
            </w:r>
          </w:p>
        </w:tc>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310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22,106</w:t>
            </w:r>
          </w:p>
        </w:tc>
        <w:tc>
          <w:tcPr>
            <w:tcW w:w="400" w:type="dxa"/>
            <w:vAlign w:val="bottom"/>
          </w:tcPr>
          <w:p>
            <w:pPr>
              <w:spacing w:after="0"/>
              <w:rPr>
                <w:sz w:val="18"/>
                <w:szCs w:val="18"/>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100" w:type="dxa"/>
            <w:vAlign w:val="bottom"/>
            <w:vMerge w:val="restart"/>
          </w:tcPr>
          <w:p>
            <w:pPr>
              <w:jc w:val="right"/>
              <w:ind w:right="243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8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Waste Management, Inc.</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(In Millions)</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80" w:type="dxa"/>
            <w:vAlign w:val="bottom"/>
          </w:tcPr>
          <w:p>
            <w:pPr>
              <w:spacing w:after="0"/>
              <w:rPr>
                <w:sz w:val="19"/>
                <w:szCs w:val="19"/>
                <w:color w:val="auto"/>
              </w:rPr>
            </w:pPr>
          </w:p>
        </w:tc>
        <w:tc>
          <w:tcPr>
            <w:tcW w:w="2840" w:type="dxa"/>
            <w:vAlign w:val="bottom"/>
            <w:gridSpan w:val="4"/>
          </w:tcPr>
          <w:p>
            <w:pPr>
              <w:jc w:val="center"/>
              <w:ind w:left="395"/>
              <w:spacing w:after="0"/>
              <w:rPr>
                <w:sz w:val="20"/>
                <w:szCs w:val="20"/>
                <w:color w:val="auto"/>
              </w:rPr>
            </w:pPr>
            <w:r>
              <w:rPr>
                <w:rFonts w:ascii="Arial" w:cs="Arial" w:eastAsia="Arial" w:hAnsi="Arial"/>
                <w:sz w:val="17"/>
                <w:szCs w:val="17"/>
                <w:b w:val="1"/>
                <w:bCs w:val="1"/>
                <w:color w:val="auto"/>
                <w:w w:val="92"/>
              </w:rPr>
              <w:t>Three Months Ended</w:t>
            </w:r>
          </w:p>
        </w:tc>
        <w:tc>
          <w:tcPr>
            <w:tcW w:w="500" w:type="dxa"/>
            <w:vAlign w:val="bottom"/>
          </w:tcPr>
          <w:p>
            <w:pPr>
              <w:spacing w:after="0"/>
              <w:rPr>
                <w:sz w:val="19"/>
                <w:szCs w:val="19"/>
                <w:color w:val="auto"/>
              </w:rPr>
            </w:pPr>
          </w:p>
        </w:tc>
      </w:tr>
      <w:tr>
        <w:trPr>
          <w:trHeight w:val="245"/>
        </w:trPr>
        <w:tc>
          <w:tcPr>
            <w:tcW w:w="80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395"/>
              <w:spacing w:after="0"/>
              <w:rPr>
                <w:sz w:val="20"/>
                <w:szCs w:val="20"/>
                <w:color w:val="auto"/>
              </w:rPr>
            </w:pPr>
            <w:r>
              <w:rPr>
                <w:rFonts w:ascii="Arial" w:cs="Arial" w:eastAsia="Arial" w:hAnsi="Arial"/>
                <w:sz w:val="17"/>
                <w:szCs w:val="17"/>
                <w:b w:val="1"/>
                <w:bCs w:val="1"/>
                <w:color w:val="auto"/>
                <w:w w:val="94"/>
              </w:rPr>
              <w:t>March 31,</w:t>
            </w:r>
          </w:p>
        </w:tc>
        <w:tc>
          <w:tcPr>
            <w:tcW w:w="500" w:type="dxa"/>
            <w:vAlign w:val="bottom"/>
            <w:tcBorders>
              <w:bottom w:val="single" w:sz="8" w:color="auto"/>
            </w:tcBorders>
          </w:tcPr>
          <w:p>
            <w:pPr>
              <w:spacing w:after="0"/>
              <w:rPr>
                <w:sz w:val="21"/>
                <w:szCs w:val="21"/>
                <w:color w:val="auto"/>
              </w:rPr>
            </w:pPr>
          </w:p>
        </w:tc>
      </w:tr>
      <w:tr>
        <w:trPr>
          <w:trHeight w:val="198"/>
        </w:trPr>
        <w:tc>
          <w:tcPr>
            <w:tcW w:w="80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00" w:type="dxa"/>
            <w:vAlign w:val="bottom"/>
            <w:tcBorders>
              <w:bottom w:val="single" w:sz="8" w:color="auto"/>
            </w:tcBorders>
          </w:tcPr>
          <w:p>
            <w:pPr>
              <w:spacing w:after="0"/>
              <w:rPr>
                <w:sz w:val="17"/>
                <w:szCs w:val="17"/>
                <w:color w:val="auto"/>
              </w:rPr>
            </w:pPr>
          </w:p>
        </w:tc>
      </w:tr>
      <w:tr>
        <w:trPr>
          <w:trHeight w:val="381"/>
        </w:trPr>
        <w:tc>
          <w:tcPr>
            <w:tcW w:w="808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Consolidated net income</w:t>
            </w:r>
          </w:p>
        </w:tc>
        <w:tc>
          <w:tcPr>
            <w:tcW w:w="980" w:type="dxa"/>
            <w:vAlign w:val="bottom"/>
          </w:tcPr>
          <w:p>
            <w:pPr>
              <w:jc w:val="right"/>
              <w:ind w:right="7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395</w:t>
            </w:r>
          </w:p>
        </w:tc>
        <w:tc>
          <w:tcPr>
            <w:tcW w:w="400" w:type="dxa"/>
            <w:vAlign w:val="bottom"/>
          </w:tcPr>
          <w:p>
            <w:pPr>
              <w:spacing w:after="0"/>
              <w:rPr>
                <w:sz w:val="17"/>
                <w:szCs w:val="17"/>
                <w:color w:val="auto"/>
              </w:rPr>
            </w:pPr>
          </w:p>
        </w:tc>
        <w:tc>
          <w:tcPr>
            <w:tcW w:w="96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297</w:t>
            </w: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Adjustments to reconcile consolidated net income to net cash provided by operating activities:</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8080" w:type="dxa"/>
            <w:vAlign w:val="bottom"/>
          </w:tcPr>
          <w:p>
            <w:pPr>
              <w:ind w:left="600"/>
              <w:spacing w:after="0"/>
              <w:rPr>
                <w:sz w:val="20"/>
                <w:szCs w:val="20"/>
                <w:color w:val="auto"/>
              </w:rPr>
            </w:pPr>
            <w:r>
              <w:rPr>
                <w:rFonts w:ascii="Arial" w:cs="Arial" w:eastAsia="Arial" w:hAnsi="Arial"/>
                <w:sz w:val="17"/>
                <w:szCs w:val="17"/>
                <w:color w:val="auto"/>
              </w:rPr>
              <w:t>Depreciation and amortization</w:t>
            </w:r>
          </w:p>
        </w:tc>
        <w:tc>
          <w:tcPr>
            <w:tcW w:w="980" w:type="dxa"/>
            <w:vAlign w:val="bottom"/>
          </w:tcPr>
          <w:p>
            <w:pPr>
              <w:spacing w:after="0"/>
              <w:rPr>
                <w:sz w:val="17"/>
                <w:szCs w:val="17"/>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347</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328</w:t>
            </w:r>
          </w:p>
        </w:tc>
      </w:tr>
      <w:tr>
        <w:trPr>
          <w:trHeight w:val="203"/>
        </w:trPr>
        <w:tc>
          <w:tcPr>
            <w:tcW w:w="8080" w:type="dxa"/>
            <w:vAlign w:val="bottom"/>
          </w:tcPr>
          <w:p>
            <w:pPr>
              <w:ind w:left="600"/>
              <w:spacing w:after="0"/>
              <w:rPr>
                <w:sz w:val="20"/>
                <w:szCs w:val="20"/>
                <w:color w:val="auto"/>
              </w:rPr>
            </w:pPr>
            <w:r>
              <w:rPr>
                <w:rFonts w:ascii="Arial" w:cs="Arial" w:eastAsia="Arial" w:hAnsi="Arial"/>
                <w:sz w:val="17"/>
                <w:szCs w:val="17"/>
                <w:color w:val="auto"/>
              </w:rPr>
              <w:t>Other</w:t>
            </w:r>
          </w:p>
        </w:tc>
        <w:tc>
          <w:tcPr>
            <w:tcW w:w="980" w:type="dxa"/>
            <w:vAlign w:val="bottom"/>
          </w:tcPr>
          <w:p>
            <w:pPr>
              <w:spacing w:after="0"/>
              <w:rPr>
                <w:sz w:val="17"/>
                <w:szCs w:val="17"/>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42</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131</w:t>
            </w:r>
          </w:p>
        </w:tc>
      </w:tr>
      <w:tr>
        <w:trPr>
          <w:trHeight w:val="214"/>
        </w:trPr>
        <w:tc>
          <w:tcPr>
            <w:tcW w:w="8080" w:type="dxa"/>
            <w:vAlign w:val="bottom"/>
          </w:tcPr>
          <w:p>
            <w:pPr>
              <w:ind w:left="60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w:t>
            </w:r>
          </w:p>
        </w:tc>
        <w:tc>
          <w:tcPr>
            <w:tcW w:w="4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03"/>
        </w:trPr>
        <w:tc>
          <w:tcPr>
            <w:tcW w:w="8080" w:type="dxa"/>
            <w:vAlign w:val="bottom"/>
          </w:tcPr>
          <w:p>
            <w:pPr>
              <w:spacing w:after="0" w:line="185" w:lineRule="exact"/>
              <w:rPr>
                <w:sz w:val="20"/>
                <w:szCs w:val="20"/>
                <w:color w:val="auto"/>
              </w:rPr>
            </w:pPr>
            <w:r>
              <w:rPr>
                <w:rFonts w:ascii="Arial" w:cs="Arial" w:eastAsia="Arial" w:hAnsi="Arial"/>
                <w:sz w:val="17"/>
                <w:szCs w:val="17"/>
                <w:color w:val="auto"/>
              </w:rPr>
              <w:t>Net cash provided by operating activities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809</w:t>
            </w:r>
          </w:p>
        </w:tc>
        <w:tc>
          <w:tcPr>
            <w:tcW w:w="4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722</w:t>
            </w:r>
          </w:p>
        </w:tc>
      </w:tr>
      <w:tr>
        <w:trPr>
          <w:trHeight w:val="381"/>
        </w:trPr>
        <w:tc>
          <w:tcPr>
            <w:tcW w:w="80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Acquisitions of businesses, net of cash acquired</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(246)</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Capital expenditures</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(400)</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(332)</w:t>
            </w: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980" w:type="dxa"/>
            <w:vAlign w:val="bottom"/>
          </w:tcPr>
          <w:p>
            <w:pPr>
              <w:spacing w:after="0"/>
              <w:rPr>
                <w:sz w:val="17"/>
                <w:szCs w:val="17"/>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14</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214"/>
        </w:trPr>
        <w:tc>
          <w:tcPr>
            <w:tcW w:w="8080" w:type="dxa"/>
            <w:vAlign w:val="bottom"/>
          </w:tcPr>
          <w:p>
            <w:pPr>
              <w:ind w:left="260"/>
              <w:spacing w:after="0"/>
              <w:rPr>
                <w:sz w:val="20"/>
                <w:szCs w:val="20"/>
                <w:color w:val="auto"/>
              </w:rPr>
            </w:pPr>
            <w:r>
              <w:rPr>
                <w:rFonts w:ascii="Arial" w:cs="Arial" w:eastAsia="Arial" w:hAnsi="Arial"/>
                <w:sz w:val="17"/>
                <w:szCs w:val="17"/>
                <w:color w:val="auto"/>
              </w:rPr>
              <w:t>Other, net</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4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03"/>
        </w:trPr>
        <w:tc>
          <w:tcPr>
            <w:tcW w:w="8080" w:type="dxa"/>
            <w:vAlign w:val="bottom"/>
          </w:tcPr>
          <w:p>
            <w:pPr>
              <w:spacing w:after="0" w:line="185" w:lineRule="exact"/>
              <w:rPr>
                <w:sz w:val="20"/>
                <w:szCs w:val="20"/>
                <w:color w:val="auto"/>
              </w:rPr>
            </w:pPr>
            <w:r>
              <w:rPr>
                <w:rFonts w:ascii="Arial" w:cs="Arial" w:eastAsia="Arial" w:hAnsi="Arial"/>
                <w:sz w:val="17"/>
                <w:szCs w:val="17"/>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4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w:t>
            </w:r>
          </w:p>
        </w:tc>
      </w:tr>
      <w:tr>
        <w:trPr>
          <w:trHeight w:val="381"/>
        </w:trPr>
        <w:tc>
          <w:tcPr>
            <w:tcW w:w="80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New borrowings</w:t>
            </w:r>
          </w:p>
        </w:tc>
        <w:tc>
          <w:tcPr>
            <w:tcW w:w="980" w:type="dxa"/>
            <w:vAlign w:val="bottom"/>
          </w:tcPr>
          <w:p>
            <w:pPr>
              <w:spacing w:after="0"/>
              <w:rPr>
                <w:sz w:val="17"/>
                <w:szCs w:val="17"/>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61</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54</w:t>
            </w:r>
          </w:p>
        </w:tc>
      </w:tr>
      <w:tr>
        <w:trPr>
          <w:trHeight w:val="216"/>
        </w:trPr>
        <w:tc>
          <w:tcPr>
            <w:tcW w:w="8080" w:type="dxa"/>
            <w:vAlign w:val="bottom"/>
          </w:tcPr>
          <w:p>
            <w:pPr>
              <w:ind w:left="260"/>
              <w:spacing w:after="0"/>
              <w:rPr>
                <w:sz w:val="20"/>
                <w:szCs w:val="20"/>
                <w:color w:val="auto"/>
              </w:rPr>
            </w:pPr>
            <w:r>
              <w:rPr>
                <w:rFonts w:ascii="Arial" w:cs="Arial" w:eastAsia="Arial" w:hAnsi="Arial"/>
                <w:sz w:val="17"/>
                <w:szCs w:val="17"/>
                <w:color w:val="auto"/>
              </w:rPr>
              <w:t>Debt repayments</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(80)</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(541)</w:t>
            </w:r>
          </w:p>
        </w:tc>
      </w:tr>
    </w:tbl>
    <w:p>
      <w:pPr>
        <w:sectPr>
          <w:pgSz w:w="11900" w:h="16880" w:orient="portrait"/>
          <w:cols w:equalWidth="0" w:num="1">
            <w:col w:w="11460"/>
          </w:cols>
          <w:pgMar w:left="240" w:top="121" w:right="199" w:bottom="0" w:gutter="0" w:footer="0" w:header="0"/>
        </w:sectPr>
      </w:pPr>
    </w:p>
    <w:bookmarkStart w:id="6" w:name="page7"/>
    <w:bookmarkEnd w:id="6"/>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Net commercial paper borrowings</w:t>
            </w:r>
          </w:p>
        </w:tc>
        <w:tc>
          <w:tcPr>
            <w:tcW w:w="60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471</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Common stock repurchase program</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(250)</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Cash dividends</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(206)</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Exercise of common stock options</w:t>
            </w:r>
          </w:p>
        </w:tc>
        <w:tc>
          <w:tcPr>
            <w:tcW w:w="60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23</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3"/>
        </w:trPr>
        <w:tc>
          <w:tcPr>
            <w:tcW w:w="8080" w:type="dxa"/>
            <w:vAlign w:val="bottom"/>
          </w:tcPr>
          <w:p>
            <w:pPr>
              <w:ind w:left="26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4"/>
        </w:trPr>
        <w:tc>
          <w:tcPr>
            <w:tcW w:w="8080" w:type="dxa"/>
            <w:vAlign w:val="bottom"/>
          </w:tcPr>
          <w:p>
            <w:pPr>
              <w:ind w:left="260"/>
              <w:spacing w:after="0"/>
              <w:rPr>
                <w:sz w:val="20"/>
                <w:szCs w:val="20"/>
                <w:color w:val="auto"/>
              </w:rPr>
            </w:pPr>
            <w:r>
              <w:rPr>
                <w:rFonts w:ascii="Arial" w:cs="Arial" w:eastAsia="Arial" w:hAnsi="Arial"/>
                <w:sz w:val="17"/>
                <w:szCs w:val="17"/>
                <w:color w:val="auto"/>
              </w:rPr>
              <w:t>Other, net</w:t>
            </w: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4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3"/>
        </w:trPr>
        <w:tc>
          <w:tcPr>
            <w:tcW w:w="8080" w:type="dxa"/>
            <w:vAlign w:val="bottom"/>
          </w:tcPr>
          <w:p>
            <w:pPr>
              <w:spacing w:after="0" w:line="185" w:lineRule="exact"/>
              <w:rPr>
                <w:sz w:val="20"/>
                <w:szCs w:val="20"/>
                <w:color w:val="auto"/>
              </w:rPr>
            </w:pPr>
            <w:r>
              <w:rPr>
                <w:rFonts w:ascii="Arial" w:cs="Arial" w:eastAsia="Arial" w:hAnsi="Arial"/>
                <w:sz w:val="17"/>
                <w:szCs w:val="17"/>
                <w:color w:val="auto"/>
              </w:rPr>
              <w:t>Net cash used in financing activities</w:t>
            </w: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4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397"/>
        </w:trPr>
        <w:tc>
          <w:tcPr>
            <w:tcW w:w="8080" w:type="dxa"/>
            <w:vAlign w:val="bottom"/>
          </w:tcPr>
          <w:p>
            <w:pPr>
              <w:spacing w:after="0"/>
              <w:rPr>
                <w:sz w:val="20"/>
                <w:szCs w:val="20"/>
                <w:color w:val="auto"/>
              </w:rPr>
            </w:pPr>
            <w:r>
              <w:rPr>
                <w:rFonts w:ascii="Arial" w:cs="Arial" w:eastAsia="Arial" w:hAnsi="Arial"/>
                <w:sz w:val="17"/>
                <w:szCs w:val="17"/>
                <w:color w:val="auto"/>
              </w:rPr>
              <w:t>Effect of exchange rate changes on cash, cash equivalents and restricted cash and cash equivalents</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97"/>
        </w:trPr>
        <w:tc>
          <w:tcPr>
            <w:tcW w:w="8080" w:type="dxa"/>
            <w:vAlign w:val="bottom"/>
          </w:tcPr>
          <w:p>
            <w:pPr>
              <w:spacing w:after="0"/>
              <w:rPr>
                <w:sz w:val="20"/>
                <w:szCs w:val="20"/>
                <w:color w:val="auto"/>
              </w:rPr>
            </w:pPr>
            <w:r>
              <w:rPr>
                <w:rFonts w:ascii="Arial" w:cs="Arial" w:eastAsia="Arial" w:hAnsi="Arial"/>
                <w:sz w:val="17"/>
                <w:szCs w:val="17"/>
                <w:color w:val="auto"/>
              </w:rPr>
              <w:t>Increase in cash, cash equivalents and restricted cash and cash equivalents</w:t>
            </w:r>
          </w:p>
        </w:tc>
        <w:tc>
          <w:tcPr>
            <w:tcW w:w="6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133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8080" w:type="dxa"/>
            <w:vAlign w:val="bottom"/>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6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293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7"/>
        </w:trPr>
        <w:tc>
          <w:tcPr>
            <w:tcW w:w="8080" w:type="dxa"/>
            <w:vAlign w:val="bottom"/>
            <w:vMerge w:val="restart"/>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6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426</w:t>
            </w:r>
          </w:p>
        </w:tc>
        <w:tc>
          <w:tcPr>
            <w:tcW w:w="400" w:type="dxa"/>
            <w:vAlign w:val="bottom"/>
          </w:tcPr>
          <w:p>
            <w:pPr>
              <w:spacing w:after="0"/>
              <w:rPr>
                <w:sz w:val="17"/>
                <w:szCs w:val="17"/>
                <w:color w:val="auto"/>
              </w:rPr>
            </w:pPr>
          </w:p>
        </w:tc>
        <w:tc>
          <w:tcPr>
            <w:tcW w:w="6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Prior year information has been revised to reflect the adoption of Accounting Standards Update (ASU) 2016-15 and ASU 2016-18 and conform to our current year presentation.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Waste Management,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Revenue Data</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Millions)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(Unaudited)</w:t>
      </w:r>
    </w:p>
    <w:p>
      <w:pPr>
        <w:spacing w:after="0" w:line="281" w:lineRule="exact"/>
        <w:rPr>
          <w:sz w:val="20"/>
          <w:szCs w:val="20"/>
          <w:color w:val="auto"/>
        </w:rPr>
      </w:pPr>
    </w:p>
    <w:tbl>
      <w:tblPr>
        <w:tblLayout w:type="fixed"/>
        <w:tblInd w:w="1300" w:type="dxa"/>
        <w:tblCellMar>
          <w:top w:w="0" w:type="dxa"/>
          <w:left w:w="0" w:type="dxa"/>
          <w:bottom w:w="0" w:type="dxa"/>
          <w:right w:w="0" w:type="dxa"/>
        </w:tblCellMar>
      </w:tblPr>
      <w:tr>
        <w:trPr>
          <w:trHeight w:val="222"/>
        </w:trPr>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Operating Revenues by Lines of Business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5"/>
              <w:spacing w:after="0"/>
              <w:rPr>
                <w:sz w:val="20"/>
                <w:szCs w:val="20"/>
                <w:color w:val="auto"/>
              </w:rPr>
            </w:pPr>
            <w:r>
              <w:rPr>
                <w:rFonts w:ascii="Arial" w:cs="Arial" w:eastAsia="Arial" w:hAnsi="Arial"/>
                <w:sz w:val="17"/>
                <w:szCs w:val="17"/>
                <w:b w:val="1"/>
                <w:bCs w:val="1"/>
                <w:color w:val="auto"/>
              </w:rPr>
              <w:t>Three Months Ended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right"/>
              <w:ind w:right="455"/>
              <w:spacing w:after="0"/>
              <w:rPr>
                <w:sz w:val="20"/>
                <w:szCs w:val="20"/>
                <w:color w:val="auto"/>
              </w:rPr>
            </w:pPr>
            <w:r>
              <w:rPr>
                <w:rFonts w:ascii="Arial" w:cs="Arial" w:eastAsia="Arial" w:hAnsi="Arial"/>
                <w:sz w:val="17"/>
                <w:szCs w:val="17"/>
                <w:b w:val="1"/>
                <w:bCs w:val="1"/>
                <w:color w:val="auto"/>
              </w:rPr>
              <w:t>March 31,</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20" w:type="dxa"/>
            <w:vAlign w:val="bottom"/>
            <w:gridSpan w:val="2"/>
            <w:vMerge w:val="restart"/>
          </w:tcPr>
          <w:p>
            <w:pPr>
              <w:ind w:left="520"/>
              <w:spacing w:after="0"/>
              <w:rPr>
                <w:sz w:val="20"/>
                <w:szCs w:val="20"/>
                <w:color w:val="auto"/>
              </w:rPr>
            </w:pPr>
            <w:r>
              <w:rPr>
                <w:rFonts w:ascii="Arial" w:cs="Arial" w:eastAsia="Arial" w:hAnsi="Arial"/>
                <w:sz w:val="17"/>
                <w:szCs w:val="17"/>
                <w:color w:val="auto"/>
              </w:rPr>
              <w:t>Collection</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89"/>
              </w:rPr>
              <w:t>2018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165"/>
        </w:trPr>
        <w:tc>
          <w:tcPr>
            <w:tcW w:w="4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700"/>
              <w:spacing w:after="0"/>
              <w:rPr>
                <w:sz w:val="20"/>
                <w:szCs w:val="20"/>
                <w:color w:val="auto"/>
              </w:rPr>
            </w:pPr>
            <w:r>
              <w:rPr>
                <w:rFonts w:ascii="Arial" w:cs="Arial" w:eastAsia="Arial" w:hAnsi="Arial"/>
                <w:sz w:val="17"/>
                <w:szCs w:val="17"/>
                <w:color w:val="auto"/>
              </w:rPr>
              <w:t>Commercial</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955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61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03"/>
        </w:trPr>
        <w:tc>
          <w:tcPr>
            <w:tcW w:w="4620" w:type="dxa"/>
            <w:vAlign w:val="bottom"/>
            <w:gridSpan w:val="2"/>
          </w:tcPr>
          <w:p>
            <w:pPr>
              <w:ind w:left="700"/>
              <w:spacing w:after="0"/>
              <w:rPr>
                <w:sz w:val="20"/>
                <w:szCs w:val="20"/>
                <w:color w:val="auto"/>
              </w:rPr>
            </w:pPr>
            <w:r>
              <w:rPr>
                <w:rFonts w:ascii="Arial" w:cs="Arial" w:eastAsia="Arial" w:hAnsi="Arial"/>
                <w:sz w:val="17"/>
                <w:szCs w:val="17"/>
                <w:color w:val="auto"/>
              </w:rPr>
              <w:t>Residential</w:t>
            </w:r>
          </w:p>
        </w:tc>
        <w:tc>
          <w:tcPr>
            <w:tcW w:w="22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614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03"/>
        </w:trPr>
        <w:tc>
          <w:tcPr>
            <w:tcW w:w="4620" w:type="dxa"/>
            <w:vAlign w:val="bottom"/>
            <w:gridSpan w:val="2"/>
          </w:tcPr>
          <w:p>
            <w:pPr>
              <w:ind w:left="700"/>
              <w:spacing w:after="0"/>
              <w:rPr>
                <w:sz w:val="20"/>
                <w:szCs w:val="20"/>
                <w:color w:val="auto"/>
              </w:rPr>
            </w:pPr>
            <w:r>
              <w:rPr>
                <w:rFonts w:ascii="Arial" w:cs="Arial" w:eastAsia="Arial" w:hAnsi="Arial"/>
                <w:sz w:val="17"/>
                <w:szCs w:val="17"/>
                <w:color w:val="auto"/>
              </w:rPr>
              <w:t>Industrial</w:t>
            </w:r>
          </w:p>
        </w:tc>
        <w:tc>
          <w:tcPr>
            <w:tcW w:w="22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637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14"/>
        </w:trPr>
        <w:tc>
          <w:tcPr>
            <w:tcW w:w="4620" w:type="dxa"/>
            <w:vAlign w:val="bottom"/>
            <w:gridSpan w:val="2"/>
          </w:tcPr>
          <w:p>
            <w:pPr>
              <w:ind w:left="70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5"/>
        </w:trPr>
        <w:tc>
          <w:tcPr>
            <w:tcW w:w="4620" w:type="dxa"/>
            <w:vAlign w:val="bottom"/>
            <w:gridSpan w:val="2"/>
          </w:tcPr>
          <w:p>
            <w:pPr>
              <w:ind w:left="520"/>
              <w:spacing w:after="0" w:line="185" w:lineRule="exact"/>
              <w:rPr>
                <w:sz w:val="20"/>
                <w:szCs w:val="20"/>
                <w:color w:val="auto"/>
              </w:rPr>
            </w:pPr>
            <w:r>
              <w:rPr>
                <w:rFonts w:ascii="Arial" w:cs="Arial" w:eastAsia="Arial" w:hAnsi="Arial"/>
                <w:sz w:val="17"/>
                <w:szCs w:val="17"/>
                <w:color w:val="auto"/>
              </w:rPr>
              <w:t>Total Collection</w:t>
            </w:r>
          </w:p>
        </w:tc>
        <w:tc>
          <w:tcPr>
            <w:tcW w:w="220" w:type="dxa"/>
            <w:vAlign w:val="bottom"/>
          </w:tcPr>
          <w:p>
            <w:pPr>
              <w:spacing w:after="0"/>
              <w:rPr>
                <w:sz w:val="16"/>
                <w:szCs w:val="16"/>
                <w:color w:val="auto"/>
              </w:rPr>
            </w:pPr>
          </w:p>
        </w:tc>
        <w:tc>
          <w:tcPr>
            <w:tcW w:w="1180" w:type="dxa"/>
            <w:vAlign w:val="bottom"/>
          </w:tcPr>
          <w:p>
            <w:pPr>
              <w:jc w:val="right"/>
              <w:ind w:right="15"/>
              <w:spacing w:after="0" w:line="185" w:lineRule="exact"/>
              <w:rPr>
                <w:sz w:val="20"/>
                <w:szCs w:val="20"/>
                <w:color w:val="auto"/>
              </w:rPr>
            </w:pPr>
            <w:r>
              <w:rPr>
                <w:rFonts w:ascii="Arial" w:cs="Arial" w:eastAsia="Arial" w:hAnsi="Arial"/>
                <w:sz w:val="17"/>
                <w:szCs w:val="17"/>
                <w:color w:val="auto"/>
              </w:rPr>
              <w:t>2,307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jc w:val="right"/>
              <w:ind w:right="15"/>
              <w:spacing w:after="0" w:line="185" w:lineRule="exact"/>
              <w:rPr>
                <w:sz w:val="20"/>
                <w:szCs w:val="20"/>
                <w:color w:val="auto"/>
              </w:rPr>
            </w:pPr>
            <w:r>
              <w:rPr>
                <w:rFonts w:ascii="Arial" w:cs="Arial" w:eastAsia="Arial" w:hAnsi="Arial"/>
                <w:sz w:val="17"/>
                <w:szCs w:val="17"/>
                <w:color w:val="auto"/>
              </w:rPr>
              <w:t>2,235</w:t>
            </w:r>
          </w:p>
        </w:tc>
        <w:tc>
          <w:tcPr>
            <w:tcW w:w="0" w:type="dxa"/>
            <w:vAlign w:val="bottom"/>
          </w:tcPr>
          <w:p>
            <w:pPr>
              <w:spacing w:after="0"/>
              <w:rPr>
                <w:sz w:val="1"/>
                <w:szCs w:val="1"/>
                <w:color w:val="auto"/>
              </w:rPr>
            </w:pPr>
          </w:p>
        </w:tc>
      </w:tr>
      <w:tr>
        <w:trPr>
          <w:trHeight w:val="203"/>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Landfill</w:t>
            </w:r>
          </w:p>
        </w:tc>
        <w:tc>
          <w:tcPr>
            <w:tcW w:w="22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805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03"/>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Transfer</w:t>
            </w:r>
          </w:p>
        </w:tc>
        <w:tc>
          <w:tcPr>
            <w:tcW w:w="22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375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3"/>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Recycling</w:t>
            </w:r>
          </w:p>
        </w:tc>
        <w:tc>
          <w:tcPr>
            <w:tcW w:w="22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312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197"/>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427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20"/>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 xml:space="preserve">Intercompany </w:t>
            </w:r>
            <w:r>
              <w:rPr>
                <w:rFonts w:ascii="Arial" w:cs="Arial" w:eastAsia="Arial" w:hAnsi="Arial"/>
                <w:sz w:val="17"/>
                <w:szCs w:val="17"/>
                <w:b w:val="1"/>
                <w:bCs w:val="1"/>
                <w:color w:val="auto"/>
              </w:rPr>
              <w:t>(a)</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203"/>
        </w:trPr>
        <w:tc>
          <w:tcPr>
            <w:tcW w:w="4620" w:type="dxa"/>
            <w:vAlign w:val="bottom"/>
            <w:gridSpan w:val="2"/>
          </w:tcPr>
          <w:p>
            <w:pPr>
              <w:ind w:left="700"/>
              <w:spacing w:after="0" w:line="185" w:lineRule="exact"/>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3,511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3,440</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Internal Revenue Growth</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4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6"/>
          </w:tcPr>
          <w:p>
            <w:pPr>
              <w:jc w:val="center"/>
              <w:ind w:right="215"/>
              <w:spacing w:after="0"/>
              <w:rPr>
                <w:sz w:val="20"/>
                <w:szCs w:val="20"/>
                <w:color w:val="auto"/>
              </w:rPr>
            </w:pPr>
            <w:r>
              <w:rPr>
                <w:rFonts w:ascii="Arial" w:cs="Arial" w:eastAsia="Arial" w:hAnsi="Arial"/>
                <w:sz w:val="17"/>
                <w:szCs w:val="17"/>
                <w:b w:val="1"/>
                <w:bCs w:val="1"/>
                <w:color w:val="auto"/>
                <w:w w:val="91"/>
              </w:rPr>
              <w:t>Period-to-Period Change for the</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center"/>
              <w:ind w:left="255"/>
              <w:spacing w:after="0"/>
              <w:rPr>
                <w:sz w:val="20"/>
                <w:szCs w:val="20"/>
                <w:color w:val="auto"/>
              </w:rPr>
            </w:pPr>
            <w:r>
              <w:rPr>
                <w:rFonts w:ascii="Arial" w:cs="Arial" w:eastAsia="Arial" w:hAnsi="Arial"/>
                <w:sz w:val="17"/>
                <w:szCs w:val="17"/>
                <w:b w:val="1"/>
                <w:bCs w:val="1"/>
                <w:color w:val="auto"/>
                <w:w w:val="91"/>
              </w:rPr>
              <w:t>Three Months Ended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ind w:left="255"/>
              <w:spacing w:after="0"/>
              <w:rPr>
                <w:sz w:val="20"/>
                <w:szCs w:val="20"/>
                <w:color w:val="auto"/>
              </w:rPr>
            </w:pPr>
            <w:r>
              <w:rPr>
                <w:rFonts w:ascii="Arial" w:cs="Arial" w:eastAsia="Arial" w:hAnsi="Arial"/>
                <w:sz w:val="17"/>
                <w:szCs w:val="17"/>
                <w:b w:val="1"/>
                <w:bCs w:val="1"/>
                <w:color w:val="auto"/>
                <w:w w:val="90"/>
              </w:rPr>
              <w:t>March 31, 2018 vs. 2017</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tcPr>
          <w:p>
            <w:pPr>
              <w:jc w:val="center"/>
              <w:ind w:right="500"/>
              <w:spacing w:after="0" w:line="180" w:lineRule="exact"/>
              <w:rPr>
                <w:sz w:val="20"/>
                <w:szCs w:val="20"/>
                <w:color w:val="auto"/>
              </w:rPr>
            </w:pPr>
            <w:r>
              <w:rPr>
                <w:rFonts w:ascii="Arial" w:cs="Arial" w:eastAsia="Arial" w:hAnsi="Arial"/>
                <w:sz w:val="17"/>
                <w:szCs w:val="17"/>
                <w:color w:val="auto"/>
                <w:w w:val="93"/>
              </w:rPr>
              <w:t>As a% of</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7"/>
                <w:szCs w:val="17"/>
                <w:color w:val="auto"/>
                <w:w w:val="88"/>
              </w:rPr>
              <w:t>Related</w:t>
            </w:r>
          </w:p>
        </w:tc>
        <w:tc>
          <w:tcPr>
            <w:tcW w:w="60" w:type="dxa"/>
            <w:vAlign w:val="bottom"/>
          </w:tcPr>
          <w:p>
            <w:pPr>
              <w:spacing w:after="0"/>
              <w:rPr>
                <w:sz w:val="17"/>
                <w:szCs w:val="17"/>
                <w:color w:val="auto"/>
              </w:rPr>
            </w:pPr>
          </w:p>
        </w:tc>
        <w:tc>
          <w:tcPr>
            <w:tcW w:w="1340" w:type="dxa"/>
            <w:vAlign w:val="bottom"/>
            <w:gridSpan w:val="2"/>
          </w:tcPr>
          <w:p>
            <w:pPr>
              <w:jc w:val="right"/>
              <w:ind w:right="255"/>
              <w:spacing w:after="0"/>
              <w:rPr>
                <w:sz w:val="20"/>
                <w:szCs w:val="20"/>
                <w:color w:val="auto"/>
              </w:rPr>
            </w:pPr>
            <w:r>
              <w:rPr>
                <w:rFonts w:ascii="Arial" w:cs="Arial" w:eastAsia="Arial" w:hAnsi="Arial"/>
                <w:sz w:val="17"/>
                <w:szCs w:val="17"/>
                <w:color w:val="auto"/>
              </w:rPr>
              <w:t>As a% of</w:t>
            </w:r>
          </w:p>
        </w:tc>
        <w:tc>
          <w:tcPr>
            <w:tcW w:w="0" w:type="dxa"/>
            <w:vAlign w:val="bottom"/>
          </w:tcPr>
          <w:p>
            <w:pPr>
              <w:spacing w:after="0"/>
              <w:rPr>
                <w:sz w:val="1"/>
                <w:szCs w:val="1"/>
                <w:color w:val="auto"/>
              </w:rPr>
            </w:pPr>
          </w:p>
        </w:tc>
      </w:tr>
      <w:tr>
        <w:trPr>
          <w:trHeight w:val="218"/>
        </w:trPr>
        <w:tc>
          <w:tcPr>
            <w:tcW w:w="4540" w:type="dxa"/>
            <w:vAlign w:val="bottom"/>
            <w:vMerge w:val="restart"/>
          </w:tcPr>
          <w:p>
            <w:pPr>
              <w:ind w:left="700"/>
              <w:spacing w:after="0"/>
              <w:rPr>
                <w:sz w:val="20"/>
                <w:szCs w:val="20"/>
                <w:color w:val="auto"/>
              </w:rPr>
            </w:pPr>
            <w:r>
              <w:rPr>
                <w:rFonts w:ascii="Arial" w:cs="Arial" w:eastAsia="Arial" w:hAnsi="Arial"/>
                <w:sz w:val="17"/>
                <w:szCs w:val="17"/>
                <w:color w:val="auto"/>
              </w:rPr>
              <w:t>Collection and disposal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7"/>
                <w:szCs w:val="17"/>
                <w:color w:val="auto"/>
                <w:w w:val="86"/>
              </w:rPr>
              <w:t>Business</w:t>
            </w:r>
          </w:p>
        </w:tc>
        <w:tc>
          <w:tcPr>
            <w:tcW w:w="60" w:type="dxa"/>
            <w:vAlign w:val="bottom"/>
          </w:tcPr>
          <w:p>
            <w:pPr>
              <w:spacing w:after="0"/>
              <w:rPr>
                <w:sz w:val="18"/>
                <w:szCs w:val="18"/>
                <w:color w:val="auto"/>
              </w:rPr>
            </w:pPr>
          </w:p>
        </w:tc>
        <w:tc>
          <w:tcPr>
            <w:tcW w:w="1340" w:type="dxa"/>
            <w:vAlign w:val="bottom"/>
            <w:gridSpan w:val="2"/>
          </w:tcPr>
          <w:p>
            <w:pPr>
              <w:jc w:val="right"/>
              <w:ind w:right="55"/>
              <w:spacing w:after="0"/>
              <w:rPr>
                <w:sz w:val="20"/>
                <w:szCs w:val="20"/>
                <w:color w:val="auto"/>
              </w:rPr>
            </w:pPr>
            <w:r>
              <w:rPr>
                <w:rFonts w:ascii="Arial" w:cs="Arial" w:eastAsia="Arial" w:hAnsi="Arial"/>
                <w:sz w:val="17"/>
                <w:szCs w:val="17"/>
                <w:color w:val="auto"/>
              </w:rPr>
              <w:t>Total Company</w:t>
            </w:r>
          </w:p>
        </w:tc>
        <w:tc>
          <w:tcPr>
            <w:tcW w:w="0" w:type="dxa"/>
            <w:vAlign w:val="bottom"/>
          </w:tcPr>
          <w:p>
            <w:pPr>
              <w:spacing w:after="0"/>
              <w:rPr>
                <w:sz w:val="1"/>
                <w:szCs w:val="1"/>
                <w:color w:val="auto"/>
              </w:rPr>
            </w:pPr>
          </w:p>
        </w:tc>
      </w:tr>
      <w:tr>
        <w:trPr>
          <w:trHeight w:val="180"/>
        </w:trPr>
        <w:tc>
          <w:tcPr>
            <w:tcW w:w="4540" w:type="dxa"/>
            <w:vAlign w:val="bottom"/>
            <w:vMerge w:val="continue"/>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2.3%</w:t>
            </w:r>
          </w:p>
        </w:tc>
        <w:tc>
          <w:tcPr>
            <w:tcW w:w="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700"/>
              <w:spacing w:after="0"/>
              <w:rPr>
                <w:sz w:val="20"/>
                <w:szCs w:val="20"/>
                <w:color w:val="auto"/>
              </w:rPr>
            </w:pPr>
            <w:r>
              <w:rPr>
                <w:rFonts w:ascii="Arial" w:cs="Arial" w:eastAsia="Arial" w:hAnsi="Arial"/>
                <w:sz w:val="17"/>
                <w:szCs w:val="17"/>
                <w:color w:val="auto"/>
              </w:rPr>
              <w:t>Recycling commodities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700"/>
              <w:spacing w:after="0"/>
              <w:rPr>
                <w:sz w:val="20"/>
                <w:szCs w:val="20"/>
                <w:color w:val="auto"/>
              </w:rPr>
            </w:pPr>
            <w:r>
              <w:rPr>
                <w:rFonts w:ascii="Arial" w:cs="Arial" w:eastAsia="Arial" w:hAnsi="Arial"/>
                <w:sz w:val="17"/>
                <w:szCs w:val="17"/>
                <w:color w:val="auto"/>
              </w:rPr>
              <w:t>Fuel surcharges and mandated fees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Total average yield</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4"/>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Volume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85"/>
        </w:trPr>
        <w:tc>
          <w:tcPr>
            <w:tcW w:w="4620" w:type="dxa"/>
            <w:vAlign w:val="bottom"/>
            <w:gridSpan w:val="2"/>
          </w:tcPr>
          <w:p>
            <w:pPr>
              <w:ind w:left="520"/>
              <w:spacing w:after="0" w:line="185" w:lineRule="exact"/>
              <w:rPr>
                <w:sz w:val="20"/>
                <w:szCs w:val="20"/>
                <w:color w:val="auto"/>
              </w:rPr>
            </w:pPr>
            <w:r>
              <w:rPr>
                <w:rFonts w:ascii="Arial" w:cs="Arial" w:eastAsia="Arial" w:hAnsi="Arial"/>
                <w:sz w:val="17"/>
                <w:szCs w:val="17"/>
                <w:color w:val="auto"/>
              </w:rPr>
              <w:t>Internal revenue growth</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jc w:val="right"/>
              <w:spacing w:after="0" w:line="185"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3"/>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Acquisitions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3"/>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Divestitures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4"/>
        </w:trPr>
        <w:tc>
          <w:tcPr>
            <w:tcW w:w="4620" w:type="dxa"/>
            <w:vAlign w:val="bottom"/>
            <w:gridSpan w:val="2"/>
          </w:tcPr>
          <w:p>
            <w:pPr>
              <w:ind w:left="520"/>
              <w:spacing w:after="0"/>
              <w:rPr>
                <w:sz w:val="20"/>
                <w:szCs w:val="20"/>
                <w:color w:val="auto"/>
              </w:rPr>
            </w:pPr>
            <w:r>
              <w:rPr>
                <w:rFonts w:ascii="Arial" w:cs="Arial" w:eastAsia="Arial" w:hAnsi="Arial"/>
                <w:sz w:val="17"/>
                <w:szCs w:val="17"/>
                <w:color w:val="auto"/>
              </w:rPr>
              <w:t>Foreign currency translation and other</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3"/>
        </w:trPr>
        <w:tc>
          <w:tcPr>
            <w:tcW w:w="4620" w:type="dxa"/>
            <w:vAlign w:val="bottom"/>
            <w:gridSpan w:val="2"/>
          </w:tcPr>
          <w:p>
            <w:pPr>
              <w:ind w:left="700"/>
              <w:spacing w:after="0" w:line="185" w:lineRule="exact"/>
              <w:rPr>
                <w:sz w:val="20"/>
                <w:szCs w:val="20"/>
                <w:color w:val="auto"/>
              </w:rPr>
            </w:pPr>
            <w:r>
              <w:rPr>
                <w:rFonts w:ascii="Arial" w:cs="Arial" w:eastAsia="Arial" w:hAnsi="Arial"/>
                <w:sz w:val="17"/>
                <w:szCs w:val="17"/>
                <w:color w:val="auto"/>
              </w:rPr>
              <w:t>Total</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540" w:hanging="235"/>
        <w:spacing w:after="0"/>
        <w:tabs>
          <w:tab w:leader="none" w:pos="15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220" w:lineRule="exact"/>
        <w:rPr>
          <w:rFonts w:ascii="Arial" w:cs="Arial" w:eastAsia="Arial" w:hAnsi="Arial"/>
          <w:sz w:val="16"/>
          <w:szCs w:val="16"/>
          <w:b w:val="1"/>
          <w:bCs w:val="1"/>
          <w:color w:val="auto"/>
        </w:rPr>
      </w:pPr>
    </w:p>
    <w:p>
      <w:pPr>
        <w:ind w:left="56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Waste Management,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Summary Data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Millions)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(Unaudited)</w:t>
      </w:r>
    </w:p>
    <w:p>
      <w:pPr>
        <w:sectPr>
          <w:pgSz w:w="11900" w:h="16890" w:orient="portrait"/>
          <w:cols w:equalWidth="0" w:num="1">
            <w:col w:w="11420"/>
          </w:cols>
          <w:pgMar w:left="240" w:top="121" w:right="239" w:bottom="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Free Cash Flow Analysis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Capital expenditures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from divestitures of businesses and other assets (net of cash divested)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Free cash flow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Debt-to-total capital</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Internalization of waste, based on disposal costs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Total landfill disposal volumes (tons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Amortization, Accretion and Other Expenses for Landfills Included in Operating Groups: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Landfill amortization expense</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Cost basis of landfill assets</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Asset retirement costs</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landfill amortization expense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Accretion and other related expense</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Landfill amortization, accretion and other related expense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Three Months Ended</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2017</w:t>
            </w:r>
          </w:p>
        </w:tc>
      </w:tr>
      <w:tr>
        <w:trPr>
          <w:trHeight w:val="178"/>
        </w:trPr>
        <w:tc>
          <w:tcPr>
            <w:tcW w:w="360" w:type="dxa"/>
            <w:vAlign w:val="bottom"/>
          </w:tcPr>
          <w:p>
            <w:pPr>
              <w:jc w:val="right"/>
              <w:ind w:right="115"/>
              <w:spacing w:after="0" w:line="178"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78" w:lineRule="exact"/>
              <w:rPr>
                <w:sz w:val="20"/>
                <w:szCs w:val="20"/>
                <w:color w:val="auto"/>
              </w:rPr>
            </w:pPr>
            <w:r>
              <w:rPr>
                <w:rFonts w:ascii="Arial" w:cs="Arial" w:eastAsia="Arial" w:hAnsi="Arial"/>
                <w:sz w:val="17"/>
                <w:szCs w:val="17"/>
                <w:color w:val="auto"/>
              </w:rPr>
              <w:t>809</w:t>
            </w:r>
          </w:p>
        </w:tc>
        <w:tc>
          <w:tcPr>
            <w:tcW w:w="260" w:type="dxa"/>
            <w:vAlign w:val="bottom"/>
          </w:tcPr>
          <w:p>
            <w:pPr>
              <w:spacing w:after="0"/>
              <w:rPr>
                <w:sz w:val="15"/>
                <w:szCs w:val="15"/>
                <w:color w:val="auto"/>
              </w:rPr>
            </w:pPr>
          </w:p>
        </w:tc>
        <w:tc>
          <w:tcPr>
            <w:tcW w:w="340" w:type="dxa"/>
            <w:vAlign w:val="bottom"/>
          </w:tcPr>
          <w:p>
            <w:pPr>
              <w:jc w:val="right"/>
              <w:ind w:right="95"/>
              <w:spacing w:after="0" w:line="178"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78" w:lineRule="exact"/>
              <w:rPr>
                <w:sz w:val="20"/>
                <w:szCs w:val="20"/>
                <w:color w:val="auto"/>
              </w:rPr>
            </w:pPr>
            <w:r>
              <w:rPr>
                <w:rFonts w:ascii="Arial" w:cs="Arial" w:eastAsia="Arial" w:hAnsi="Arial"/>
                <w:sz w:val="17"/>
                <w:szCs w:val="17"/>
                <w:color w:val="auto"/>
              </w:rPr>
              <w:t>722</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(332)</w:t>
            </w:r>
          </w:p>
        </w:tc>
      </w:tr>
      <w:tr>
        <w:trPr>
          <w:trHeight w:val="216"/>
        </w:trPr>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00"/>
        </w:trPr>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Three Months Ended</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March 31,</w:t>
      </w:r>
    </w:p>
    <w:p>
      <w:pPr>
        <w:spacing w:after="0" w:line="7" w:lineRule="exact"/>
        <w:rPr>
          <w:sz w:val="20"/>
          <w:szCs w:val="20"/>
          <w:color w:val="auto"/>
        </w:rPr>
      </w:pPr>
    </w:p>
    <w:p>
      <w:pPr>
        <w:ind w:left="540"/>
        <w:spacing w:after="0"/>
        <w:tabs>
          <w:tab w:leader="none" w:pos="218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946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9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-120650</wp:posOffset>
            </wp:positionV>
            <wp:extent cx="1946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3" w:lineRule="exact"/>
        <w:rPr>
          <w:sz w:val="20"/>
          <w:szCs w:val="20"/>
          <w:color w:val="auto"/>
        </w:rPr>
      </w:pPr>
    </w:p>
    <w:p>
      <w:pPr>
        <w:jc w:val="right"/>
        <w:ind w:right="620"/>
        <w:spacing w:after="0"/>
        <w:tabs>
          <w:tab w:leader="none" w:pos="460" w:val="left"/>
        </w:tabs>
        <w:rPr>
          <w:sz w:val="20"/>
          <w:szCs w:val="20"/>
          <w:color w:val="auto"/>
        </w:rPr>
      </w:pPr>
      <w:r>
        <w:rPr>
          <w:rFonts w:ascii="Arial" w:cs="Arial" w:eastAsia="Arial" w:hAnsi="Arial"/>
          <w:sz w:val="17"/>
          <w:szCs w:val="17"/>
          <w:color w:val="auto"/>
        </w:rPr>
        <w:t>62.1%</w:t>
      </w:r>
      <w:r>
        <w:rPr>
          <w:sz w:val="20"/>
          <w:szCs w:val="20"/>
          <w:color w:val="auto"/>
        </w:rPr>
        <w:tab/>
      </w:r>
      <w:r>
        <w:rPr>
          <w:rFonts w:ascii="Arial" w:cs="Arial" w:eastAsia="Arial" w:hAnsi="Arial"/>
          <w:sz w:val="15"/>
          <w:szCs w:val="15"/>
          <w:color w:val="auto"/>
        </w:rPr>
        <w:t>62.0%</w:t>
      </w:r>
    </w:p>
    <w:p>
      <w:pPr>
        <w:spacing w:after="0" w:line="250" w:lineRule="exact"/>
        <w:rPr>
          <w:sz w:val="20"/>
          <w:szCs w:val="20"/>
          <w:color w:val="auto"/>
        </w:rPr>
      </w:pPr>
    </w:p>
    <w:p>
      <w:pPr>
        <w:jc w:val="right"/>
        <w:ind w:right="620"/>
        <w:spacing w:after="0"/>
        <w:tabs>
          <w:tab w:leader="none" w:pos="460" w:val="left"/>
        </w:tabs>
        <w:rPr>
          <w:sz w:val="20"/>
          <w:szCs w:val="20"/>
          <w:color w:val="auto"/>
        </w:rPr>
      </w:pPr>
      <w:r>
        <w:rPr>
          <w:rFonts w:ascii="Arial" w:cs="Arial" w:eastAsia="Arial" w:hAnsi="Arial"/>
          <w:sz w:val="17"/>
          <w:szCs w:val="17"/>
          <w:color w:val="auto"/>
        </w:rPr>
        <w:t>65.7%</w:t>
      </w:r>
      <w:r>
        <w:rPr>
          <w:sz w:val="20"/>
          <w:szCs w:val="20"/>
          <w:color w:val="auto"/>
        </w:rPr>
        <w:tab/>
      </w:r>
      <w:r>
        <w:rPr>
          <w:rFonts w:ascii="Arial" w:cs="Arial" w:eastAsia="Arial" w:hAnsi="Arial"/>
          <w:sz w:val="15"/>
          <w:szCs w:val="15"/>
          <w:color w:val="auto"/>
        </w:rPr>
        <w:t>65.7%</w:t>
      </w:r>
    </w:p>
    <w:p>
      <w:pPr>
        <w:spacing w:after="0" w:line="250" w:lineRule="exact"/>
        <w:rPr>
          <w:sz w:val="20"/>
          <w:szCs w:val="20"/>
          <w:color w:val="auto"/>
        </w:rPr>
      </w:pPr>
    </w:p>
    <w:p>
      <w:pPr>
        <w:ind w:left="1040"/>
        <w:spacing w:after="0"/>
        <w:tabs>
          <w:tab w:leader="none" w:pos="2680" w:val="left"/>
        </w:tabs>
        <w:rPr>
          <w:sz w:val="20"/>
          <w:szCs w:val="20"/>
          <w:color w:val="auto"/>
        </w:rPr>
      </w:pPr>
      <w:r>
        <w:rPr>
          <w:rFonts w:ascii="Arial" w:cs="Arial" w:eastAsia="Arial" w:hAnsi="Arial"/>
          <w:sz w:val="17"/>
          <w:szCs w:val="17"/>
          <w:color w:val="auto"/>
        </w:rPr>
        <w:t>26.2</w:t>
      </w:r>
      <w:r>
        <w:rPr>
          <w:sz w:val="20"/>
          <w:szCs w:val="20"/>
          <w:color w:val="auto"/>
        </w:rPr>
        <w:tab/>
      </w:r>
      <w:r>
        <w:rPr>
          <w:rFonts w:ascii="Arial" w:cs="Arial" w:eastAsia="Arial" w:hAnsi="Arial"/>
          <w:sz w:val="15"/>
          <w:szCs w:val="15"/>
          <w:color w:val="auto"/>
        </w:rPr>
        <w:t>25.3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Three Months Ended</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2017</w:t>
            </w:r>
          </w:p>
        </w:tc>
      </w:tr>
      <w:tr>
        <w:trPr>
          <w:trHeight w:val="367"/>
        </w:trPr>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99.7</w:t>
            </w:r>
          </w:p>
        </w:tc>
        <w:tc>
          <w:tcPr>
            <w:tcW w:w="260" w:type="dxa"/>
            <w:vAlign w:val="bottom"/>
          </w:tcPr>
          <w:p>
            <w:pPr>
              <w:spacing w:after="0"/>
              <w:rPr>
                <w:sz w:val="24"/>
                <w:szCs w:val="24"/>
                <w:color w:val="auto"/>
              </w:rPr>
            </w:pP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89.5</w:t>
            </w:r>
          </w:p>
        </w:tc>
      </w:tr>
      <w:tr>
        <w:trPr>
          <w:trHeight w:val="218"/>
        </w:trPr>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r>
      <w:tr>
        <w:trPr>
          <w:trHeight w:val="180"/>
        </w:trPr>
        <w:tc>
          <w:tcPr>
            <w:tcW w:w="3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7"/>
                <w:szCs w:val="17"/>
                <w:color w:val="auto"/>
              </w:rPr>
              <w:t>119.2</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7"/>
                <w:szCs w:val="17"/>
                <w:color w:val="auto"/>
              </w:rPr>
              <w:t>113.3</w:t>
            </w:r>
          </w:p>
        </w:tc>
      </w:tr>
      <w:tr>
        <w:trPr>
          <w:trHeight w:val="218"/>
        </w:trPr>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r>
      <w:tr>
        <w:trPr>
          <w:trHeight w:val="198"/>
        </w:trPr>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138.9</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940" w:space="720"/>
            <w:col w:w="3660"/>
          </w:cols>
          <w:pgMar w:left="240" w:top="548" w:right="339" w:bottom="238" w:gutter="0" w:footer="0" w:header="0"/>
        </w:sectPr>
      </w:pPr>
    </w:p>
    <w:p>
      <w:pPr>
        <w:jc w:val="both"/>
        <w:ind w:left="260" w:hanging="252"/>
        <w:spacing w:after="0" w:line="261" w:lineRule="auto"/>
        <w:tabs>
          <w:tab w:leader="none" w:pos="254"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64" w:lineRule="exact"/>
        <w:rPr>
          <w:rFonts w:ascii="Arial" w:cs="Arial" w:eastAsia="Arial" w:hAnsi="Arial"/>
          <w:sz w:val="17"/>
          <w:szCs w:val="17"/>
          <w:b w:val="1"/>
          <w:bCs w:val="1"/>
          <w:color w:val="auto"/>
        </w:rPr>
      </w:pPr>
    </w:p>
    <w:p>
      <w:pPr>
        <w:ind w:left="280" w:hanging="272"/>
        <w:spacing w:after="0"/>
        <w:tabs>
          <w:tab w:leader="none" w:pos="2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Prior year information has been revised to reflect the adoption of ASU 2016-18 and conform to our current year presentation.</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Waste Management, Inc.</w:t>
      </w:r>
    </w:p>
    <w:p>
      <w:pPr>
        <w:spacing w:after="0" w:line="48"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Reconciliation of Certain Non-GAAP Measures</w:t>
      </w:r>
    </w:p>
    <w:p>
      <w:pPr>
        <w:spacing w:after="0" w:line="3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(In Millions, Except Per Share Amounts)</w:t>
      </w:r>
    </w:p>
    <w:p>
      <w:pPr>
        <w:spacing w:after="0" w:line="4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7"/>
                <w:szCs w:val="17"/>
                <w:b w:val="1"/>
                <w:bCs w:val="1"/>
                <w:color w:val="auto"/>
                <w:w w:val="92"/>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7"/>
                <w:szCs w:val="17"/>
                <w:b w:val="1"/>
                <w:bCs w:val="1"/>
                <w:color w:val="auto"/>
                <w:w w:val="92"/>
              </w:rPr>
              <w:t>March 31, 2017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2"/>
              </w:rPr>
              <w:t>Income from</w:t>
            </w:r>
          </w:p>
        </w:tc>
        <w:tc>
          <w:tcPr>
            <w:tcW w:w="220" w:type="dxa"/>
            <w:vAlign w:val="bottom"/>
          </w:tcPr>
          <w:p>
            <w:pPr>
              <w:spacing w:after="0"/>
              <w:rPr>
                <w:sz w:val="19"/>
                <w:szCs w:val="19"/>
                <w:color w:val="auto"/>
              </w:rPr>
            </w:pP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rPr>
              <w:t>Pre-tax</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8"/>
              </w:rPr>
              <w:t>Tax</w:t>
            </w:r>
          </w:p>
        </w:tc>
        <w:tc>
          <w:tcPr>
            <w:tcW w:w="240" w:type="dxa"/>
            <w:vAlign w:val="bottom"/>
          </w:tcPr>
          <w:p>
            <w:pPr>
              <w:spacing w:after="0"/>
              <w:rPr>
                <w:sz w:val="19"/>
                <w:szCs w:val="19"/>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4"/>
              </w:rPr>
              <w:t>Net</w:t>
            </w:r>
          </w:p>
        </w:tc>
        <w:tc>
          <w:tcPr>
            <w:tcW w:w="180" w:type="dxa"/>
            <w:vAlign w:val="bottom"/>
          </w:tcPr>
          <w:p>
            <w:pPr>
              <w:spacing w:after="0"/>
              <w:rPr>
                <w:sz w:val="19"/>
                <w:szCs w:val="19"/>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b w:val="1"/>
                <w:bCs w:val="1"/>
                <w:color w:val="auto"/>
                <w:w w:val="90"/>
              </w:rPr>
              <w:t>Per Share</w:t>
            </w:r>
          </w:p>
        </w:tc>
        <w:tc>
          <w:tcPr>
            <w:tcW w:w="0" w:type="dxa"/>
            <w:vAlign w:val="bottom"/>
          </w:tcPr>
          <w:p>
            <w:pPr>
              <w:spacing w:after="0"/>
              <w:rPr>
                <w:sz w:val="1"/>
                <w:szCs w:val="1"/>
                <w:color w:val="auto"/>
              </w:rPr>
            </w:pPr>
          </w:p>
        </w:tc>
      </w:tr>
      <w:tr>
        <w:trPr>
          <w:trHeight w:val="222"/>
        </w:trPr>
        <w:tc>
          <w:tcPr>
            <w:tcW w:w="4700" w:type="dxa"/>
            <w:vAlign w:val="bottom"/>
            <w:vMerge w:val="restart"/>
          </w:tcPr>
          <w:p>
            <w:pPr>
              <w:spacing w:after="0"/>
              <w:rPr>
                <w:sz w:val="20"/>
                <w:szCs w:val="20"/>
                <w:color w:val="auto"/>
              </w:rPr>
            </w:pPr>
            <w:r>
              <w:rPr>
                <w:rFonts w:ascii="Arial" w:cs="Arial" w:eastAsia="Arial" w:hAnsi="Arial"/>
                <w:sz w:val="17"/>
                <w:szCs w:val="17"/>
                <w:b w:val="1"/>
                <w:bCs w:val="1"/>
                <w:color w:val="auto"/>
              </w:rPr>
              <w:t>As reported amounts</w:t>
            </w: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1"/>
              </w:rPr>
              <w:t>Operations</w:t>
            </w:r>
          </w:p>
        </w:tc>
        <w:tc>
          <w:tcPr>
            <w:tcW w:w="220" w:type="dxa"/>
            <w:vAlign w:val="bottom"/>
          </w:tcPr>
          <w:p>
            <w:pPr>
              <w:spacing w:after="0"/>
              <w:rPr>
                <w:sz w:val="19"/>
                <w:szCs w:val="19"/>
                <w:color w:val="auto"/>
              </w:rPr>
            </w:pP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rPr>
              <w:t>Income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8"/>
              </w:rPr>
              <w:t>Expense</w:t>
            </w:r>
          </w:p>
        </w:tc>
        <w:tc>
          <w:tcPr>
            <w:tcW w:w="240" w:type="dxa"/>
            <w:vAlign w:val="bottom"/>
          </w:tcPr>
          <w:p>
            <w:pPr>
              <w:spacing w:after="0"/>
              <w:rPr>
                <w:sz w:val="19"/>
                <w:szCs w:val="19"/>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0"/>
              </w:rPr>
              <w:t>Income</w:t>
            </w:r>
          </w:p>
        </w:tc>
        <w:tc>
          <w:tcPr>
            <w:tcW w:w="180" w:type="dxa"/>
            <w:vAlign w:val="bottom"/>
          </w:tcPr>
          <w:p>
            <w:pPr>
              <w:spacing w:after="0"/>
              <w:rPr>
                <w:sz w:val="19"/>
                <w:szCs w:val="19"/>
                <w:color w:val="auto"/>
              </w:rPr>
            </w:pPr>
          </w:p>
        </w:tc>
        <w:tc>
          <w:tcPr>
            <w:tcW w:w="940" w:type="dxa"/>
            <w:vAlign w:val="bottom"/>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1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558</w:t>
            </w:r>
          </w:p>
        </w:tc>
        <w:tc>
          <w:tcPr>
            <w:tcW w:w="240" w:type="dxa"/>
            <w:vAlign w:val="bottom"/>
          </w:tcPr>
          <w:p>
            <w:pPr>
              <w:spacing w:after="0"/>
              <w:rPr>
                <w:sz w:val="15"/>
                <w:szCs w:val="15"/>
                <w:color w:val="auto"/>
              </w:rPr>
            </w:pPr>
          </w:p>
        </w:tc>
        <w:tc>
          <w:tcPr>
            <w:tcW w:w="2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434</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137</w:t>
            </w:r>
          </w:p>
        </w:tc>
        <w:tc>
          <w:tcPr>
            <w:tcW w:w="220" w:type="dxa"/>
            <w:vAlign w:val="bottom"/>
          </w:tcPr>
          <w:p>
            <w:pPr>
              <w:spacing w:after="0"/>
              <w:rPr>
                <w:sz w:val="15"/>
                <w:szCs w:val="15"/>
                <w:color w:val="auto"/>
              </w:rPr>
            </w:pPr>
          </w:p>
        </w:tc>
        <w:tc>
          <w:tcPr>
            <w:tcW w:w="2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w:t>
            </w:r>
          </w:p>
        </w:tc>
        <w:tc>
          <w:tcPr>
            <w:tcW w:w="9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298</w:t>
            </w:r>
          </w:p>
        </w:tc>
        <w:tc>
          <w:tcPr>
            <w:tcW w:w="220" w:type="dxa"/>
            <w:vAlign w:val="bottom"/>
          </w:tcPr>
          <w:p>
            <w:pPr>
              <w:spacing w:after="0"/>
              <w:rPr>
                <w:sz w:val="15"/>
                <w:szCs w:val="15"/>
                <w:color w:val="auto"/>
              </w:rPr>
            </w:pPr>
          </w:p>
        </w:tc>
        <w:tc>
          <w:tcPr>
            <w:tcW w:w="1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b w:val="1"/>
                <w:bCs w:val="1"/>
                <w:color w:val="auto"/>
              </w:rPr>
              <w:t>0.67</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Arial" w:cs="Arial" w:eastAsia="Arial" w:hAnsi="Arial"/>
                <w:sz w:val="17"/>
                <w:szCs w:val="17"/>
                <w:b w:val="1"/>
                <w:bCs w:val="1"/>
                <w:color w:val="auto"/>
              </w:rPr>
              <w:t>Adjustments: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80"/>
              <w:spacing w:after="0"/>
              <w:rPr>
                <w:sz w:val="20"/>
                <w:szCs w:val="20"/>
                <w:color w:val="auto"/>
              </w:rPr>
            </w:pPr>
            <w:r>
              <w:rPr>
                <w:rFonts w:ascii="Arial" w:cs="Arial" w:eastAsia="Arial" w:hAnsi="Arial"/>
                <w:sz w:val="17"/>
                <w:szCs w:val="17"/>
                <w:color w:val="auto"/>
              </w:rPr>
              <w:t>Tax benefits related to equity-based compensation</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197"/>
        </w:trPr>
        <w:tc>
          <w:tcPr>
            <w:tcW w:w="4700" w:type="dxa"/>
            <w:vAlign w:val="bottom"/>
          </w:tcPr>
          <w:p>
            <w:pPr>
              <w:ind w:left="80"/>
              <w:spacing w:after="0"/>
              <w:rPr>
                <w:sz w:val="20"/>
                <w:szCs w:val="20"/>
                <w:color w:val="auto"/>
              </w:rPr>
            </w:pPr>
            <w:r>
              <w:rPr>
                <w:rFonts w:ascii="Arial" w:cs="Arial" w:eastAsia="Arial" w:hAnsi="Arial"/>
                <w:sz w:val="17"/>
                <w:szCs w:val="17"/>
                <w:color w:val="auto"/>
              </w:rPr>
              <w:t>Equity investment impairment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4"/>
        </w:trPr>
        <w:tc>
          <w:tcPr>
            <w:tcW w:w="4700" w:type="dxa"/>
            <w:vAlign w:val="bottom"/>
            <w:vMerge w:val="restart"/>
          </w:tcPr>
          <w:p>
            <w:pPr>
              <w:spacing w:after="0"/>
              <w:rPr>
                <w:sz w:val="20"/>
                <w:szCs w:val="20"/>
                <w:color w:val="auto"/>
              </w:rPr>
            </w:pPr>
            <w:r>
              <w:rPr>
                <w:rFonts w:ascii="Arial" w:cs="Arial" w:eastAsia="Arial" w:hAnsi="Arial"/>
                <w:sz w:val="17"/>
                <w:szCs w:val="17"/>
                <w:b w:val="1"/>
                <w:bCs w:val="1"/>
                <w:color w:val="auto"/>
              </w:rPr>
              <w:t>As adjusted amounts</w:t>
            </w: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558</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459</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291</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00" w:type="dxa"/>
            <w:vAlign w:val="bottom"/>
          </w:tcPr>
          <w:p>
            <w:pPr>
              <w:spacing w:after="0"/>
              <w:rPr>
                <w:sz w:val="20"/>
                <w:szCs w:val="20"/>
                <w:color w:val="auto"/>
              </w:rPr>
            </w:pPr>
            <w:r>
              <w:rPr>
                <w:rFonts w:ascii="Arial" w:cs="Arial" w:eastAsia="Arial" w:hAnsi="Arial"/>
                <w:sz w:val="17"/>
                <w:szCs w:val="17"/>
                <w:b w:val="1"/>
                <w:bCs w:val="1"/>
                <w:color w:val="auto"/>
              </w:rPr>
              <w:t>2018 Projected Free Cash Flow Reconciliation (a)</w:t>
            </w:r>
          </w:p>
        </w:tc>
        <w:tc>
          <w:tcPr>
            <w:tcW w:w="180" w:type="dxa"/>
            <w:vAlign w:val="bottom"/>
          </w:tcPr>
          <w:p>
            <w:pPr>
              <w:spacing w:after="0"/>
              <w:rPr>
                <w:sz w:val="19"/>
                <w:szCs w:val="1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Scenario 1</w:t>
            </w:r>
          </w:p>
        </w:tc>
        <w:tc>
          <w:tcPr>
            <w:tcW w:w="160" w:type="dxa"/>
            <w:vAlign w:val="bottom"/>
          </w:tcPr>
          <w:p>
            <w:pPr>
              <w:spacing w:after="0"/>
              <w:rPr>
                <w:sz w:val="19"/>
                <w:szCs w:val="19"/>
                <w:color w:val="auto"/>
              </w:rPr>
            </w:pPr>
          </w:p>
        </w:tc>
        <w:tc>
          <w:tcPr>
            <w:tcW w:w="9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w w:val="88"/>
              </w:rPr>
              <w:t>Scenario 2</w:t>
            </w:r>
          </w:p>
        </w:tc>
        <w:tc>
          <w:tcPr>
            <w:tcW w:w="0" w:type="dxa"/>
            <w:vAlign w:val="bottom"/>
          </w:tcPr>
          <w:p>
            <w:pPr>
              <w:spacing w:after="0"/>
              <w:rPr>
                <w:sz w:val="1"/>
                <w:szCs w:val="1"/>
                <w:color w:val="auto"/>
              </w:rPr>
            </w:pPr>
          </w:p>
        </w:tc>
      </w:tr>
      <w:tr>
        <w:trPr>
          <w:trHeight w:val="205"/>
        </w:trPr>
        <w:tc>
          <w:tcPr>
            <w:tcW w:w="4700" w:type="dxa"/>
            <w:vAlign w:val="bottom"/>
            <w:vMerge w:val="restart"/>
          </w:tcPr>
          <w:p>
            <w:pPr>
              <w:ind w:left="140"/>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1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3,500</w:t>
            </w:r>
          </w:p>
        </w:tc>
        <w:tc>
          <w:tcPr>
            <w:tcW w:w="240" w:type="dxa"/>
            <w:vAlign w:val="bottom"/>
          </w:tcPr>
          <w:p>
            <w:pPr>
              <w:spacing w:after="0"/>
              <w:rPr>
                <w:sz w:val="15"/>
                <w:szCs w:val="15"/>
                <w:color w:val="auto"/>
              </w:rPr>
            </w:pPr>
          </w:p>
        </w:tc>
        <w:tc>
          <w:tcPr>
            <w:tcW w:w="1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3,600</w:t>
            </w:r>
          </w:p>
        </w:tc>
        <w:tc>
          <w:tcPr>
            <w:tcW w:w="0" w:type="dxa"/>
            <w:vAlign w:val="bottom"/>
          </w:tcPr>
          <w:p>
            <w:pPr>
              <w:spacing w:after="0"/>
              <w:rPr>
                <w:sz w:val="1"/>
                <w:szCs w:val="1"/>
                <w:color w:val="auto"/>
              </w:rPr>
            </w:pPr>
          </w:p>
        </w:tc>
      </w:tr>
      <w:tr>
        <w:trPr>
          <w:trHeight w:val="203"/>
        </w:trPr>
        <w:tc>
          <w:tcPr>
            <w:tcW w:w="470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(1,650)</w:t>
            </w:r>
          </w:p>
        </w:tc>
        <w:tc>
          <w:tcPr>
            <w:tcW w:w="0" w:type="dxa"/>
            <w:vAlign w:val="bottom"/>
          </w:tcPr>
          <w:p>
            <w:pPr>
              <w:spacing w:after="0"/>
              <w:rPr>
                <w:sz w:val="1"/>
                <w:szCs w:val="1"/>
                <w:color w:val="auto"/>
              </w:rPr>
            </w:pPr>
          </w:p>
        </w:tc>
      </w:tr>
      <w:tr>
        <w:trPr>
          <w:trHeight w:val="203"/>
        </w:trPr>
        <w:tc>
          <w:tcPr>
            <w:tcW w:w="4700" w:type="dxa"/>
            <w:vAlign w:val="bottom"/>
          </w:tcPr>
          <w:p>
            <w:pPr>
              <w:ind w:left="140"/>
              <w:spacing w:after="0"/>
              <w:rPr>
                <w:sz w:val="20"/>
                <w:szCs w:val="20"/>
                <w:color w:val="auto"/>
              </w:rPr>
            </w:pPr>
            <w:r>
              <w:rPr>
                <w:rFonts w:ascii="Arial" w:cs="Arial" w:eastAsia="Arial" w:hAnsi="Arial"/>
                <w:sz w:val="17"/>
                <w:szCs w:val="17"/>
                <w:color w:val="auto"/>
                <w:w w:val="95"/>
              </w:rPr>
              <w:t>Proceeds from divestitures of businesses and other assets (net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220"/>
              <w:spacing w:after="0"/>
              <w:rPr>
                <w:sz w:val="20"/>
                <w:szCs w:val="20"/>
                <w:color w:val="auto"/>
              </w:rPr>
            </w:pPr>
            <w:r>
              <w:rPr>
                <w:rFonts w:ascii="Arial" w:cs="Arial" w:eastAsia="Arial" w:hAnsi="Arial"/>
                <w:sz w:val="17"/>
                <w:szCs w:val="17"/>
                <w:color w:val="auto"/>
              </w:rPr>
              <w:t>of cash divested)</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4"/>
        </w:trPr>
        <w:tc>
          <w:tcPr>
            <w:tcW w:w="4700" w:type="dxa"/>
            <w:vAlign w:val="bottom"/>
            <w:vMerge w:val="restart"/>
          </w:tcPr>
          <w:p>
            <w:pPr>
              <w:spacing w:after="0"/>
              <w:rPr>
                <w:sz w:val="20"/>
                <w:szCs w:val="20"/>
                <w:color w:val="auto"/>
              </w:rPr>
            </w:pPr>
            <w:r>
              <w:rPr>
                <w:rFonts w:ascii="Arial" w:cs="Arial" w:eastAsia="Arial" w:hAnsi="Arial"/>
                <w:sz w:val="17"/>
                <w:szCs w:val="17"/>
                <w:b w:val="1"/>
                <w:bCs w:val="1"/>
                <w:color w:val="auto"/>
              </w:rPr>
              <w:t>Free Cash Flow</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1,950</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548" w:right="339" w:bottom="238" w:gutter="0" w:footer="0" w:header="0"/>
          <w:type w:val="continuous"/>
        </w:sectPr>
      </w:pPr>
    </w:p>
    <w:bookmarkStart w:id="8" w:name="page9"/>
    <w:bookmarkEnd w:id="8"/>
    <w:p>
      <w:pPr>
        <w:ind w:left="252" w:right="2819" w:hanging="252"/>
        <w:spacing w:after="0" w:line="261" w:lineRule="auto"/>
        <w:tabs>
          <w:tab w:leader="none" w:pos="246"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2018. The amounts used in the reconciliation are subject to many variables, some of which are not under our control and, therefore, are not necessarily indicative of actual results.</w:t>
      </w:r>
    </w:p>
    <w:p>
      <w:pPr>
        <w:spacing w:after="0" w:line="186"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1"/>
      </w:cols>
      <w:pgMar w:left="248" w:top="9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2019-12-28T22:54:58Z</dcterms:created>
  <dcterms:modified xsi:type="dcterms:W3CDTF">2019-12-28T22:54:58Z</dcterms:modified>
</cp:coreProperties>
</file>