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ind w:left="350"/>
        <w:spacing w:after="0"/>
        <w:rPr>
          <w:sz w:val="20"/>
          <w:szCs w:val="20"/>
          <w:color w:val="auto"/>
        </w:rPr>
      </w:pPr>
      <w:r>
        <w:rPr>
          <w:rFonts w:ascii="Courier New" w:cs="Courier New" w:eastAsia="Courier New" w:hAnsi="Courier New"/>
          <w:sz w:val="15"/>
          <w:szCs w:val="15"/>
          <w:color w:val="auto"/>
        </w:rPr>
        <w:t>AS FILED WITH THE SECURITIES AND EXCHANGE COMMISSION ON NOVEMBER 1, 1995</w:t>
      </w:r>
    </w:p>
    <w:p>
      <w:pPr>
        <w:ind w:left="4770"/>
        <w:spacing w:after="0"/>
        <w:rPr>
          <w:sz w:val="20"/>
          <w:szCs w:val="20"/>
          <w:color w:val="auto"/>
        </w:rPr>
      </w:pPr>
      <w:r>
        <w:rPr>
          <w:rFonts w:ascii="Courier New" w:cs="Courier New" w:eastAsia="Courier New" w:hAnsi="Courier New"/>
          <w:sz w:val="15"/>
          <w:szCs w:val="15"/>
          <w:color w:val="auto"/>
        </w:rPr>
        <w:t>REGISTRATION NO. 33-</w:t>
      </w: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0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ind w:left="25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ind w:left="25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FORM S-3</w:t>
      </w:r>
    </w:p>
    <w:p>
      <w:pPr>
        <w:spacing w:after="0" w:line="4" w:lineRule="exact"/>
        <w:rPr>
          <w:rFonts w:ascii="Courier New" w:cs="Courier New" w:eastAsia="Courier New" w:hAnsi="Courier New"/>
          <w:sz w:val="15"/>
          <w:szCs w:val="15"/>
          <w:color w:val="auto"/>
        </w:rPr>
      </w:pPr>
    </w:p>
    <w:p>
      <w:pPr>
        <w:ind w:left="3090" w:right="5739" w:hanging="52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REGISTRATION STATEMENT UNDER THE</w:t>
      </w:r>
    </w:p>
    <w:p>
      <w:pPr>
        <w:ind w:left="25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OF 1933</w:t>
      </w:r>
    </w:p>
    <w:p>
      <w:pPr>
        <w:ind w:left="25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USA WASTE SERVICES, INC.</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8"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DELAWARE</w:t>
            </w:r>
          </w:p>
        </w:tc>
        <w:tc>
          <w:tcPr>
            <w:tcW w:w="3620" w:type="dxa"/>
            <w:vAlign w:val="bottom"/>
          </w:tcPr>
          <w:p>
            <w:pPr>
              <w:ind w:left="2300"/>
              <w:spacing w:after="0"/>
              <w:rPr>
                <w:sz w:val="20"/>
                <w:szCs w:val="20"/>
                <w:color w:val="auto"/>
              </w:rPr>
            </w:pPr>
            <w:r>
              <w:rPr>
                <w:rFonts w:ascii="Courier New" w:cs="Courier New" w:eastAsia="Courier New" w:hAnsi="Courier New"/>
                <w:sz w:val="15"/>
                <w:szCs w:val="15"/>
                <w:color w:val="auto"/>
              </w:rPr>
              <w:t>73-1309529</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(State or other jurisdiction of</w:t>
            </w:r>
          </w:p>
        </w:tc>
        <w:tc>
          <w:tcPr>
            <w:tcW w:w="3620" w:type="dxa"/>
            <w:vAlign w:val="bottom"/>
          </w:tcPr>
          <w:p>
            <w:pPr>
              <w:ind w:left="2020"/>
              <w:spacing w:after="0"/>
              <w:rPr>
                <w:sz w:val="20"/>
                <w:szCs w:val="20"/>
                <w:color w:val="auto"/>
              </w:rPr>
            </w:pPr>
            <w:r>
              <w:rPr>
                <w:rFonts w:ascii="Courier New" w:cs="Courier New" w:eastAsia="Courier New" w:hAnsi="Courier New"/>
                <w:sz w:val="15"/>
                <w:szCs w:val="15"/>
                <w:color w:val="auto"/>
              </w:rPr>
              <w:t>(I.R.S. Employer</w:t>
            </w:r>
          </w:p>
        </w:tc>
      </w:tr>
      <w:tr>
        <w:trPr>
          <w:trHeight w:val="170"/>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incorporation or organization)</w:t>
            </w:r>
          </w:p>
        </w:tc>
        <w:tc>
          <w:tcPr>
            <w:tcW w:w="3620" w:type="dxa"/>
            <w:vAlign w:val="bottom"/>
          </w:tcPr>
          <w:p>
            <w:pPr>
              <w:ind w:left="1860"/>
              <w:spacing w:after="0"/>
              <w:rPr>
                <w:sz w:val="20"/>
                <w:szCs w:val="20"/>
                <w:color w:val="auto"/>
              </w:rPr>
            </w:pPr>
            <w:r>
              <w:rPr>
                <w:rFonts w:ascii="Courier New" w:cs="Courier New" w:eastAsia="Courier New" w:hAnsi="Courier New"/>
                <w:sz w:val="15"/>
                <w:szCs w:val="15"/>
                <w:color w:val="auto"/>
              </w:rPr>
              <w:t>Identification No.)</w:t>
            </w:r>
          </w:p>
        </w:tc>
      </w:tr>
      <w:tr>
        <w:trPr>
          <w:trHeight w:val="509"/>
        </w:trPr>
        <w:tc>
          <w:tcPr>
            <w:tcW w:w="696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5400 LBJ FREEWAY</w:t>
            </w:r>
          </w:p>
        </w:tc>
      </w:tr>
      <w:tr>
        <w:trPr>
          <w:trHeight w:val="170"/>
        </w:trPr>
        <w:tc>
          <w:tcPr>
            <w:tcW w:w="69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SUITE 300 -- TOWER ONE</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DALLAS,</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TEXAS 75240</w:t>
            </w:r>
          </w:p>
        </w:tc>
      </w:tr>
      <w:tr>
        <w:trPr>
          <w:trHeight w:val="170"/>
        </w:trPr>
        <w:tc>
          <w:tcPr>
            <w:tcW w:w="696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8"/>
              </w:rPr>
              <w:t>(214) 383-7900</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(Address, including zip</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code, and telephone number,</w:t>
            </w:r>
          </w:p>
        </w:tc>
      </w:tr>
      <w:tr>
        <w:trPr>
          <w:trHeight w:val="170"/>
        </w:trPr>
        <w:tc>
          <w:tcPr>
            <w:tcW w:w="69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including area code, of registrant's principal executive offices)</w:t>
            </w:r>
          </w:p>
        </w:tc>
      </w:tr>
      <w:tr>
        <w:trPr>
          <w:trHeight w:val="339"/>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GREGORY</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T. SANGALIS</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USA WASTE</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SERVICES, INC.</w:t>
            </w:r>
          </w:p>
        </w:tc>
      </w:tr>
      <w:tr>
        <w:trPr>
          <w:trHeight w:val="170"/>
        </w:trPr>
        <w:tc>
          <w:tcPr>
            <w:tcW w:w="696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5400 LBJ FREEWAY</w:t>
            </w:r>
          </w:p>
        </w:tc>
      </w:tr>
      <w:tr>
        <w:trPr>
          <w:trHeight w:val="170"/>
        </w:trPr>
        <w:tc>
          <w:tcPr>
            <w:tcW w:w="69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SUITE 300 -- TOWER ONE</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DALLAS,</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TEXAS 75240</w:t>
            </w:r>
          </w:p>
        </w:tc>
      </w:tr>
      <w:tr>
        <w:trPr>
          <w:trHeight w:val="170"/>
        </w:trPr>
        <w:tc>
          <w:tcPr>
            <w:tcW w:w="696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8"/>
              </w:rPr>
              <w:t>(214) 383-7900</w:t>
            </w:r>
          </w:p>
        </w:tc>
      </w:tr>
      <w:tr>
        <w:trPr>
          <w:trHeight w:val="170"/>
        </w:trPr>
        <w:tc>
          <w:tcPr>
            <w:tcW w:w="69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(Name, address, including zip code, and telephone</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number, including area</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code, of agent for service)</w:t>
            </w:r>
          </w:p>
        </w:tc>
      </w:tr>
      <w:tr>
        <w:trPr>
          <w:trHeight w:val="339"/>
        </w:trPr>
        <w:tc>
          <w:tcPr>
            <w:tcW w:w="696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Copies to:</w:t>
            </w:r>
          </w:p>
        </w:tc>
      </w:tr>
      <w:tr>
        <w:trPr>
          <w:trHeight w:val="339"/>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JOHN</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T. UNGER</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SNELL &amp;</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SMITH, P.C.</w:t>
            </w:r>
          </w:p>
        </w:tc>
      </w:tr>
      <w:tr>
        <w:trPr>
          <w:trHeight w:val="170"/>
        </w:trPr>
        <w:tc>
          <w:tcPr>
            <w:tcW w:w="696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1000 LOUISIANA, SUITE 3650</w:t>
            </w:r>
          </w:p>
        </w:tc>
      </w:tr>
      <w:tr>
        <w:trPr>
          <w:trHeight w:val="170"/>
        </w:trPr>
        <w:tc>
          <w:tcPr>
            <w:tcW w:w="696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HOUSTON, TEXAS 77002</w:t>
            </w:r>
          </w:p>
        </w:tc>
      </w:tr>
      <w:tr>
        <w:trPr>
          <w:trHeight w:val="170"/>
        </w:trPr>
        <w:tc>
          <w:tcPr>
            <w:tcW w:w="69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APPROXIMATE DATE OF COMMENCEMENT</w:t>
            </w:r>
          </w:p>
        </w:tc>
        <w:tc>
          <w:tcPr>
            <w:tcW w:w="3620" w:type="dxa"/>
            <w:vAlign w:val="bottom"/>
          </w:tcPr>
          <w:p>
            <w:pPr>
              <w:spacing w:after="0"/>
              <w:rPr>
                <w:sz w:val="20"/>
                <w:szCs w:val="20"/>
                <w:color w:val="auto"/>
              </w:rPr>
            </w:pPr>
            <w:r>
              <w:rPr>
                <w:rFonts w:ascii="Courier New" w:cs="Courier New" w:eastAsia="Courier New" w:hAnsi="Courier New"/>
                <w:sz w:val="15"/>
                <w:szCs w:val="15"/>
                <w:color w:val="auto"/>
                <w:w w:val="97"/>
              </w:rPr>
              <w:t>OF PROPOSED SALE TO THE PUBLIC: From time</w:t>
            </w: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to time after this Registration Statement becomes effective.</w:t>
            </w:r>
          </w:p>
        </w:tc>
      </w:tr>
    </w:tbl>
    <w:p>
      <w:pPr>
        <w:spacing w:after="0" w:line="175" w:lineRule="exact"/>
        <w:rPr>
          <w:sz w:val="24"/>
          <w:szCs w:val="24"/>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5" w:lineRule="exact"/>
        <w:rPr>
          <w:sz w:val="24"/>
          <w:szCs w:val="24"/>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6" w:lineRule="exact"/>
        <w:rPr>
          <w:sz w:val="24"/>
          <w:szCs w:val="24"/>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10" w:right="3439" w:firstLine="441"/>
        <w:spacing w:after="0" w:line="237"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10" w:right="3259" w:firstLine="441"/>
        <w:spacing w:after="0" w:line="235"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0"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14"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56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PROPOSED MAXIMUM</w:t>
      </w:r>
    </w:p>
    <w:tbl>
      <w:tblPr>
        <w:tblLayout w:type="fixed"/>
        <w:tblInd w:w="270" w:type="dxa"/>
        <w:tblCellMar>
          <w:top w:w="0" w:type="dxa"/>
          <w:left w:w="0" w:type="dxa"/>
          <w:bottom w:w="0" w:type="dxa"/>
          <w:right w:w="0" w:type="dxa"/>
        </w:tblCellMar>
      </w:tblPr>
      <w:tr>
        <w:trPr>
          <w:trHeight w:val="169"/>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PROPOSED MAXIMUM</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AGGREGATE</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TITLE OF SECURITIES TO BE</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AMOUNT TO BE</w:t>
            </w:r>
          </w:p>
        </w:tc>
        <w:tc>
          <w:tcPr>
            <w:tcW w:w="17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OFFERING PRICE</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OFFERING</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AMOUNT OF</w:t>
            </w:r>
          </w:p>
        </w:tc>
        <w:tc>
          <w:tcPr>
            <w:tcW w:w="300" w:type="dxa"/>
            <w:vAlign w:val="bottom"/>
          </w:tcPr>
          <w:p>
            <w:pPr>
              <w:spacing w:after="0"/>
              <w:rPr>
                <w:sz w:val="14"/>
                <w:szCs w:val="14"/>
                <w:color w:val="auto"/>
              </w:rPr>
            </w:pPr>
          </w:p>
        </w:tc>
      </w:tr>
      <w:tr>
        <w:trPr>
          <w:trHeight w:val="170"/>
        </w:trPr>
        <w:tc>
          <w:tcPr>
            <w:tcW w:w="2380" w:type="dxa"/>
            <w:vAlign w:val="bottom"/>
          </w:tcPr>
          <w:p>
            <w:pPr>
              <w:ind w:left="700"/>
              <w:spacing w:after="0"/>
              <w:rPr>
                <w:sz w:val="20"/>
                <w:szCs w:val="20"/>
                <w:color w:val="auto"/>
              </w:rPr>
            </w:pPr>
            <w:r>
              <w:rPr>
                <w:rFonts w:ascii="Courier New" w:cs="Courier New" w:eastAsia="Courier New" w:hAnsi="Courier New"/>
                <w:sz w:val="15"/>
                <w:szCs w:val="15"/>
                <w:color w:val="auto"/>
              </w:rPr>
              <w:t>REGISTERED</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REGISTERED(1)</w:t>
            </w:r>
          </w:p>
        </w:tc>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PER SHARE</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PRICE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REGISTRATION</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FEE</w:t>
            </w:r>
          </w:p>
        </w:tc>
      </w:tr>
    </w:tbl>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10"/>
        <w:spacing w:after="0"/>
        <w:tabs>
          <w:tab w:leader="none" w:pos="4649" w:val="left"/>
          <w:tab w:leader="none" w:pos="5889" w:val="left"/>
          <w:tab w:leader="none" w:pos="7389" w:val="left"/>
        </w:tabs>
        <w:rPr>
          <w:sz w:val="20"/>
          <w:szCs w:val="20"/>
          <w:color w:val="auto"/>
        </w:rPr>
      </w:pPr>
      <w:r>
        <w:rPr>
          <w:rFonts w:ascii="Courier New" w:cs="Courier New" w:eastAsia="Courier New" w:hAnsi="Courier New"/>
          <w:sz w:val="15"/>
          <w:szCs w:val="15"/>
          <w:color w:val="auto"/>
        </w:rPr>
        <w:t>Common Stock, $.01 par value... 3,172,226 shares</w:t>
      </w:r>
      <w:r>
        <w:rPr>
          <w:sz w:val="20"/>
          <w:szCs w:val="20"/>
          <w:color w:val="auto"/>
        </w:rPr>
        <w:tab/>
      </w:r>
      <w:r>
        <w:rPr>
          <w:rFonts w:ascii="Courier New" w:cs="Courier New" w:eastAsia="Courier New" w:hAnsi="Courier New"/>
          <w:sz w:val="15"/>
          <w:szCs w:val="15"/>
          <w:color w:val="auto"/>
        </w:rPr>
        <w:t>$20.75(1)</w:t>
      </w:r>
      <w:r>
        <w:rPr>
          <w:sz w:val="20"/>
          <w:szCs w:val="20"/>
          <w:color w:val="auto"/>
        </w:rPr>
        <w:tab/>
      </w:r>
      <w:r>
        <w:rPr>
          <w:rFonts w:ascii="Courier New" w:cs="Courier New" w:eastAsia="Courier New" w:hAnsi="Courier New"/>
          <w:sz w:val="15"/>
          <w:szCs w:val="15"/>
          <w:color w:val="auto"/>
        </w:rPr>
        <w:t>$65,823,689</w:t>
      </w:r>
      <w:r>
        <w:rPr>
          <w:sz w:val="20"/>
          <w:szCs w:val="20"/>
          <w:color w:val="auto"/>
        </w:rPr>
        <w:tab/>
      </w:r>
      <w:r>
        <w:rPr>
          <w:rFonts w:ascii="Courier New" w:cs="Courier New" w:eastAsia="Courier New" w:hAnsi="Courier New"/>
          <w:sz w:val="14"/>
          <w:szCs w:val="14"/>
          <w:color w:val="auto"/>
        </w:rPr>
        <w:t>$22,697.82</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sz w:val="24"/>
          <w:szCs w:val="24"/>
          <w:color w:val="auto"/>
        </w:rPr>
      </w:pPr>
    </w:p>
    <w:p>
      <w:pPr>
        <w:ind w:left="350" w:right="3179" w:hanging="350"/>
        <w:spacing w:after="0" w:line="235"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in accordance with Rule 457(c), on the basis of the closing price for Common Stock on the New York Stock Exchange on October 30, 1995.</w:t>
      </w:r>
    </w:p>
    <w:p>
      <w:pPr>
        <w:spacing w:after="0" w:line="176" w:lineRule="exact"/>
        <w:rPr>
          <w:sz w:val="24"/>
          <w:szCs w:val="24"/>
          <w:color w:val="auto"/>
        </w:rPr>
      </w:pPr>
    </w:p>
    <w:p>
      <w:pPr>
        <w:ind w:left="10" w:right="3259"/>
        <w:spacing w:after="0" w:line="259"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w:t>
      </w:r>
    </w:p>
    <w:p>
      <w:pPr>
        <w:sectPr>
          <w:pgSz w:w="11900" w:h="16881" w:orient="portrait"/>
          <w:cols w:equalWidth="0" w:num="1">
            <w:col w:w="10229"/>
          </w:cols>
          <w:pgMar w:left="230" w:top="226" w:right="1440" w:bottom="0" w:gutter="0" w:footer="0" w:header="0"/>
        </w:sectPr>
      </w:pPr>
    </w:p>
    <w:bookmarkStart w:id="1" w:name="page2"/>
    <w:bookmarkEnd w:id="1"/>
    <w:p>
      <w:pPr>
        <w:ind w:left="10" w:right="3359"/>
        <w:spacing w:after="0" w:line="237" w:lineRule="auto"/>
        <w:rPr>
          <w:sz w:val="20"/>
          <w:szCs w:val="20"/>
          <w:color w:val="auto"/>
        </w:rPr>
      </w:pPr>
      <w:r>
        <w:rPr>
          <w:rFonts w:ascii="Courier New" w:cs="Courier New" w:eastAsia="Courier New" w:hAnsi="Courier New"/>
          <w:sz w:val="15"/>
          <w:szCs w:val="15"/>
          <w:color w:val="auto"/>
        </w:rPr>
        <w:t>SECURITIES ACT OF 1933 OR UNTIL THE REGISTRATION STATEMENT SHALL BECOME EFFECTIVE ON SUCH DATE AS THE COMMISSION ACTING PURSUANT TO SUCH SECTION 8(A), MAY DETERMINE.</w:t>
      </w:r>
    </w:p>
    <w:p>
      <w:pPr>
        <w:spacing w:after="0" w:line="5" w:lineRule="exact"/>
        <w:rPr>
          <w:sz w:val="20"/>
          <w:szCs w:val="20"/>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20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6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Information contained herein is subject to completion or amendment. 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w w:val="98"/>
              </w:rPr>
              <w:t>registration statement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relating to these securities has been filed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6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with the Securities and Exchange Commission. These securities may not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w w:val="98"/>
              </w:rPr>
              <w:t>be sold nor may offers</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to buy be accepted prior to the time the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w w:val="98"/>
              </w:rPr>
              <w:t>registration statement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becomes effective. This prospectus shall not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w w:val="98"/>
              </w:rPr>
              <w:t>constitute an offer to</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sell or the solicitation of an offer to buy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w w:val="98"/>
              </w:rPr>
              <w:t>nor shall there be any</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sale of these securities in any State in which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6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such offer, solicitation or sale would be unlawful prior to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6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registration or qualification under the securities laws of any such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State.</w:t>
            </w:r>
          </w:p>
        </w:tc>
        <w:tc>
          <w:tcPr>
            <w:tcW w:w="41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20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SUBJECT TO COMPLETION, DATED NOVEMBER 1, 1995</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3,172,226 SHARES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COMMON STOCK</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This Prospectus covers the issuance of a maximum of 3,172,226 shares of common stock, par value $.01 per share (the "Common Stock"), of USA Waste Services, Inc., a Delaware corporation (the "Company"), issuable to holders of the Company's outstanding 8 1/2% Convertible Subordinated Debentures due 2002 (the "Debentures") upon conversion of the Debentures or to Sanders Morris Mundy Inc. (the "Purchaser") under the standby arrangements described under "Standby Arrangements" and the reoffering to the public by the Purchaser of any Common Stock pursuant to such standby arrangements. As of October 25, 1995, Debentures in an aggregate principal amount of $42,032,000 were outstanding.</w:t>
      </w:r>
    </w:p>
    <w:p>
      <w:pPr>
        <w:spacing w:after="0" w:line="16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November 1, 1995, the Company called for redemption on December 11, 1995 (the "Redemption Date"), all of its outstanding Debentures at a redemption price of 105.67% of the principal amount of Debentures, plus accrued interest thereon from October 15, 1995, to the Redemption Date (the "Redemption Price"). The Debentures (or any portion thereof which is $1,000 or an integral multiple thereof) may be converted into the Common Stock of the Company at a conversion price of $13.25 of principal amount of Debentures per share of Common Stock or approximately 75.47 shares of Common Stock for each $1,000 principal amount of Debentures at any time prior to 5:00 p.m. Eastern Time on December 1, 1995 (the "Expiration Time"). Cash will be paid in lieu of any fractional shares of Common Stock issuable upon conversion of the Debentures. No payment or adjustment to the conversion price will be made on account of accrued interest on the Debentures. ANY DEBENTURES NOT SO SURRENDERED FOR CONVERSION PRIOR TO THE EXPIRATION TIME WILL BE REDEEMED FOR CASH ON THE REDEMPTION DATE.</w:t>
      </w:r>
    </w:p>
    <w:p>
      <w:pPr>
        <w:spacing w:after="0" w:line="16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has made arrangements with the Purchaser pursuant to which the Purchaser has agreed to purchase from the Company, at the option of the Company, such number of shares (the "Shares") of Common Stock equal to the number of shares of Common Stock (the "Redemption Shares") that would have been issuable upon conversion of the Debentures that are not surrendered for conversion on or prior to the Expiration Time. The purchase price for such shares of Common Stock will be an amount equal to the aggregate Redemption Price of such Debentures. The Purchaser has agreed to remit to the Company not less than 75% of the amount, if any, by which the aggregate net proceeds received by the Purchaser from sales of the Shares exceeds the Redemption Price of the Shares if the number of Redemption Shares is equal to or less than 369,811 shares and not less than 50% of the amount, if any, by which the aggregate net proceeds received by the Purchaser from sales of the Shares exceeds the Redemption Price of the Shares if the number of Redemption Shares is greater than 369,811 shares. The Purchaser may also purchase Debentures in the open market or otherwise prior to the Expiration Time and has agreed to convert into Common Stock all Debentures which it so purchases. See "Standby Arrangements" for a description of the Purchaser's compensation and indemnification arrangements with the Company.</w:t>
      </w:r>
    </w:p>
    <w:p>
      <w:pPr>
        <w:spacing w:after="0" w:line="16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SEE "RISK FACTORS" ON PAGE 6 FOR A DISCUSSION OF CERTAIN FACTORS THAT SHOULD BE CONSIDERED BY PROSPECTIVE PURCHASERS OF THE COMMON STOCK. SO LONG AS THE MARKET PRICE OF THE COMMON STOCK IS GREATER THAN $14.18 PER SHARE AT THE TIME OF CONVERSION, A HOLDER OF DEBENTURES WHO EXERCISES SUCH HOLDER'S CONVERSION RIGHTS WILL RECEIVE COMMON STOCK WITH A MARKET VALUE, PLUS CASH IN LIEU OF ANY FRACTIONAL SHARE, GREATER THAN THE AMOUNT OF CASH SUCH HOLDER WOULD OTHERWISE BE ENTITLED TO RECEIVE UPON THE REDEMPTION OF THE DEBENTURES, BEFORE DEDUCTING ANY APPLICABLE TRANSFER TAXES.</w:t>
      </w:r>
    </w:p>
    <w:p>
      <w:pPr>
        <w:spacing w:after="0" w:line="17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5" w:lineRule="exact"/>
        <w:rPr>
          <w:sz w:val="20"/>
          <w:szCs w:val="20"/>
          <w:color w:val="auto"/>
        </w:rPr>
      </w:pPr>
    </w:p>
    <w:p>
      <w:pPr>
        <w:jc w:val="center"/>
        <w:ind w:right="3359"/>
        <w:spacing w:after="0" w:line="237" w:lineRule="auto"/>
        <w:rPr>
          <w:sz w:val="20"/>
          <w:szCs w:val="20"/>
          <w:color w:val="auto"/>
        </w:rPr>
      </w:pPr>
      <w:r>
        <w:rPr>
          <w:rFonts w:ascii="Courier New" w:cs="Courier New" w:eastAsia="Courier New" w:hAnsi="Courier New"/>
          <w:sz w:val="15"/>
          <w:szCs w:val="15"/>
          <w:color w:val="auto"/>
        </w:rPr>
        <w:t>EXCHANGE COMMISSION OR ANY STATE SECURITIES COMMISSION NOR HAS THE COMMISSION OR ANY STATE SECURITIES COMMISSION PASSED UPON THE ACCURACY OR ADEQUACY OF THIS PROSPECTUS. ANY REPRESENTATION TO THE CONTRARY IS A CRIMINAL OFFENSE.</w:t>
      </w:r>
    </w:p>
    <w:p>
      <w:pPr>
        <w:spacing w:after="0" w:line="1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SANDERS MORRIS MUNDY</w:t>
      </w:r>
    </w:p>
    <w:p>
      <w:pPr>
        <w:spacing w:after="0" w:line="169"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1995.</w:t>
            </w:r>
          </w:p>
        </w:tc>
      </w:tr>
    </w:tbl>
    <w:p>
      <w:pPr>
        <w:sectPr>
          <w:pgSz w:w="11900" w:h="16838" w:orient="portrait"/>
          <w:cols w:equalWidth="0" w:num="1">
            <w:col w:w="10219"/>
          </w:cols>
          <w:pgMar w:left="240" w:top="283" w:right="1440" w:bottom="1074"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October 30, 1995, the closing price of the Common Stock as reported on the New York Stock Exchange Composite Tape was $20.75 per share. If a holder of $1,000 principal amount of Debentures on that date had converted such principal amount, such holder would have received Common Stock (and cash in lieu of a fractional share) having a market value equal to $1,566.03, based on the closing price of $20.75 per share. The market price of the Common Stock received upon conversion is subject to fluctuation, and such holder may incur various transaction costs if the Common Stock is sold. See "Price Range of Common Stock and Dividends." Holders of Debentures are urged to obtain current information as to the market price of the Common Stock. So long as the market price of the Common Stock is greater than $14.18 per share at the time of conversion, a holder of Debentures who exercises such holder's conversion rights will receive Common Stock with a market value, plus cash in lieu of any fractional share, greater than the amount of cash such holder would otherwise be entitled to receive upon the redemption of the Debentures, before deducting any applicable transfer taxes. See "Redemption of the Debentures and Alternatives to Redemption."</w:t>
      </w:r>
    </w:p>
    <w:p>
      <w:pPr>
        <w:spacing w:after="0" w:line="18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Prior to, on or after the Redemption Date, the Purchaser may offer shares of Common Stock pursuant to this Prospectus directly to the public, at prices set from time to time by it, including shares acquired pursuant to the standby arrangements or through conversion of Debentures acquired by the Purchaser. Each such price when set will not exceed the greater of the last sale or current offering price of the Common Stock on the New York Stock Exchange plus the amounts of any concession to dealers, and an offering price on any calendar day will not be increased more than once during such day. In effecting such transactions, the Purchaser may realize profits or losses independent of the compensation referred to under "Standby Arrangements." The Purchaser may also make sales to dealers at prices that represent concessions from the prices at which such shares are then being offered to the public. The amount of such concessions will be determined from time to time by the Purchaser. Any Common Stock so offered is offered subject to prior sale, when, as and if received by the Purchaser, and subject to its right to reject orders in whole or in part. This Prospectus does not constitute an offer to sell any securities other than the Common Stock offered by the Purchaser.</w:t>
      </w:r>
    </w:p>
    <w:p>
      <w:pPr>
        <w:spacing w:after="0" w:line="187"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outstanding shares of Common Stock and any shares acquired through conversion of Debentures are listed, and the Shares will be listed, on the New York Stock Exchange (the "NYSE").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CONNECTION WITH THIS OFFERING, THE PURCHASER MAY OVER-ALLOT OR EFFECT TRANSACTIONS WHICH STABILIZE OR MAINTAIN THE MARKET PRICE OF THE DEBENTURES OR THE COMMON STOCK AT LEVELS ABOVE THOSE WHICH MIGHT OTHERWISE PREVAIL IN THE OPEN MARKET. SUCH TRANSACTIONS MAY BE EFFECTED ON THE NEW YORK STOCK EXCHANGE, IN THE OVER-THE-COUNTER MARKET OR OTHERWISE. SUCH STABILIZING, IF COMMENCED, MAY BE DISCONTINUED AT ANY TIME.</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 DEALER, SALESMAN, OR ANY OTHER PERSON HAS BEEN AUTHORIZED TO GIVE ANY INFORMATION OR TO MAKE ANY REPRESENTATIONS OTHER THAN THOSE CONTAINED IN THIS PROSPECTUS IN CONNECTION WITH THE OFFERING CONTAINED HEREIN, AND, IF GIVEN OR MADE, SUCH INFORMATION OR REPRESENTATIONS MUST NOT BE RELIED UPON AS HAVING BEEN AUTHORIZED BY THE COMPANY. THIS PROSPECTUS DOES NOT CONSTITUTE AN OFFER TO SELL OR A SOLICITATION OF AN OFFER TO BUY ANY OF THE SECURITIES OFFERED HEREBY TO ANY PERSON TO WHOM IT IS UNLAWFUL TO MAKE SUCH OFFER OR SOLICITATION. NEITHER THE DELIVERY OF THIS PROSPECTUS NOR ANY SALE HEREUNDER SHALL, UNDER ANY CIRCUMSTANCES, CREATE ANY IMPLICATION THAT THERE HAS BEEN NO CHANGE IN THE AFFAIRS OF THE COMPANY SINCE THE DATE HEREOF.</w:t>
      </w:r>
    </w:p>
    <w:p>
      <w:pPr>
        <w:spacing w:after="0" w:line="17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8" w:lineRule="exact"/>
        <w:rPr>
          <w:sz w:val="20"/>
          <w:szCs w:val="20"/>
          <w:color w:val="auto"/>
        </w:rPr>
      </w:pPr>
    </w:p>
    <w:p>
      <w:pPr>
        <w:spacing w:after="0"/>
        <w:tabs>
          <w:tab w:leader="dot" w:pos="482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3"/>
          <w:szCs w:val="13"/>
          <w:color w:val="auto"/>
        </w:rPr>
        <w:t>3</w:t>
      </w:r>
    </w:p>
    <w:p>
      <w:pPr>
        <w:spacing w:after="0"/>
        <w:rPr>
          <w:sz w:val="20"/>
          <w:szCs w:val="20"/>
          <w:color w:val="auto"/>
        </w:rPr>
      </w:pPr>
      <w:r>
        <w:rPr>
          <w:rFonts w:ascii="Courier New" w:cs="Courier New" w:eastAsia="Courier New" w:hAnsi="Courier New"/>
          <w:sz w:val="15"/>
          <w:szCs w:val="15"/>
          <w:color w:val="auto"/>
        </w:rPr>
        <w:t>Incorporation of Certain Information by</w:t>
      </w:r>
    </w:p>
    <w:p>
      <w:pPr>
        <w:ind w:left="160"/>
        <w:spacing w:after="0"/>
        <w:tabs>
          <w:tab w:leader="dot" w:pos="4820"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3"/>
          <w:szCs w:val="13"/>
          <w:color w:val="auto"/>
        </w:rPr>
        <w:t>4</w:t>
      </w:r>
    </w:p>
    <w:p>
      <w:pPr>
        <w:spacing w:after="0"/>
        <w:tabs>
          <w:tab w:leader="dot" w:pos="4820" w:val="left"/>
        </w:tabs>
        <w:rPr>
          <w:sz w:val="20"/>
          <w:szCs w:val="20"/>
          <w:color w:val="auto"/>
        </w:rPr>
      </w:pPr>
      <w:r>
        <w:rPr>
          <w:rFonts w:ascii="Courier New" w:cs="Courier New" w:eastAsia="Courier New" w:hAnsi="Courier New"/>
          <w:sz w:val="15"/>
          <w:szCs w:val="15"/>
          <w:color w:val="auto"/>
        </w:rPr>
        <w:t>The Company</w:t>
      </w:r>
      <w:r>
        <w:rPr>
          <w:sz w:val="20"/>
          <w:szCs w:val="20"/>
          <w:color w:val="auto"/>
        </w:rPr>
        <w:tab/>
      </w:r>
      <w:r>
        <w:rPr>
          <w:rFonts w:ascii="Courier New" w:cs="Courier New" w:eastAsia="Courier New" w:hAnsi="Courier New"/>
          <w:sz w:val="13"/>
          <w:szCs w:val="13"/>
          <w:color w:val="auto"/>
        </w:rPr>
        <w:t>5</w:t>
      </w:r>
    </w:p>
    <w:p>
      <w:pPr>
        <w:spacing w:after="0"/>
        <w:tabs>
          <w:tab w:leader="dot" w:pos="4820" w:val="left"/>
        </w:tabs>
        <w:rPr>
          <w:sz w:val="20"/>
          <w:szCs w:val="20"/>
          <w:color w:val="auto"/>
        </w:rPr>
      </w:pPr>
      <w:r>
        <w:rPr>
          <w:rFonts w:ascii="Courier New" w:cs="Courier New" w:eastAsia="Courier New" w:hAnsi="Courier New"/>
          <w:sz w:val="15"/>
          <w:szCs w:val="15"/>
          <w:color w:val="auto"/>
        </w:rPr>
        <w:t>Recent Developments</w:t>
      </w:r>
      <w:r>
        <w:rPr>
          <w:sz w:val="20"/>
          <w:szCs w:val="20"/>
          <w:color w:val="auto"/>
        </w:rPr>
        <w:tab/>
      </w:r>
      <w:r>
        <w:rPr>
          <w:rFonts w:ascii="Courier New" w:cs="Courier New" w:eastAsia="Courier New" w:hAnsi="Courier New"/>
          <w:sz w:val="13"/>
          <w:szCs w:val="13"/>
          <w:color w:val="auto"/>
        </w:rPr>
        <w:t>5</w:t>
      </w:r>
    </w:p>
    <w:p>
      <w:pPr>
        <w:spacing w:after="0"/>
        <w:tabs>
          <w:tab w:leader="dot" w:pos="482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6</w:t>
      </w:r>
    </w:p>
    <w:p>
      <w:pPr>
        <w:spacing w:after="0"/>
        <w:tabs>
          <w:tab w:leader="dot" w:pos="482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3"/>
          <w:szCs w:val="13"/>
          <w:color w:val="auto"/>
        </w:rPr>
        <w:t>7</w:t>
      </w:r>
    </w:p>
    <w:p>
      <w:pPr>
        <w:spacing w:after="0"/>
        <w:rPr>
          <w:sz w:val="20"/>
          <w:szCs w:val="20"/>
          <w:color w:val="auto"/>
        </w:rPr>
      </w:pPr>
      <w:r>
        <w:rPr>
          <w:rFonts w:ascii="Courier New" w:cs="Courier New" w:eastAsia="Courier New" w:hAnsi="Courier New"/>
          <w:sz w:val="15"/>
          <w:szCs w:val="15"/>
          <w:color w:val="auto"/>
        </w:rPr>
        <w:t>Redemption of Debentures and</w:t>
      </w:r>
    </w:p>
    <w:p>
      <w:pPr>
        <w:ind w:left="160"/>
        <w:spacing w:after="0"/>
        <w:tabs>
          <w:tab w:leader="dot" w:pos="4820" w:val="left"/>
        </w:tabs>
        <w:rPr>
          <w:sz w:val="20"/>
          <w:szCs w:val="20"/>
          <w:color w:val="auto"/>
        </w:rPr>
      </w:pPr>
      <w:r>
        <w:rPr>
          <w:rFonts w:ascii="Courier New" w:cs="Courier New" w:eastAsia="Courier New" w:hAnsi="Courier New"/>
          <w:sz w:val="15"/>
          <w:szCs w:val="15"/>
          <w:color w:val="auto"/>
        </w:rPr>
        <w:t>Alternatives to Redemption</w:t>
      </w:r>
      <w:r>
        <w:rPr>
          <w:sz w:val="20"/>
          <w:szCs w:val="20"/>
          <w:color w:val="auto"/>
        </w:rPr>
        <w:tab/>
      </w:r>
      <w:r>
        <w:rPr>
          <w:rFonts w:ascii="Courier New" w:cs="Courier New" w:eastAsia="Courier New" w:hAnsi="Courier New"/>
          <w:sz w:val="13"/>
          <w:szCs w:val="13"/>
          <w:color w:val="auto"/>
        </w:rPr>
        <w:t>8</w:t>
      </w:r>
    </w:p>
    <w:p>
      <w:pPr>
        <w:spacing w:after="0"/>
        <w:tabs>
          <w:tab w:leader="dot" w:pos="4820" w:val="left"/>
        </w:tabs>
        <w:rPr>
          <w:sz w:val="20"/>
          <w:szCs w:val="20"/>
          <w:color w:val="auto"/>
        </w:rPr>
      </w:pPr>
      <w:r>
        <w:rPr>
          <w:rFonts w:ascii="Courier New" w:cs="Courier New" w:eastAsia="Courier New" w:hAnsi="Courier New"/>
          <w:sz w:val="15"/>
          <w:szCs w:val="15"/>
          <w:color w:val="auto"/>
        </w:rPr>
        <w:t>Price Range of Common Stock and Dividends</w:t>
      </w:r>
      <w:r>
        <w:rPr>
          <w:sz w:val="20"/>
          <w:szCs w:val="20"/>
          <w:color w:val="auto"/>
        </w:rPr>
        <w:tab/>
      </w:r>
      <w:r>
        <w:rPr>
          <w:rFonts w:ascii="Courier New" w:cs="Courier New" w:eastAsia="Courier New" w:hAnsi="Courier New"/>
          <w:sz w:val="13"/>
          <w:szCs w:val="13"/>
          <w:color w:val="auto"/>
        </w:rPr>
        <w:t>9</w:t>
      </w:r>
    </w:p>
    <w:p>
      <w:pPr>
        <w:spacing w:after="0"/>
        <w:tabs>
          <w:tab w:leader="dot" w:pos="474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3"/>
          <w:szCs w:val="13"/>
          <w:color w:val="auto"/>
        </w:rPr>
        <w:t>11</w:t>
      </w:r>
    </w:p>
    <w:p>
      <w:pPr>
        <w:spacing w:after="0"/>
        <w:tabs>
          <w:tab w:leader="dot" w:pos="4740" w:val="left"/>
        </w:tabs>
        <w:rPr>
          <w:sz w:val="20"/>
          <w:szCs w:val="20"/>
          <w:color w:val="auto"/>
        </w:rPr>
      </w:pPr>
      <w:r>
        <w:rPr>
          <w:rFonts w:ascii="Courier New" w:cs="Courier New" w:eastAsia="Courier New" w:hAnsi="Courier New"/>
          <w:sz w:val="15"/>
          <w:szCs w:val="15"/>
          <w:color w:val="auto"/>
        </w:rPr>
        <w:t>Summary Consolidated Financial Data</w:t>
      </w:r>
      <w:r>
        <w:rPr>
          <w:sz w:val="20"/>
          <w:szCs w:val="20"/>
          <w:color w:val="auto"/>
        </w:rPr>
        <w:tab/>
      </w:r>
      <w:r>
        <w:rPr>
          <w:rFonts w:ascii="Courier New" w:cs="Courier New" w:eastAsia="Courier New" w:hAnsi="Courier New"/>
          <w:sz w:val="13"/>
          <w:szCs w:val="13"/>
          <w:color w:val="auto"/>
        </w:rPr>
        <w:t>12</w:t>
      </w:r>
    </w:p>
    <w:p>
      <w:pPr>
        <w:spacing w:after="0"/>
        <w:tabs>
          <w:tab w:leader="dot" w:pos="4740" w:val="left"/>
        </w:tabs>
        <w:rPr>
          <w:sz w:val="20"/>
          <w:szCs w:val="20"/>
          <w:color w:val="auto"/>
        </w:rPr>
      </w:pPr>
      <w:r>
        <w:rPr>
          <w:rFonts w:ascii="Courier New" w:cs="Courier New" w:eastAsia="Courier New" w:hAnsi="Courier New"/>
          <w:sz w:val="15"/>
          <w:szCs w:val="15"/>
          <w:color w:val="auto"/>
        </w:rPr>
        <w:t>Certain Federal Income Tax Considerations</w:t>
      </w:r>
      <w:r>
        <w:rPr>
          <w:sz w:val="20"/>
          <w:szCs w:val="20"/>
          <w:color w:val="auto"/>
        </w:rPr>
        <w:tab/>
      </w:r>
      <w:r>
        <w:rPr>
          <w:rFonts w:ascii="Courier New" w:cs="Courier New" w:eastAsia="Courier New" w:hAnsi="Courier New"/>
          <w:sz w:val="13"/>
          <w:szCs w:val="13"/>
          <w:color w:val="auto"/>
        </w:rPr>
        <w:t>14</w:t>
      </w:r>
    </w:p>
    <w:p>
      <w:pPr>
        <w:spacing w:after="0"/>
        <w:tabs>
          <w:tab w:leader="dot" w:pos="474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3"/>
          <w:szCs w:val="13"/>
          <w:color w:val="auto"/>
        </w:rPr>
        <w:t>15</w:t>
      </w:r>
    </w:p>
    <w:p>
      <w:pPr>
        <w:spacing w:after="0"/>
        <w:tabs>
          <w:tab w:leader="dot" w:pos="4740" w:val="left"/>
        </w:tabs>
        <w:rPr>
          <w:sz w:val="20"/>
          <w:szCs w:val="20"/>
          <w:color w:val="auto"/>
        </w:rPr>
      </w:pPr>
      <w:r>
        <w:rPr>
          <w:rFonts w:ascii="Courier New" w:cs="Courier New" w:eastAsia="Courier New" w:hAnsi="Courier New"/>
          <w:sz w:val="15"/>
          <w:szCs w:val="15"/>
          <w:color w:val="auto"/>
        </w:rPr>
        <w:t>Standby Arrangements</w:t>
      </w:r>
      <w:r>
        <w:rPr>
          <w:sz w:val="20"/>
          <w:szCs w:val="20"/>
          <w:color w:val="auto"/>
        </w:rPr>
        <w:tab/>
      </w:r>
      <w:r>
        <w:rPr>
          <w:rFonts w:ascii="Courier New" w:cs="Courier New" w:eastAsia="Courier New" w:hAnsi="Courier New"/>
          <w:sz w:val="13"/>
          <w:szCs w:val="13"/>
          <w:color w:val="auto"/>
        </w:rPr>
        <w:t>17</w:t>
      </w:r>
    </w:p>
    <w:p>
      <w:pPr>
        <w:spacing w:after="0"/>
        <w:tabs>
          <w:tab w:leader="dot" w:pos="474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3"/>
          <w:szCs w:val="13"/>
          <w:color w:val="auto"/>
        </w:rPr>
        <w:t>18</w:t>
      </w:r>
    </w:p>
    <w:p>
      <w:pPr>
        <w:spacing w:after="0"/>
        <w:tabs>
          <w:tab w:leader="dot" w:pos="474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3"/>
          <w:szCs w:val="13"/>
          <w:color w:val="auto"/>
        </w:rPr>
        <w:t>18</w:t>
      </w:r>
    </w:p>
    <w:p>
      <w:pPr>
        <w:spacing w:after="0" w:line="33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AVAILABLE INFORMATION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Reports, proxy and information statements, and other information filed by the Company can be inspected and copied at the public reference facilities maintained by the Commission at Judiciary Plaza Building, 450 Fifth Street, N.W., Room 1024, Washington, D.C. 20549 and at the regional offices of the Commission located in New York, New York at 7 World Trade Center, Suite 1300, New York, New York 10048 and Chicago, Illinois at 500 West Madison, Suite 1400, Chicago, Illinois 60661. Copies of such material can be obtained from the Public Reference Section of the Commission at 450 Fifth Street, N.W., Room 1024, Washington, D.C. 20549, at prescribed rates.</w:t>
      </w:r>
    </w:p>
    <w:p>
      <w:pPr>
        <w:spacing w:after="0" w:line="18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Company's Common Stock is traded on the NYSE and reports, proxy and information statements, and other information concerning the Company may be inspected at the offices of such Exchange at 20 Broad Street, New York, New York 10005.</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This Prospectus constitutes part of a Registration Statement on Form S-3 (together with all amendments and exhibits thereto, the "Registration Statement") filed by the Company with the Commission under the Securities Act of 1933, as amended (the "Securities Act"). This Prospectus omits certain of the information contained in the Registration Statement, and reference is hereby made to the Registration Statement for further information with respect to the Company and the Common Stock offered hereby. Any statements contained herein concerning the provisions of any document filed as an exhibit to the Registration Statement or otherwise filed with the Commission are not necessarily complete, and in each instance reference is made to the copy of such document as filed. Each such statement is qualified in its entirety by such reference. The Registration Statement, including exhibits and schedules thereto, may be inspected without charge at the offices of the Commission, and copies of such materials may be obtained therefrom at prescribed rates.</w:t>
      </w:r>
    </w:p>
    <w:p>
      <w:pPr>
        <w:spacing w:after="0" w:line="17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INCORPORATION OF CERTAIN INFORMATION BY REFERENCE</w:t>
      </w:r>
    </w:p>
    <w:p>
      <w:pPr>
        <w:spacing w:after="0" w:line="175"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THIS PROSPECTUS INCORPORATES DOCUMENTS BY REFERENCE THAT ARE NOT PRESENTED HEREIN OR DELIVERED HEREWITH. THESE DOCUMENTS WILL BE AVAILABLE UPON REQUEST FROM CORPORATE SECRETARY, USA WASTE SERVICES, INC., 5400 LBJ FREEWAY, SUITE</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300 -- TOWER ONE, DALLAS, TEXAS 75240, TELEPHONE NUMBER 214-383-7900. IN ORDER TO ENSURE TIMELY DELIVER OF THE DOCUMENTS, ANY REQUEST SHOULD BE MADE BY A DATE THAT IS AT LEAST FIVE DAYS PRIOR TO THE DATE ON WHICH THE FINAL INVESTMENT DECISION MUST BE MADE.</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documents filed by the Company with the Commission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Act are incorporated by reference in this Prospectus:</w:t>
      </w:r>
    </w:p>
    <w:p>
      <w:pPr>
        <w:spacing w:after="0" w:line="175" w:lineRule="exact"/>
        <w:rPr>
          <w:sz w:val="20"/>
          <w:szCs w:val="20"/>
          <w:color w:val="auto"/>
        </w:rPr>
      </w:pPr>
    </w:p>
    <w:p>
      <w:pPr>
        <w:ind w:left="440" w:right="3259" w:firstLine="432"/>
        <w:spacing w:after="0" w:line="265" w:lineRule="auto"/>
        <w:tabs>
          <w:tab w:leader="none" w:pos="123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on Form 10-K for the fiscal year ended December 31, 1994, as amended by Form 10-K/A (Amendment No. 1) dated April 25, 1995;</w:t>
      </w:r>
    </w:p>
    <w:p>
      <w:pPr>
        <w:spacing w:after="0" w:line="158" w:lineRule="exact"/>
        <w:rPr>
          <w:rFonts w:ascii="Courier New" w:cs="Courier New" w:eastAsia="Courier New" w:hAnsi="Courier New"/>
          <w:sz w:val="14"/>
          <w:szCs w:val="14"/>
          <w:color w:val="auto"/>
        </w:rPr>
      </w:pPr>
    </w:p>
    <w:p>
      <w:pPr>
        <w:ind w:left="440" w:right="3259" w:firstLine="432"/>
        <w:spacing w:after="0" w:line="238" w:lineRule="auto"/>
        <w:tabs>
          <w:tab w:leader="none" w:pos="123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dated February 28, 1994, as filed by Envirofil, Inc., a Delaware corporation and wholly owned subsidiary of the Company ("Envirofil") and as amended by Form 8-K/A dated May 11, 1994, including the combined financial statements of the Acquired New Jersey Solid Waste Companies as of December 31, 1992 and 1993 and for each of the three years in the period ended December 31, 1993;</w:t>
      </w:r>
    </w:p>
    <w:p>
      <w:pPr>
        <w:spacing w:after="0" w:line="175" w:lineRule="exact"/>
        <w:rPr>
          <w:rFonts w:ascii="Courier New" w:cs="Courier New" w:eastAsia="Courier New" w:hAnsi="Courier New"/>
          <w:sz w:val="15"/>
          <w:szCs w:val="15"/>
          <w:color w:val="auto"/>
        </w:rPr>
      </w:pPr>
    </w:p>
    <w:p>
      <w:pPr>
        <w:ind w:left="440" w:right="3179" w:firstLine="432"/>
        <w:spacing w:after="0" w:line="235" w:lineRule="auto"/>
        <w:tabs>
          <w:tab w:leader="none" w:pos="123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as amended, for the quarters ended March 31, 1995 and June 30, 1995;</w:t>
      </w:r>
    </w:p>
    <w:p>
      <w:pPr>
        <w:spacing w:after="0" w:line="175" w:lineRule="exact"/>
        <w:rPr>
          <w:rFonts w:ascii="Courier New" w:cs="Courier New" w:eastAsia="Courier New" w:hAnsi="Courier New"/>
          <w:sz w:val="15"/>
          <w:szCs w:val="15"/>
          <w:color w:val="auto"/>
        </w:rPr>
      </w:pPr>
    </w:p>
    <w:p>
      <w:pPr>
        <w:ind w:left="440" w:right="3359" w:firstLine="432"/>
        <w:spacing w:after="0" w:line="235" w:lineRule="auto"/>
        <w:tabs>
          <w:tab w:leader="none" w:pos="123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Proxy Statement and Prospectus for its 1995 Annual Meeting of Shareholders dated May 19, 1995;</w:t>
      </w:r>
    </w:p>
    <w:p>
      <w:pPr>
        <w:spacing w:after="0" w:line="170" w:lineRule="exact"/>
        <w:rPr>
          <w:rFonts w:ascii="Courier New" w:cs="Courier New" w:eastAsia="Courier New" w:hAnsi="Courier New"/>
          <w:sz w:val="15"/>
          <w:szCs w:val="15"/>
          <w:color w:val="auto"/>
        </w:rPr>
      </w:pPr>
    </w:p>
    <w:p>
      <w:pPr>
        <w:ind w:left="1220" w:hanging="348"/>
        <w:spacing w:after="0"/>
        <w:tabs>
          <w:tab w:leader="none" w:pos="12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dated June 30, 1995; and</w:t>
      </w:r>
    </w:p>
    <w:p>
      <w:pPr>
        <w:spacing w:after="0" w:line="174" w:lineRule="exact"/>
        <w:rPr>
          <w:rFonts w:ascii="Courier New" w:cs="Courier New" w:eastAsia="Courier New" w:hAnsi="Courier New"/>
          <w:sz w:val="15"/>
          <w:szCs w:val="15"/>
          <w:color w:val="auto"/>
        </w:rPr>
      </w:pPr>
    </w:p>
    <w:p>
      <w:pPr>
        <w:ind w:left="440" w:right="3439" w:firstLine="432"/>
        <w:spacing w:after="0" w:line="235" w:lineRule="auto"/>
        <w:tabs>
          <w:tab w:leader="none" w:pos="123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Common Stock of the Company contained in the Company's Registration Statement on Form 8-B dated July 13, 1995.</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All documents filed by the Company pursuant to Sections 13(a), 13(c), 14, or 15(d) of the Exchange Act subsequent to the date of filing of the Company's Annual Report on Form 10-K referred to above and prior to the termination of the offering described herein shall be deemed to be incorporated by reference and to be a part of this Prospectus from the date of filing of such documents.</w:t>
      </w:r>
    </w:p>
    <w:p>
      <w:pPr>
        <w:spacing w:after="0" w:line="178"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Any statement contained in a document incorporated by reference herein shall be deemed to be modified or superseded for all purposes to the extent that a statement contained in this Prospectus, or in any other subsequently filed document that is also incorporated by reference, modifies or replaces such statement. Any such statement so modified or superseded shall not be deemed, except as so modified or superseded, to constitute a part of this Prospectus.</w:t>
      </w:r>
    </w:p>
    <w:p>
      <w:pPr>
        <w:spacing w:after="0" w:line="164"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The Company will provide without charge to each person to whom this Prospectus is delivered, on written or oral request of such person, a copy (without exhibits) of any and all information incorporated by reference in this Prospectus. Requests for such copies should be directed to Corporate Secretary, USA Waste Services, Inc., (i) if by telephone to (214) 383-7900 and (ii) if by mail to 5400 LBJ Freeway, Suite 300 -- Tower One, Dallas, Texas 75240.</w:t>
      </w:r>
    </w:p>
    <w:p>
      <w:pPr>
        <w:spacing w:after="0" w:line="15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COMPANY</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USA Waste is the fourth largest integrated solid waste management company in North America and serves municipal, commercial, industrial and residential customers in 21 states. The Company's solid waste management services include collection, transfer and disposal operations and, to a lesser extent, recycling and certain other waste management services. USA Waste owns or operates 29 landfills, 21 transfer stations and 42 collection operations and serves more than 450,000 customers.</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Approximately 54% of the Company's revenues for the six months ended June 30, 1995 was attributable to collection operations, approximately 30% was attributable to landfill operations and approximately 9% was from transfer operations. Of the collection revenues, approximately 44%, 24% and 32% were from commercial, residential, and industrial customers, respectively. The Company focuses primarily on residential, commercial and permanent roll-off customers because such customers tend to provide more predictable waste stream volumes. The Company's average landfill volume for the three months ended June 30, 1995 was approximately 23,500 tons per day.</w:t>
      </w:r>
    </w:p>
    <w:p>
      <w:pPr>
        <w:spacing w:after="0" w:line="179"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intends to capitalize on the consolidation in the solid waste management industry. Key elements of the Company's strategy include (i) increasing productivity and operating efficiencies in existing and acquired operations, (ii) increasing revenues and enhancing profitability through tuck-in acquisitions and (iii) expanding into new markets through acquisitions. The Company seeks to become the low 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and pursues acquisitions in new markets where the Company believes it can strengthen its overall competitive position as a national provider of integrated solid waste management services.</w:t>
      </w:r>
    </w:p>
    <w:p>
      <w:pPr>
        <w:spacing w:after="0" w:line="16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The Company's executive offices are located at 5400 LBJ Freeway, Suite 300 -- Tower One, Dallas, Texas 75240 (telephone (214) 383-7900). The Company was organized in 1995 as a successor to USA Waste Services, Inc., an Oklahoma corporation organized in 1987. As used in this Prospectus, the terms "the Company" and "USA Waste" refer to USA Waste Services, Inc., a Delaware corporation and its subsidiaries.</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RECENT DEVELOPMENTS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materially expanded its operations and markets with its acquisition of Chambers Development Company, Inc. ("Chambers") on June 30, 1995 (the "Chambers Merger"). With the addition of the Chambers operations, which include significant landfill capacity as well as collection and transfer station operations, the Company established its presence in the Mid-Atlantic and southeastern regions of the United States. Since the Chambers Merger, the Company has continued to expand its operations and revenue base through a series of smaller acquisitions that complemented and expanded the Company's operations. The Company has completed nine acquisitions since the Chambers Merger resulting in the addition of four landfills, eight collection operations and eight transfer stations. The Company issued an aggregate of 2,453,000 shares of its Common Stock and paid an aggregate of $11.4 million in cash in connection with these transactions. The acquired operations are based in Arkansas, Georgia, Missouri, Pennsylvania, Texas and Virginia.</w:t>
      </w:r>
    </w:p>
    <w:p>
      <w:pPr>
        <w:spacing w:after="0" w:line="18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August 1995, the Company entered into an agreement with the Town of North Hempstead Solid Waste Management Authority in North Hempstead, New York for the management of its solid waste disposal, transfer, transport and recycling operations. The contract has a 15-year term unless terminated earlier in accordance with the agreement (such as in the case of an event of default) and is expected to provide the Company annual revenues of approximately $9 million.</w:t>
      </w:r>
    </w:p>
    <w:p>
      <w:pPr>
        <w:spacing w:after="0" w:line="177"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On October 6, 1995, the Company completed a public offering (the "1995 Offering") of 6,345,625 shares of Common Stock at a price of $19.625 per share. The Company realized proceeds of $118,398,183 before deducting expenses payable by the Company, estimated at $550,000. The Company applied approximately</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$29,462,500 of the net proceeds to repayment of the term loan under its bank credit facility. The balance of the net proceeds was used to reduce amounts outstanding under the revolving credit portion of the Company's credit facility. Such amounts may be redrawn by the Company as its needs dictate for use in the expansion of its business, including acquisitions and for general corporate purposes.</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RISK FACTORS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addition to the other information set forth in this Prospectus, the following factors should be considered by prospective investors when evaluating an investment in the Common Stock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ABILITY TO MANAGE AND MAINTAIN GROWTH</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In particular, there can be no assurance that the Company will able to successfully integrate the operations of Chambers, the Company's largest acquisition to date. Moreover, the ability of the Company to continue to grow will depend on a number of factors, including competition from other waste management companies, availability of attractive acquisition opportunities, availability of working capital, ability to maintain operating margins and the management of costs in a changing regulatory environment. The Company is continually seeking acquisition opportunities and believes that there exists a substantial number of potentially attractive consolidation opportunities in the solid waste management industry. The Company may pursue significant acquisitions if they can be achieved on acceptable terms. There can be no assurance that the Company will be able to continue to expand and successfully integrate operations.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 DEGREE OF LEVERAGE; NEED FOR CAPITAL</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long-term debt of the Company, including current maturities, as of October 31, 1995, was approximately $400 million. Although the conversion of all of the Debentures will eliminate a portion of such indebtedness, the Company will continue to maintain significant amounts of debt and expects to require additional capital from time to time to pursue its acquisition strategy and to fund internal growth. A portion of the Company's future capital requirements may be provided through future debt incurrences or issuances of equity securities. Future events or conditions that could adversely affect the Company's operations or financial condition may prevent the Company from fulfilling its obligations under its debt agreements or may limit the Company's ability to incur additional indebtedness or issue equity securities.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PROFITABILITY MAY BE AFFECTED BY COMPETITION</w:t>
      </w:r>
    </w:p>
    <w:p>
      <w:pPr>
        <w:spacing w:after="0" w:line="175"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largest national waste management companies have significantly greater financial resources than the Company. Competition may also be affected by the increasing national emphasis on recycling, composting, incineration, and other waste reduction programs that could reduce the volume of solid waste collected or deposited in landfills.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ADVERSE EFFECT OF GOVERNMENT REGULATIONS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operations are subject to, and substantially affected by, extensive federal, state and local laws, regulations, orders and permits, which govern environmental protection, health and safety, zoning and other matters. These regulations may impose restrictions on the Company's operations that could adversely affect the Company's results, such as limitations on the expansion of disposal facilities, limitations on or banning disposal of out-of-state waste or certain categories of waste, or mandates regarding the disposal of solid waste. Because of heightened public concern, companies in the waste management business, including the Company, may become subject to judicial and administrative proceedings involving federal, state or local agencies. These governmental agencies may seek to impose fines on the Company or to revoke or deny renewal</w:t>
      </w:r>
    </w:p>
    <w:p>
      <w:pPr>
        <w:spacing w:after="0" w:line="17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of the Company's operating permits or licenses for violations of environmental laws or regulations or to require the Company to remediate environmental problems at its sites or nearby properties, or resulting from its or its predecessors' transportation and collection operations, all of which could have a material adverse effect on the Company. The Company may also be subject to actions brought by individuals or community groups in connection with the permitting or licensing of its operations, any alleged violations of such permits and licenses, or other matters.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ENVIRONMENTAL LIABILITY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is subject to liability for environmental damage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by the Company. The Company may also be subject to liability for any off-site environmental contamination caused by pollutants or hazardous substances the transportation, treatment or disposal of which was arranged for by the Company or the predecessor owner of operations or assets acquired by the Company. Any substantial liability for environmental damage could materially adversely affect the Company's operating results and financial condition.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DEBENTUREHOLDER CONSIDERATIONS ON CONVERSION OR REDEMPTION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October 30, 1995, the closing price of the Common Stock as reported on the New York Stock Exchange Composite Tape was $20.75 per share. If a holder of $1,000 principal amount of the Debentures on that date had converted such principal amount, such holder would have received Common Stock (and cash in lieu of a fractional share) having a market value equal to $1,566.03, based on the closing price of $20.75 per share. The market price of the Common Stock received upon conversion is subject to fluctuation, and such holder may incur various transaction costs if the Common Stock is sold. Holders of Debentures should obtain current information as to the market price of the Common Stock. So long as the market price of the Common Stock is greater than $14.18 per share at the time of conversion, a holder of Debentures who exercises such holder's conversion rights will receive Common Stock with a market value, plus cash in lieu of any fractional share, greater than the amount of cash such holder would otherwise be entitled to receive upon the redemption of the Debentures, before deducting any applicable transfer taxes. See "Redemption of Debentures and Alternatives to Redemption."</w:t>
      </w:r>
    </w:p>
    <w:p>
      <w:pPr>
        <w:spacing w:after="0" w:line="18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USE OF PROCEEDS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net proceeds from the sale of the Common Stock to the Purchaser pursuant to the arrangements described under "Standby Arrangements" will be used to redeem any Debentures not surrendered for conversion. Any other amounts received by the Company from the Purchaser pursuant to the profit-sharing arrangement described under "Standby Arrangements" will be used for general corporate purposes. The amount of such proceeds is not determinable at this time. The Company will not receive any cash proceeds from the issuance of Common Stock upon conversion of the Debentures.</w:t>
      </w:r>
    </w:p>
    <w:p>
      <w:pPr>
        <w:spacing w:after="0" w:line="17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REDEMPTION OF DEBENTURES AND ALTERNATIVES TO REDEMPTION</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has called for redemption at 5:00 p.m., Eastern Time, on December 11, 1995 (the "Redemption Date"), all of the Company's outstanding Debentures. As of October 25, 1995, $42,032,000 principal amount of Debentures was outstanding.</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alternatives are available to holders of Debentures:</w:t>
      </w:r>
    </w:p>
    <w:p>
      <w:pPr>
        <w:spacing w:after="0" w:line="175" w:lineRule="exact"/>
        <w:rPr>
          <w:sz w:val="20"/>
          <w:szCs w:val="20"/>
          <w:color w:val="auto"/>
        </w:rPr>
      </w:pPr>
    </w:p>
    <w:p>
      <w:pPr>
        <w:ind w:right="3179" w:firstLine="431"/>
        <w:spacing w:after="0" w:line="238" w:lineRule="auto"/>
        <w:tabs>
          <w:tab w:leader="none" w:pos="70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into Common Stock. Convert the Debentures (or any portion thereof which is $1,000 or an integral multiple thereof) into the Common Stock of the Company at a conversion price of $13.25 of principal amount of Debentures per share of Common Stock or approximately 75.47 shares of Common Stock for each $1,000 principal amount of Debentures. Cash will be paid in lieu of any fractional share in an amount equal to such fraction multiplied by the last reported sale price per share of Common Stock, regular way, on the day prior to the day of conversion or, if no such sale takes place on such day, the average of the reported closing bid and asked prices, regular way, on the NYSE. No payment or adjustment to the conversion price will be made on account of accrued interest on the Debentures. On October 30, 1995, the last reported sale price of the Common Stock on the NYSE Composite Tape was $20.75 per share. On the basis of such last reported sale price of the Common Stock, 75.47 shares of the Common Stock had a value (including cash in lieu of any fractional share, determined as set forth above) of $1,566.03. THE CONVERSION RIGHT EXPIRES AT 5:00 P.M., EASTERN TIME, ON DECEMBER 1, 1995.</w:t>
      </w:r>
    </w:p>
    <w:p>
      <w:pPr>
        <w:spacing w:after="0" w:line="18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Substantially all of the Debentures are currently held in book-entry form through the facilities of The Depository Trust Company (the "Depository"). Accordingly, in order for a beneficial owner of an interest in a Debenture to exercise such owner's conversion rights, such owner must comply with the procedures of the Depository, if a participant in the Depository (a "participant"), or if such owner is not a participant in the Depository, through the procedures of the participant through which such owner owns its interest in the Debentures, to effect a conversion.</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will decide, in its sole discretion, all questions as to the form of documents and the validity, eligibility (including time of receipt) and acceptance for conversion by the Company of any Debentures. Any defect or irregularity in the surrender or delivery of any document in connection with the conversion of Debentures may result in such Debentures not being converted into Common Stock and, therefore, being redeemed on the Redemption Date.</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SINCE IT IS THE TIME OF ACTUAL RECEIPT THAT DETERMINES WHETHER DEBENTURES HAVE BEEN PROPERLY PRESENTED FOR CONVERSION, SUFFICIENT TIME SHOULD BE ALLOWED FOR A BOOK-ENTRY TRANSFER TO BE MADE, PRIOR TO 5:00 P.M., EASTERN TIME, ON DECEMBER 1, 1995. DEBENTURES NOT ACTUALLY RECEIVED FOR CONVERSION BY THE TRUSTEE PRIOR TO SUCH TIME WILL BE REDEEMED AS SET FORTH BELOW.</w:t>
      </w:r>
    </w:p>
    <w:p>
      <w:pPr>
        <w:spacing w:after="0" w:line="178" w:lineRule="exact"/>
        <w:rPr>
          <w:sz w:val="20"/>
          <w:szCs w:val="20"/>
          <w:color w:val="auto"/>
        </w:rPr>
      </w:pPr>
    </w:p>
    <w:p>
      <w:pPr>
        <w:ind w:right="3179" w:firstLine="431"/>
        <w:spacing w:after="0" w:line="258" w:lineRule="auto"/>
        <w:tabs>
          <w:tab w:leader="none" w:pos="70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in Open Market. Sell the Debentures in the open market at prevailing prices. Holders of Debentures who wish to sell their Debentures in the open market should consult with their own advisors regarding if and when they should sell their Debentures and the tax consequences thereof. Holders of Debentures may incur various fees and expenses in connection with any such sale.</w:t>
      </w:r>
    </w:p>
    <w:p>
      <w:pPr>
        <w:spacing w:after="0" w:line="164" w:lineRule="exact"/>
        <w:rPr>
          <w:rFonts w:ascii="Courier New" w:cs="Courier New" w:eastAsia="Courier New" w:hAnsi="Courier New"/>
          <w:sz w:val="14"/>
          <w:szCs w:val="14"/>
          <w:color w:val="auto"/>
        </w:rPr>
      </w:pPr>
    </w:p>
    <w:p>
      <w:pPr>
        <w:ind w:right="3259" w:firstLine="431"/>
        <w:spacing w:after="0" w:line="257" w:lineRule="auto"/>
        <w:tabs>
          <w:tab w:leader="none" w:pos="70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Surrender the Debentures for redemption. Pursuant to the terms of the Indenture between the Company and State Street Bank and Trust Company as successor to The First National Bank of Boston, as Trustee (the "Trustee"), dated as of September 1, 1992, holders of Debentures will be entitled to receive upon redemption 105.67% of the principal amount of Debentures, plus accrued interest thereon from October 15, 1995, to the Redemption Date (the "Redemption Price"). The holder of $1,000 principal amount of Debentures redeemed at the Redemption Price would receive $1,070.16 in cash. Payment of the Redemption Price will be made by the Trustee, as redemption agent, on and after the Redemption Date upon receipt of the Debentures. On and after the Redemption Date, interest will cease to accrue (unless the Company defaults in the payment of the Redemption Price) and holders of Debentures will not have any rights as such holders other than the right to receive the Redemption Price upon such surrender for redemption. All Debentures outstanding on the Redemption Date will be deemed to be redeemed by the</w:t>
      </w:r>
    </w:p>
    <w:p>
      <w:pPr>
        <w:spacing w:after="0" w:line="32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jc w:val="both"/>
        <w:ind w:right="3439"/>
        <w:spacing w:after="0" w:line="237" w:lineRule="auto"/>
        <w:rPr>
          <w:sz w:val="20"/>
          <w:szCs w:val="20"/>
          <w:color w:val="auto"/>
        </w:rPr>
      </w:pPr>
      <w:r>
        <w:rPr>
          <w:rFonts w:ascii="Courier New" w:cs="Courier New" w:eastAsia="Courier New" w:hAnsi="Courier New"/>
          <w:sz w:val="15"/>
          <w:szCs w:val="15"/>
          <w:color w:val="auto"/>
        </w:rPr>
        <w:t>Company, whether or not they have been surrendered for redemption. Holders of Debentures should refer to the Notice of Redemption issued by the Trustee for information concerning how and where the Debentures are to be surrendered for payment of the Redemption Price.</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DEBENTURES NOT ACTUALLY RECEIVED FOR CONVERSION BY THE TRUSTEE PRIOR TO 5:00 P.M., EASTERN TIME, ON DECEMBER 1, 1995, WILL BE REDEEMED AS SET FORTH ABOVE ON THE REDEMPTION DATE.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Based on the above-stated last reported sale price of the Common Stock on October 30, 1995, the market value of the Common Stock into which $1,000 principal amount of Debentures is convertible (including cash in lieu of any fractional share, determined as set forth above) would be $1,566.03, which amount is higher than the amount ($1,070.16) to be received upon redemption. The market price of the Common Stock received upon conversion, however, is subject to fluctuation, and a holder of Debentures may incur various transaction costs if such Common Stock is sold. Holders of Debentures are urged to obtain current market quotations for the Common Stock.</w:t>
      </w:r>
    </w:p>
    <w:p>
      <w:pPr>
        <w:spacing w:after="0" w:line="179"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SO LONG AS THE MARKET PRICE OF THE COMMON STOCK IS GREATER THAN $14.18 PER SHARE AT THE TIME OF CONVERSION, A HOLDER OF DEBENTURES WHO CONVERTS HIS OR HER DEBENTURES WILL RECEIVE COMMON STOCK AND CASH IN LIEU OF ANY FRACTIONAL SHARE (DETERMINED AS SET FORTH ABOVE) WITH A MARKET VALUE GREATER THAN THE AMOUNT OF CASH RECEIVABLE UPON THE REDEMPTION OF THE DEBENTURES.</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PRICE RANGE OF COMMON STOCK AND DIVIDENDS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Common Stock is traded on the NYSE under the symbol "UW." Prior to July 20, 1993, the Common Stock was traded in the over-the-counter market and quoted on the NASDAQ National Market System ("Nasdaq/NMS"). The following table sets forth the high and low per share closing prices for the Common Stock for the calendar quarters indicated as reported on the NYSE for periods on and after July 20, 1993, and the high and low sales prices for the Common Stock as quoted on the Nasdaq/NMS for periods prior to July 20, 1993.</w:t>
      </w:r>
    </w:p>
    <w:p>
      <w:pPr>
        <w:spacing w:after="0" w:line="200" w:lineRule="exact"/>
        <w:rPr>
          <w:sz w:val="20"/>
          <w:szCs w:val="20"/>
          <w:color w:val="auto"/>
        </w:rPr>
      </w:pPr>
    </w:p>
    <w:p>
      <w:pPr>
        <w:spacing w:after="0" w:line="310"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HIGH</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LOW</w:t>
            </w:r>
          </w:p>
        </w:tc>
      </w:tr>
      <w:tr>
        <w:trPr>
          <w:trHeight w:val="170"/>
        </w:trPr>
        <w:tc>
          <w:tcPr>
            <w:tcW w:w="38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8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$13.25</w:t>
            </w:r>
          </w:p>
        </w:tc>
      </w:tr>
      <w:tr>
        <w:trPr>
          <w:trHeight w:val="170"/>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w w:val="99"/>
              </w:rPr>
              <w:t>Second Quarter...........................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11.75</w:t>
            </w:r>
          </w:p>
        </w:tc>
      </w:tr>
      <w:tr>
        <w:trPr>
          <w:trHeight w:val="170"/>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w w:val="99"/>
              </w:rPr>
              <w:t>Third Quarter............................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11.50</w:t>
            </w:r>
          </w:p>
        </w:tc>
      </w:tr>
      <w:tr>
        <w:trPr>
          <w:trHeight w:val="170"/>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w w:val="99"/>
              </w:rPr>
              <w:t>Fourth Quarter...........................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9.75</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$11.38</w:t>
            </w:r>
          </w:p>
        </w:tc>
      </w:tr>
      <w:tr>
        <w:trPr>
          <w:trHeight w:val="170"/>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w w:val="99"/>
              </w:rPr>
              <w:t>Second Quarter...........................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10.58</w:t>
            </w:r>
          </w:p>
        </w:tc>
      </w:tr>
      <w:tr>
        <w:trPr>
          <w:trHeight w:val="170"/>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w w:val="99"/>
              </w:rPr>
              <w:t>Third Quarter............................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11.50</w:t>
            </w:r>
          </w:p>
        </w:tc>
      </w:tr>
      <w:tr>
        <w:trPr>
          <w:trHeight w:val="170"/>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w w:val="99"/>
              </w:rPr>
              <w:t>Fourth Quarter...........................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11.00</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$10.13</w:t>
            </w:r>
          </w:p>
        </w:tc>
      </w:tr>
      <w:tr>
        <w:trPr>
          <w:trHeight w:val="170"/>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w w:val="99"/>
              </w:rPr>
              <w:t>Second Quarter...........................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11.50</w:t>
            </w:r>
          </w:p>
        </w:tc>
      </w:tr>
      <w:tr>
        <w:trPr>
          <w:trHeight w:val="170"/>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w w:val="99"/>
              </w:rPr>
              <w:t>Third Quarter............................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21.75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14.75</w:t>
            </w:r>
          </w:p>
        </w:tc>
      </w:tr>
      <w:tr>
        <w:trPr>
          <w:trHeight w:val="170"/>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(through October 30,</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880" w:type="dxa"/>
            <w:vAlign w:val="bottom"/>
          </w:tcPr>
          <w:p>
            <w:pPr>
              <w:ind w:left="440"/>
              <w:spacing w:after="0"/>
              <w:rPr>
                <w:sz w:val="20"/>
                <w:szCs w:val="20"/>
                <w:color w:val="auto"/>
              </w:rPr>
            </w:pPr>
            <w:r>
              <w:rPr>
                <w:rFonts w:ascii="Courier New" w:cs="Courier New" w:eastAsia="Courier New" w:hAnsi="Courier New"/>
                <w:sz w:val="15"/>
                <w:szCs w:val="15"/>
                <w:color w:val="auto"/>
                <w:w w:val="99"/>
              </w:rPr>
              <w:t>1995).................................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19.75</w:t>
            </w:r>
          </w:p>
        </w:tc>
      </w:tr>
    </w:tbl>
    <w:p>
      <w:pPr>
        <w:spacing w:after="0" w:line="344"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According to the Company's transfer agent, on September 30, 1995, there were 4,363 holders of record of the Company's Common Stock.</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never paid cash dividends on its Common Stock. Envirofil paid dividends on its preferred stock prior to its acquisition by the Company; the holders of such preferred stock received Common Stock in such acquisition, and no dividends have been paid by the Company. The Board of Directors of the Company presently intends to retain any earnings in the foreseeable future for the Company's business. In addition, payment of dividends on the Common Stock is restricted by the terms of the Company's bank credit agreement.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CAPITALIZATION</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following table sets forth the current maturities of long-term debt and the total capitalization of the Company as of June 30, 1995 on an actual basis and (i) as adjusted to reflect (a) additional borrowings by the Company subsequent to June 30, 1995, of $50.0 million under the Company's bank credit facility, (b) the sale of approximately 6.3 million shares of Common Stock in the 1995 Offering, the net proceeds from which, in the amount of approximately $117.9 million, were used to repay indebtedness outstanding under the credit facility, (c) the issuance of 137,500 shares of Common Stock upon the exercise of stock purchase warrants, and (ii) as further adjusted to give effect to the retirement of the Debentures, assuming all Debentures are converted into shares of Common Stock.</w:t>
      </w:r>
    </w:p>
    <w:p>
      <w:pPr>
        <w:spacing w:after="0" w:line="200" w:lineRule="exact"/>
        <w:rPr>
          <w:sz w:val="20"/>
          <w:szCs w:val="20"/>
          <w:color w:val="auto"/>
        </w:rPr>
      </w:pP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AS OF JUNE 30, 1995</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200" w:type="dxa"/>
            <w:vAlign w:val="bottom"/>
          </w:tcPr>
          <w:p>
            <w:pPr>
              <w:spacing w:after="0"/>
              <w:rPr>
                <w:sz w:val="14"/>
                <w:szCs w:val="14"/>
                <w:color w:val="auto"/>
              </w:rPr>
            </w:pPr>
          </w:p>
        </w:tc>
        <w:tc>
          <w:tcPr>
            <w:tcW w:w="352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AS FURTHER</w:t>
            </w:r>
          </w:p>
        </w:tc>
      </w:tr>
      <w:tr>
        <w:trPr>
          <w:trHeight w:val="170"/>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ACTUAL</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AS ADJUSTED</w:t>
            </w:r>
          </w:p>
        </w:tc>
        <w:tc>
          <w:tcPr>
            <w:tcW w:w="1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ADJUSTED</w:t>
            </w:r>
          </w:p>
        </w:tc>
      </w:tr>
      <w:tr>
        <w:trPr>
          <w:trHeight w:val="170"/>
        </w:trPr>
        <w:tc>
          <w:tcPr>
            <w:tcW w:w="520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200" w:type="dxa"/>
            <w:vAlign w:val="bottom"/>
          </w:tcPr>
          <w:p>
            <w:pPr>
              <w:spacing w:after="0"/>
              <w:rPr>
                <w:sz w:val="14"/>
                <w:szCs w:val="14"/>
                <w:color w:val="auto"/>
              </w:rPr>
            </w:pPr>
          </w:p>
        </w:tc>
        <w:tc>
          <w:tcPr>
            <w:tcW w:w="14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(IN THOUSANDS)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Current maturities of long-term debt......................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29,655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27,572</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27,572</w:t>
            </w:r>
          </w:p>
        </w:tc>
      </w:tr>
      <w:tr>
        <w:trPr>
          <w:trHeight w:val="170"/>
        </w:trPr>
        <w:tc>
          <w:tcPr>
            <w:tcW w:w="520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Revolving Loan..........................................</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70,000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31,612</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31,612</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Term Loan...............................................</w:t>
            </w:r>
          </w:p>
        </w:tc>
        <w:tc>
          <w:tcPr>
            <w:tcW w:w="1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230,000</w:t>
            </w:r>
          </w:p>
        </w:tc>
        <w:tc>
          <w:tcPr>
            <w:tcW w:w="3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202,620</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202,620</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Industrial Revenue Bonds................................</w:t>
            </w:r>
          </w:p>
        </w:tc>
        <w:tc>
          <w:tcPr>
            <w:tcW w:w="1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80,500</w:t>
            </w:r>
          </w:p>
        </w:tc>
        <w:tc>
          <w:tcPr>
            <w:tcW w:w="3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80,500</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80,500</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Convertible Debentures(1)...............................</w:t>
            </w:r>
          </w:p>
        </w:tc>
        <w:tc>
          <w:tcPr>
            <w:tcW w:w="1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48,995</w:t>
            </w:r>
          </w:p>
        </w:tc>
        <w:tc>
          <w:tcPr>
            <w:tcW w:w="3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48,995</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long-term debt....................................</w:t>
            </w:r>
          </w:p>
        </w:tc>
        <w:tc>
          <w:tcPr>
            <w:tcW w:w="1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14,775</w:t>
            </w:r>
          </w:p>
        </w:tc>
        <w:tc>
          <w:tcPr>
            <w:tcW w:w="3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14,775</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14,775</w:t>
            </w:r>
          </w:p>
        </w:tc>
      </w:tr>
      <w:tr>
        <w:trPr>
          <w:trHeight w:val="170"/>
        </w:trPr>
        <w:tc>
          <w:tcPr>
            <w:tcW w:w="520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long-term debt............................</w:t>
            </w:r>
          </w:p>
        </w:tc>
        <w:tc>
          <w:tcPr>
            <w:tcW w:w="1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444,270</w:t>
            </w:r>
          </w:p>
        </w:tc>
        <w:tc>
          <w:tcPr>
            <w:tcW w:w="3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378,502</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329,507</w:t>
            </w:r>
          </w:p>
        </w:tc>
      </w:tr>
      <w:tr>
        <w:trPr>
          <w:trHeight w:val="170"/>
        </w:trPr>
        <w:tc>
          <w:tcPr>
            <w:tcW w:w="520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2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Common Stock, $.01 par value, 150,000,000 shares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authorized, 51,025,056, 57,508,181, and 61,205,916</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shares issued, respectively(2).......................</w:t>
            </w:r>
          </w:p>
        </w:tc>
        <w:tc>
          <w:tcPr>
            <w:tcW w:w="1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510</w:t>
            </w:r>
          </w:p>
        </w:tc>
        <w:tc>
          <w:tcPr>
            <w:tcW w:w="3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575</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612</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Additional paid-in capital..............................</w:t>
            </w:r>
          </w:p>
        </w:tc>
        <w:tc>
          <w:tcPr>
            <w:tcW w:w="1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521,043</w:t>
            </w:r>
          </w:p>
        </w:tc>
        <w:tc>
          <w:tcPr>
            <w:tcW w:w="3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640,099</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688,682</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Accumulated deficit.....................................</w:t>
            </w:r>
          </w:p>
        </w:tc>
        <w:tc>
          <w:tcPr>
            <w:tcW w:w="16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(381,883)</w:t>
            </w:r>
          </w:p>
        </w:tc>
        <w:tc>
          <w:tcPr>
            <w:tcW w:w="3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(381,883)</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(381,883)</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Less treasury stock at cost, 149,285 shares.............</w:t>
            </w:r>
          </w:p>
        </w:tc>
        <w:tc>
          <w:tcPr>
            <w:tcW w:w="16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(1,961)</w:t>
            </w:r>
          </w:p>
        </w:tc>
        <w:tc>
          <w:tcPr>
            <w:tcW w:w="30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(1,961)</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(1,961)</w:t>
            </w:r>
          </w:p>
        </w:tc>
      </w:tr>
      <w:tr>
        <w:trPr>
          <w:trHeight w:val="170"/>
        </w:trPr>
        <w:tc>
          <w:tcPr>
            <w:tcW w:w="520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stockholders' equity......................</w:t>
            </w:r>
          </w:p>
        </w:tc>
        <w:tc>
          <w:tcPr>
            <w:tcW w:w="1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137,709</w:t>
            </w:r>
          </w:p>
        </w:tc>
        <w:tc>
          <w:tcPr>
            <w:tcW w:w="3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256,830</w:t>
            </w:r>
          </w:p>
        </w:tc>
        <w:tc>
          <w:tcPr>
            <w:tcW w:w="1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305,450</w:t>
            </w:r>
          </w:p>
        </w:tc>
      </w:tr>
      <w:tr>
        <w:trPr>
          <w:trHeight w:val="170"/>
        </w:trPr>
        <w:tc>
          <w:tcPr>
            <w:tcW w:w="520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capitalization............................</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$ 581,979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635,332</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634,957</w:t>
            </w:r>
          </w:p>
        </w:tc>
      </w:tr>
      <w:tr>
        <w:trPr>
          <w:trHeight w:val="170"/>
        </w:trPr>
        <w:tc>
          <w:tcPr>
            <w:tcW w:w="520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619" w:hanging="350"/>
        <w:spacing w:after="0" w:line="235"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October 25, 1995, an additional $6,963,000 in principal amount of Debentures has been converted into Common Stock.</w:t>
      </w:r>
    </w:p>
    <w:p>
      <w:pPr>
        <w:spacing w:after="0" w:line="175" w:lineRule="exact"/>
        <w:rPr>
          <w:rFonts w:ascii="Courier New" w:cs="Courier New" w:eastAsia="Courier New" w:hAnsi="Courier New"/>
          <w:sz w:val="15"/>
          <w:szCs w:val="15"/>
          <w:color w:val="auto"/>
        </w:rPr>
      </w:pPr>
    </w:p>
    <w:p>
      <w:pPr>
        <w:ind w:left="350" w:right="3259" w:hanging="350"/>
        <w:spacing w:after="0" w:line="235"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5,142,089 shares issuable upon exercise of outstanding options and warrants at June 30, 1995.</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SUMMARY CONSOLIDATED FINANCIAL DATA</w:t>
      </w:r>
    </w:p>
    <w:p>
      <w:pPr>
        <w:spacing w:after="0" w:line="175" w:lineRule="exact"/>
        <w:rPr>
          <w:sz w:val="20"/>
          <w:szCs w:val="20"/>
          <w:color w:val="auto"/>
        </w:rPr>
      </w:pPr>
    </w:p>
    <w:p>
      <w:pPr>
        <w:ind w:right="4480" w:firstLine="441"/>
        <w:spacing w:after="0" w:line="238" w:lineRule="auto"/>
        <w:rPr>
          <w:sz w:val="20"/>
          <w:szCs w:val="20"/>
          <w:color w:val="auto"/>
        </w:rPr>
      </w:pPr>
      <w:r>
        <w:rPr>
          <w:rFonts w:ascii="Courier New" w:cs="Courier New" w:eastAsia="Courier New" w:hAnsi="Courier New"/>
          <w:sz w:val="15"/>
          <w:szCs w:val="15"/>
          <w:color w:val="auto"/>
        </w:rPr>
        <w:t>The following selected consolidated financial data for the Company for each of the three years in the period ended December 31, 1994, have been derived from the audited consolidated financial statements of the Company and for the three-month and six-month periods ended June 30, 1994 and 1995, have been derived from the unaudited consolidated financial statements of the Company. The summary consolidated financial data should be read in conjunction with the separate consolidated financial statements and the related notes thereto of the Company and Management's Discussion and Analysis of Financial Condition and Results of Operations incorporated by reference herein. See "Incorporation of Certain Information by Reference."</w:t>
      </w:r>
    </w:p>
    <w:p>
      <w:pPr>
        <w:spacing w:after="0" w:line="180" w:lineRule="exact"/>
        <w:rPr>
          <w:sz w:val="20"/>
          <w:szCs w:val="20"/>
          <w:color w:val="auto"/>
        </w:rPr>
      </w:pPr>
    </w:p>
    <w:p>
      <w:pPr>
        <w:ind w:right="4740" w:firstLine="441"/>
        <w:spacing w:after="0" w:line="238" w:lineRule="auto"/>
        <w:rPr>
          <w:sz w:val="20"/>
          <w:szCs w:val="20"/>
          <w:color w:val="auto"/>
        </w:rPr>
      </w:pPr>
      <w:r>
        <w:rPr>
          <w:rFonts w:ascii="Courier New" w:cs="Courier New" w:eastAsia="Courier New" w:hAnsi="Courier New"/>
          <w:sz w:val="15"/>
          <w:szCs w:val="15"/>
          <w:color w:val="auto"/>
        </w:rPr>
        <w:t>The data set forth below include the accounts of all companies acquired through June 30, 1995. Companies acquired in transactions accounted for as poolings of interests have been combined as though these companies had always been members of the same operating group. Accordingly, such data have been restated throughout all relevant periods reported. The accounts of businesses acquired in transactions accounted for as purchases are included from their respective dates of acquisition.</w:t>
      </w:r>
    </w:p>
    <w:p>
      <w:pPr>
        <w:spacing w:after="0" w:line="177" w:lineRule="exact"/>
        <w:rPr>
          <w:sz w:val="20"/>
          <w:szCs w:val="20"/>
          <w:color w:val="auto"/>
        </w:rPr>
      </w:pPr>
    </w:p>
    <w:p>
      <w:pPr>
        <w:ind w:right="4560" w:firstLine="441"/>
        <w:spacing w:after="0" w:line="238" w:lineRule="auto"/>
        <w:rPr>
          <w:sz w:val="20"/>
          <w:szCs w:val="20"/>
          <w:color w:val="auto"/>
        </w:rPr>
      </w:pPr>
      <w:r>
        <w:rPr>
          <w:rFonts w:ascii="Courier New" w:cs="Courier New" w:eastAsia="Courier New" w:hAnsi="Courier New"/>
          <w:sz w:val="15"/>
          <w:szCs w:val="15"/>
          <w:color w:val="auto"/>
        </w:rPr>
        <w:t>The unaudited data for the three months and six months ended June 30, 1994 and 1995, include, in the opinion of the Company's management, all adjustments (which include only normal recurring adjustments) necessary to present fairly the information for such periods. The results of operations of the interim periods are not necessarily indicative of the results that may be expected for the full year.</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w w:val="96"/>
              </w:rPr>
              <w:t>FOR THE THREE MONTHS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FOR THE SIX MONTHS</w:t>
            </w:r>
          </w:p>
        </w:tc>
      </w:tr>
      <w:tr>
        <w:trPr>
          <w:trHeight w:val="170"/>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5"/>
          </w:tcPr>
          <w:p>
            <w:pPr>
              <w:jc w:val="right"/>
              <w:ind w:right="407"/>
              <w:spacing w:after="0"/>
              <w:rPr>
                <w:sz w:val="20"/>
                <w:szCs w:val="20"/>
                <w:color w:val="auto"/>
              </w:rPr>
            </w:pPr>
            <w:r>
              <w:rPr>
                <w:rFonts w:ascii="Courier New" w:cs="Courier New" w:eastAsia="Courier New" w:hAnsi="Courier New"/>
                <w:sz w:val="15"/>
                <w:szCs w:val="15"/>
                <w:color w:val="auto"/>
                <w:w w:val="97"/>
              </w:rPr>
              <w:t>FOR THE YEAR ENDED DECEMBER 31,</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3"/>
          </w:tcPr>
          <w:p>
            <w:pPr>
              <w:jc w:val="right"/>
              <w:ind w:right="607"/>
              <w:spacing w:after="0"/>
              <w:rPr>
                <w:sz w:val="20"/>
                <w:szCs w:val="20"/>
                <w:color w:val="auto"/>
              </w:rPr>
            </w:pPr>
            <w:r>
              <w:rPr>
                <w:rFonts w:ascii="Courier New" w:cs="Courier New" w:eastAsia="Courier New" w:hAnsi="Courier New"/>
                <w:sz w:val="15"/>
                <w:szCs w:val="15"/>
                <w:color w:val="auto"/>
              </w:rPr>
              <w:t>ENDED JUNE 30,</w:t>
            </w:r>
          </w:p>
        </w:tc>
      </w:tr>
      <w:tr>
        <w:trPr>
          <w:trHeight w:val="170"/>
        </w:trPr>
        <w:tc>
          <w:tcPr>
            <w:tcW w:w="33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6"/>
                <w:szCs w:val="6"/>
                <w:color w:val="auto"/>
                <w:w w:val="75"/>
              </w:rPr>
              <w: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2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4"/>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30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40" w:type="dxa"/>
            <w:vAlign w:val="bottom"/>
            <w:gridSpan w:val="6"/>
          </w:tcPr>
          <w:p>
            <w:pPr>
              <w:ind w:left="140"/>
              <w:spacing w:after="0"/>
              <w:rPr>
                <w:sz w:val="20"/>
                <w:szCs w:val="20"/>
                <w:color w:val="auto"/>
              </w:rPr>
            </w:pPr>
            <w:r>
              <w:rPr>
                <w:rFonts w:ascii="Courier New" w:cs="Courier New" w:eastAsia="Courier New" w:hAnsi="Courier New"/>
                <w:sz w:val="15"/>
                <w:szCs w:val="15"/>
                <w:color w:val="auto"/>
              </w:rPr>
              <w:t>(IN THOUSANDS, EXCEPT PER SHARE AMOUNTS)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revenues.................</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$351,359</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$382,234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434,224</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$113,514</w:t>
            </w:r>
          </w:p>
        </w:tc>
        <w:tc>
          <w:tcPr>
            <w:tcW w:w="1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$111,229</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$211,485</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$212,471</w:t>
            </w:r>
          </w:p>
        </w:tc>
      </w:tr>
      <w:tr>
        <w:trPr>
          <w:trHeight w:val="170"/>
        </w:trPr>
        <w:tc>
          <w:tcPr>
            <w:tcW w:w="330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Costs and expenses: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w w:val="98"/>
              </w:rPr>
              <w:t>Operating........................</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208,928</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217,345</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257,370</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66,754</w:t>
            </w:r>
          </w:p>
        </w:tc>
        <w:tc>
          <w:tcPr>
            <w:tcW w:w="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63,597</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5"/>
              </w:rPr>
              <w:t>124,987</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121,877</w:t>
            </w:r>
          </w:p>
        </w:tc>
      </w:tr>
      <w:tr>
        <w:trPr>
          <w:trHeight w:val="170"/>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w w:val="98"/>
              </w:rPr>
              <w:t>General and administrative.......</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75,426</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66,968</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71,500</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18,491</w:t>
            </w:r>
          </w:p>
        </w:tc>
        <w:tc>
          <w:tcPr>
            <w:tcW w:w="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16,941</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34,626</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33,831</w:t>
            </w:r>
          </w:p>
        </w:tc>
      </w:tr>
      <w:tr>
        <w:trPr>
          <w:trHeight w:val="170"/>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w w:val="98"/>
              </w:rPr>
              <w:t>Nonrecurring charges.............</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51,047</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2,672</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8,863</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4,040</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4,733</w:t>
            </w:r>
          </w:p>
        </w:tc>
      </w:tr>
      <w:tr>
        <w:trPr>
          <w:trHeight w:val="170"/>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w w:val="98"/>
              </w:rPr>
              <w:t>Merger costs.....................</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3,782(1)</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3,782(1)</w:t>
            </w:r>
          </w:p>
        </w:tc>
        <w:tc>
          <w:tcPr>
            <w:tcW w:w="1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25,073(2)</w:t>
            </w:r>
          </w:p>
        </w:tc>
        <w:tc>
          <w:tcPr>
            <w:tcW w:w="18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3,782(1)</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25,073(2)</w:t>
            </w:r>
          </w:p>
        </w:tc>
      </w:tr>
      <w:tr>
        <w:trPr>
          <w:trHeight w:val="170"/>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w w:val="98"/>
              </w:rPr>
              <w:t>Depreciation and amortization....</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44,139</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52,222</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56,139</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14,795</w:t>
            </w:r>
          </w:p>
        </w:tc>
        <w:tc>
          <w:tcPr>
            <w:tcW w:w="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14,222</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28,455</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27,201</w:t>
            </w:r>
          </w:p>
        </w:tc>
      </w:tr>
      <w:tr>
        <w:trPr>
          <w:trHeight w:val="170"/>
        </w:trPr>
        <w:tc>
          <w:tcPr>
            <w:tcW w:w="330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379,540</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339,207</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397,654</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103,822</w:t>
            </w:r>
          </w:p>
        </w:tc>
        <w:tc>
          <w:tcPr>
            <w:tcW w:w="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123,873</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5"/>
              </w:rPr>
              <w:t>191,850</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212,715</w:t>
            </w:r>
          </w:p>
        </w:tc>
      </w:tr>
      <w:tr>
        <w:trPr>
          <w:trHeight w:val="170"/>
        </w:trPr>
        <w:tc>
          <w:tcPr>
            <w:tcW w:w="330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w w:val="99"/>
              </w:rPr>
              <w:t>Income (loss) from operations......</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(28,181)</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43,027</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36,570</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9,692</w:t>
            </w:r>
          </w:p>
        </w:tc>
        <w:tc>
          <w:tcPr>
            <w:tcW w:w="1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(12,644)(3)</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19,635</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(244)(3)</w:t>
            </w:r>
          </w:p>
        </w:tc>
      </w:tr>
      <w:tr>
        <w:trPr>
          <w:trHeight w:val="170"/>
        </w:trPr>
        <w:tc>
          <w:tcPr>
            <w:tcW w:w="330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Other income (expense):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rPr>
              <w:t>Stockholder settlement and other</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litigation related costs.......</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(10,853)</w:t>
            </w: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(5,500)</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(79,400)</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rPr>
              <w:t>Interest expense: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Early redemption premiums, fees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and nonrecurring interest....</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(1,254)</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(7,481)</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7"/>
              </w:rPr>
              <w:t>(10,994)</w:t>
            </w: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(35,840)</w:t>
            </w: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(35,975)</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(32,084)</w:t>
            </w:r>
          </w:p>
        </w:tc>
        <w:tc>
          <w:tcPr>
            <w:tcW w:w="22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(8,368)</w:t>
            </w:r>
          </w:p>
        </w:tc>
        <w:tc>
          <w:tcPr>
            <w:tcW w:w="1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(7,890)</w:t>
            </w:r>
          </w:p>
        </w:tc>
        <w:tc>
          <w:tcPr>
            <w:tcW w:w="1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(16,507)</w:t>
            </w:r>
          </w:p>
        </w:tc>
        <w:tc>
          <w:tcPr>
            <w:tcW w:w="22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7"/>
              </w:rPr>
              <w:t>(16,103)</w:t>
            </w: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5,435</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3,539</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2,641</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820</w:t>
            </w:r>
          </w:p>
        </w:tc>
        <w:tc>
          <w:tcPr>
            <w:tcW w:w="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751</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1,397</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1,483</w:t>
            </w: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1,699</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1,915</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1,877</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381</w:t>
            </w:r>
          </w:p>
        </w:tc>
        <w:tc>
          <w:tcPr>
            <w:tcW w:w="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254</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541</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1,367</w:t>
            </w:r>
          </w:p>
        </w:tc>
      </w:tr>
      <w:tr>
        <w:trPr>
          <w:trHeight w:val="170"/>
        </w:trPr>
        <w:tc>
          <w:tcPr>
            <w:tcW w:w="330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ind w:left="700"/>
              <w:spacing w:after="0"/>
              <w:rPr>
                <w:sz w:val="20"/>
                <w:szCs w:val="20"/>
                <w:color w:val="auto"/>
              </w:rPr>
            </w:pPr>
            <w:r>
              <w:rPr>
                <w:rFonts w:ascii="Courier New" w:cs="Courier New" w:eastAsia="Courier New" w:hAnsi="Courier New"/>
                <w:sz w:val="15"/>
                <w:szCs w:val="15"/>
                <w:color w:val="auto"/>
              </w:rPr>
              <w:t>Total other income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(expense)..................</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(39,559)</w:t>
            </w: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(36,021)</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(108,940)</w:t>
            </w:r>
          </w:p>
        </w:tc>
        <w:tc>
          <w:tcPr>
            <w:tcW w:w="220" w:type="dxa"/>
            <w:vAlign w:val="bottom"/>
          </w:tcPr>
          <w:p>
            <w:pPr>
              <w:spacing w:after="0"/>
              <w:rPr>
                <w:sz w:val="14"/>
                <w:szCs w:val="14"/>
                <w:color w:val="auto"/>
              </w:rPr>
            </w:pP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(7,167)</w:t>
            </w:r>
          </w:p>
        </w:tc>
        <w:tc>
          <w:tcPr>
            <w:tcW w:w="1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(14,366)</w:t>
            </w:r>
          </w:p>
        </w:tc>
        <w:tc>
          <w:tcPr>
            <w:tcW w:w="1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(14,569)</w:t>
            </w:r>
          </w:p>
        </w:tc>
        <w:tc>
          <w:tcPr>
            <w:tcW w:w="22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7"/>
              </w:rPr>
              <w:t>(24,247)</w:t>
            </w:r>
          </w:p>
        </w:tc>
      </w:tr>
      <w:tr>
        <w:trPr>
          <w:trHeight w:val="170"/>
        </w:trPr>
        <w:tc>
          <w:tcPr>
            <w:tcW w:w="330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Income (loss) before income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(67,740)</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7,066</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(72,370)</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2,525</w:t>
            </w:r>
          </w:p>
        </w:tc>
        <w:tc>
          <w:tcPr>
            <w:tcW w:w="1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(27,010)</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5,066</w:t>
            </w:r>
          </w:p>
        </w:tc>
        <w:tc>
          <w:tcPr>
            <w:tcW w:w="22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7"/>
              </w:rPr>
              <w:t>(24,491)</w:t>
            </w: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Income tax provision(4)............</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479</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6,018</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3,908</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729</w:t>
            </w:r>
          </w:p>
        </w:tc>
        <w:tc>
          <w:tcPr>
            <w:tcW w:w="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829</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2,148</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3,166</w:t>
            </w:r>
          </w:p>
        </w:tc>
      </w:tr>
      <w:tr>
        <w:trPr>
          <w:trHeight w:val="170"/>
        </w:trPr>
        <w:tc>
          <w:tcPr>
            <w:tcW w:w="330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Income (loss) from continuing</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operations.......................</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(68,219)</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988</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(76,278)</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1,796</w:t>
            </w:r>
          </w:p>
        </w:tc>
        <w:tc>
          <w:tcPr>
            <w:tcW w:w="1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(27,839)</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2,918</w:t>
            </w:r>
          </w:p>
        </w:tc>
        <w:tc>
          <w:tcPr>
            <w:tcW w:w="220" w:type="dxa"/>
            <w:vAlign w:val="bottom"/>
          </w:tcPr>
          <w:p>
            <w:pPr>
              <w:spacing w:after="0"/>
              <w:rPr>
                <w:sz w:val="14"/>
                <w:szCs w:val="14"/>
                <w:color w:val="auto"/>
              </w:rPr>
            </w:pP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7"/>
              </w:rPr>
              <w:t>(27,657)</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(Loss) from discontinued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operations.......................</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(1,407)</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Gain on discontinued operations,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net of income taxes..............</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1,836</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income from</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rPr>
              <w:t>forgiveness of debt, net of</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10,066</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1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(57,724)</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988</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(76,278)</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1,796</w:t>
            </w:r>
          </w:p>
        </w:tc>
        <w:tc>
          <w:tcPr>
            <w:tcW w:w="1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(27,839)(5)</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2,918</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(27,657)(5)</w:t>
            </w: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Preferred dividends................</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582</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565</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185</w:t>
            </w:r>
          </w:p>
        </w:tc>
        <w:tc>
          <w:tcPr>
            <w:tcW w:w="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565</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Income (loss) available to common</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$(57,876)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(76,843)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1,611</w:t>
            </w:r>
          </w:p>
        </w:tc>
        <w:tc>
          <w:tcPr>
            <w:tcW w:w="1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$(27,839)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2,353</w:t>
            </w:r>
          </w:p>
        </w:tc>
        <w:tc>
          <w:tcPr>
            <w:tcW w:w="118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$(27,657)</w:t>
            </w:r>
          </w:p>
        </w:tc>
      </w:tr>
      <w:tr>
        <w:trPr>
          <w:trHeight w:val="170"/>
        </w:trPr>
        <w:tc>
          <w:tcPr>
            <w:tcW w:w="330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Income (loss) from continuing</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operations per share.............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(0.54)</w:t>
            </w:r>
          </w:p>
        </w:tc>
      </w:tr>
      <w:tr>
        <w:trPr>
          <w:trHeight w:val="170"/>
        </w:trPr>
        <w:tc>
          <w:tcPr>
            <w:tcW w:w="330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Income (loss) per common share.....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(0.54)</w:t>
            </w:r>
          </w:p>
        </w:tc>
      </w:tr>
      <w:tr>
        <w:trPr>
          <w:trHeight w:val="170"/>
        </w:trPr>
        <w:tc>
          <w:tcPr>
            <w:tcW w:w="330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number of common</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and common equivalent shares.....</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42,707</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45,885</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49,671</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49,199</w:t>
            </w:r>
          </w:p>
        </w:tc>
        <w:tc>
          <w:tcPr>
            <w:tcW w:w="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51,704</w:t>
            </w:r>
          </w:p>
        </w:tc>
        <w:tc>
          <w:tcPr>
            <w:tcW w:w="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48,880</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51,409</w:t>
            </w:r>
          </w:p>
        </w:tc>
      </w:tr>
      <w:tr>
        <w:trPr>
          <w:trHeight w:val="170"/>
        </w:trPr>
        <w:tc>
          <w:tcPr>
            <w:tcW w:w="330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20"/>
          </w:cols>
          <w:pgMar w:left="240" w:top="283" w:right="139" w:bottom="0" w:gutter="0" w:footer="0" w:header="0"/>
        </w:sectPr>
      </w:pPr>
    </w:p>
    <w:bookmarkStart w:id="14" w:name="page15"/>
    <w:bookmarkEnd w:id="14"/>
    <w:p>
      <w:pPr>
        <w:ind w:left="22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305" w:right="1440"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170"/>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14</w:t>
            </w: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78"/>
        </w:trPr>
        <w:tc>
          <w:tcPr>
            <w:tcW w:w="6240" w:type="dxa"/>
            <w:vAlign w:val="bottom"/>
          </w:tcPr>
          <w:p>
            <w:pPr>
              <w:spacing w:after="0"/>
              <w:rPr>
                <w:sz w:val="24"/>
                <w:szCs w:val="24"/>
                <w:color w:val="auto"/>
              </w:rPr>
            </w:pPr>
          </w:p>
        </w:tc>
        <w:tc>
          <w:tcPr>
            <w:tcW w:w="22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AS OF JUNE 30, 1995</w:t>
            </w:r>
          </w:p>
        </w:tc>
      </w:tr>
      <w:tr>
        <w:trPr>
          <w:trHeight w:val="170"/>
        </w:trPr>
        <w:tc>
          <w:tcPr>
            <w:tcW w:w="624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AS FURTHER</w:t>
            </w:r>
          </w:p>
        </w:tc>
      </w:tr>
      <w:tr>
        <w:trPr>
          <w:trHeight w:val="170"/>
        </w:trPr>
        <w:tc>
          <w:tcPr>
            <w:tcW w:w="624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ACTUAL</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ADJUSTED(6)</w:t>
            </w:r>
          </w:p>
        </w:tc>
      </w:tr>
      <w:tr>
        <w:trPr>
          <w:trHeight w:val="170"/>
        </w:trPr>
        <w:tc>
          <w:tcPr>
            <w:tcW w:w="624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2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624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$ 41,710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42,608</w:t>
            </w:r>
          </w:p>
        </w:tc>
      </w:tr>
      <w:tr>
        <w:trPr>
          <w:trHeight w:val="170"/>
        </w:trPr>
        <w:tc>
          <w:tcPr>
            <w:tcW w:w="6240" w:type="dxa"/>
            <w:vAlign w:val="bottom"/>
          </w:tcPr>
          <w:p>
            <w:pPr>
              <w:ind w:left="160"/>
              <w:spacing w:after="0"/>
              <w:rPr>
                <w:sz w:val="20"/>
                <w:szCs w:val="20"/>
                <w:color w:val="auto"/>
              </w:rPr>
            </w:pPr>
            <w:r>
              <w:rPr>
                <w:rFonts w:ascii="Courier New" w:cs="Courier New" w:eastAsia="Courier New" w:hAnsi="Courier New"/>
                <w:sz w:val="15"/>
                <w:szCs w:val="15"/>
                <w:color w:val="auto"/>
                <w:w w:val="99"/>
              </w:rPr>
              <w:t>Working capital.....................................................</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4,404</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7,385</w:t>
            </w:r>
          </w:p>
        </w:tc>
      </w:tr>
      <w:tr>
        <w:trPr>
          <w:trHeight w:val="170"/>
        </w:trPr>
        <w:tc>
          <w:tcPr>
            <w:tcW w:w="624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 assets........................................................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813,708</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814,606</w:t>
            </w:r>
          </w:p>
        </w:tc>
      </w:tr>
      <w:tr>
        <w:trPr>
          <w:trHeight w:val="170"/>
        </w:trPr>
        <w:tc>
          <w:tcPr>
            <w:tcW w:w="6240" w:type="dxa"/>
            <w:vAlign w:val="bottom"/>
          </w:tcPr>
          <w:p>
            <w:pPr>
              <w:ind w:left="160"/>
              <w:spacing w:after="0"/>
              <w:rPr>
                <w:sz w:val="20"/>
                <w:szCs w:val="20"/>
                <w:color w:val="auto"/>
              </w:rPr>
            </w:pPr>
            <w:r>
              <w:rPr>
                <w:rFonts w:ascii="Courier New" w:cs="Courier New" w:eastAsia="Courier New" w:hAnsi="Courier New"/>
                <w:sz w:val="15"/>
                <w:szCs w:val="15"/>
                <w:color w:val="auto"/>
                <w:w w:val="99"/>
              </w:rPr>
              <w:t>Long-term debt, excluding current maturities........................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444,270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329,507</w:t>
            </w:r>
          </w:p>
        </w:tc>
      </w:tr>
      <w:tr>
        <w:trPr>
          <w:trHeight w:val="170"/>
        </w:trPr>
        <w:tc>
          <w:tcPr>
            <w:tcW w:w="6240" w:type="dxa"/>
            <w:vAlign w:val="bottom"/>
          </w:tcPr>
          <w:p>
            <w:pPr>
              <w:ind w:left="160"/>
              <w:spacing w:after="0"/>
              <w:rPr>
                <w:sz w:val="20"/>
                <w:szCs w:val="20"/>
                <w:color w:val="auto"/>
              </w:rPr>
            </w:pPr>
            <w:r>
              <w:rPr>
                <w:rFonts w:ascii="Courier New" w:cs="Courier New" w:eastAsia="Courier New" w:hAnsi="Courier New"/>
                <w:sz w:val="15"/>
                <w:szCs w:val="15"/>
                <w:color w:val="auto"/>
                <w:w w:val="99"/>
              </w:rPr>
              <w:t>Stockholders' equity................................................</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137,709</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305,450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879" w:hanging="350"/>
        <w:spacing w:after="0" w:line="235"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nonrecurring costs related to the merger of the Company and Envirofil, Inc. on May 27, 1994.</w:t>
      </w:r>
    </w:p>
    <w:p>
      <w:pPr>
        <w:spacing w:after="0" w:line="175" w:lineRule="exact"/>
        <w:rPr>
          <w:rFonts w:ascii="Courier New" w:cs="Courier New" w:eastAsia="Courier New" w:hAnsi="Courier New"/>
          <w:sz w:val="15"/>
          <w:szCs w:val="15"/>
          <w:color w:val="auto"/>
        </w:rPr>
      </w:pPr>
    </w:p>
    <w:p>
      <w:pPr>
        <w:ind w:left="350" w:right="3259"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nonrecurring costs related to the Chambers Merger, consisting of transaction costs ($11.9 million), severance and other termination benefits ($9.5 million), and nonrecurring costs relating to the integration of the operations of the combined companies ($3.7 million).</w:t>
      </w:r>
    </w:p>
    <w:p>
      <w:pPr>
        <w:spacing w:after="0" w:line="176" w:lineRule="exact"/>
        <w:rPr>
          <w:rFonts w:ascii="Courier New" w:cs="Courier New" w:eastAsia="Courier New" w:hAnsi="Courier New"/>
          <w:sz w:val="15"/>
          <w:szCs w:val="15"/>
          <w:color w:val="auto"/>
        </w:rPr>
      </w:pPr>
    </w:p>
    <w:p>
      <w:pPr>
        <w:ind w:left="350" w:right="3259"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(loss) from operations excluding unusual items and merger costs was $16.5 million and $29.6 million for the three and six months ended June 30, 1995, respectively.</w:t>
      </w:r>
    </w:p>
    <w:p>
      <w:pPr>
        <w:spacing w:after="0" w:line="174"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utilize Chambers' net operating loss carryforwards to offset future income for federal income tax purposes. As a result of an issuance of Common Stock in connection with one of the acquisitions in August 1995, an "ownership change" within the meaning of Section 382 of the Internal Revenue Code of 1986, as amended, occurred, which will limit the Company's potential utilization of Chambers' net operating loss carry forwards to a maximum of approximately $32 million on an annual basis. In connection with the settlement relating to certain stockholder litigation of Chambers, the Company made a settlement payment of $75.6 million for the benefit of certain Chambers stockholders. The portion of such payment that is not characterized as a return of capital to such stockholders may be available as a deduction to the Company to offset taxable income.</w:t>
      </w:r>
    </w:p>
    <w:p>
      <w:pPr>
        <w:spacing w:after="0" w:line="181" w:lineRule="exact"/>
        <w:rPr>
          <w:rFonts w:ascii="Courier New" w:cs="Courier New" w:eastAsia="Courier New" w:hAnsi="Courier New"/>
          <w:sz w:val="15"/>
          <w:szCs w:val="15"/>
          <w:color w:val="auto"/>
        </w:rPr>
      </w:pPr>
    </w:p>
    <w:p>
      <w:pPr>
        <w:ind w:left="350" w:right="3259"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(loss) before unusual items, merger costs and early redemption premiums, fees and nonrecurring interest was $7.7 million and $11.6 million for the three and six months ended June 30, 1995, respectively.</w:t>
      </w:r>
    </w:p>
    <w:p>
      <w:pPr>
        <w:spacing w:after="0" w:line="174" w:lineRule="exact"/>
        <w:rPr>
          <w:rFonts w:ascii="Courier New" w:cs="Courier New" w:eastAsia="Courier New" w:hAnsi="Courier New"/>
          <w:sz w:val="15"/>
          <w:szCs w:val="15"/>
          <w:color w:val="auto"/>
        </w:rPr>
      </w:pPr>
    </w:p>
    <w:p>
      <w:pPr>
        <w:ind w:left="350" w:right="3359" w:hanging="350"/>
        <w:spacing w:after="0" w:line="256" w:lineRule="auto"/>
        <w:tabs>
          <w:tab w:leader="none" w:pos="3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to reflect (i) additional borrowings by the Company subsequent to June 30, 1995, of $50.0 million under the Company's bank credit facility,</w:t>
      </w:r>
    </w:p>
    <w:p>
      <w:pPr>
        <w:ind w:left="790" w:hanging="437"/>
        <w:spacing w:after="0"/>
        <w:tabs>
          <w:tab w:leader="none" w:pos="79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approximately 6.3 million shares of Common Stock in the</w:t>
      </w:r>
    </w:p>
    <w:p>
      <w:pPr>
        <w:spacing w:after="0" w:line="4" w:lineRule="exact"/>
        <w:rPr>
          <w:rFonts w:ascii="Courier New" w:cs="Courier New" w:eastAsia="Courier New" w:hAnsi="Courier New"/>
          <w:sz w:val="15"/>
          <w:szCs w:val="15"/>
          <w:color w:val="auto"/>
        </w:rPr>
      </w:pPr>
    </w:p>
    <w:p>
      <w:pPr>
        <w:ind w:left="350" w:right="343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1995 Offering, the net proceeds from which in the amount of approximately $117.9 million, were used to repay indebtedness outstanding under the credit facility, (iii) the receipt of approximately $1.3 million by the Company in connection with the issuance of 137,500 shares of Common Stock upon the exercise of stock purchase warrants, and (iv) the effect of retirement of the Debentures, assuming all Debentures are converted to Common Stock. See "Capitalization."</w:t>
      </w:r>
    </w:p>
    <w:p>
      <w:pPr>
        <w:spacing w:after="0" w:line="16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283" w:right="1440" w:bottom="1440" w:gutter="0" w:footer="0" w:header="0"/>
        </w:sectPr>
      </w:pPr>
    </w:p>
    <w:bookmarkStart w:id="16" w:name="page17"/>
    <w:bookmarkEnd w:id="16"/>
    <w:p>
      <w:pPr>
        <w:ind w:left="27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CERTAIN FEDERAL INCOME TAX CONSIDERATIONS</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The following is a general summary of certain anticipated United States federal income tax consequences to a holder of Debentures of the conversion, redemption, or sale of the Debentures. It deals only with Debentures held as capital assets and not with special classes of holders, such as dealers in securities or currencies, banks, tax-exempt organizations, life insurance companies, persons that hold Debentures that are a hedge or that are hedged against currency risks or that are part of a straddle or conversion transaction, persons that are not United States holders, or persons whose functional currency is not the U.S. dollar. A United States holder is a beneficial owner that is (i) a citizen or resident of the United States, (ii) a domestic corporation, or</w:t>
      </w:r>
    </w:p>
    <w:p>
      <w:pPr>
        <w:spacing w:after="0" w:line="3" w:lineRule="exact"/>
        <w:rPr>
          <w:sz w:val="20"/>
          <w:szCs w:val="20"/>
          <w:color w:val="auto"/>
        </w:rPr>
      </w:pPr>
    </w:p>
    <w:p>
      <w:pPr>
        <w:ind w:left="10" w:right="3179" w:hanging="10"/>
        <w:spacing w:after="0" w:line="257" w:lineRule="auto"/>
        <w:tabs>
          <w:tab w:leader="none" w:pos="53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subject to United States federal income taxation on a net income basis in respect of a Debenture. The summary is based on the Internal Revenue Code of 1986, as amended (the "Code"), its legislative history, existing and proposed regulations thereunder, published rulings and court decisions, all as currently in effect and all subject to change at any time, perhaps with retroactive effect. The Company has not requested a ruling from the Internal Revenue Service (the "Service") with respect to the matters discussed herein.</w:t>
      </w:r>
    </w:p>
    <w:p>
      <w:pPr>
        <w:spacing w:after="0" w:line="167"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HOLDERS OF DEBENTURES SHOULD CONSULT THEIR OWN TAX ADVISORS CONCERNING THE CONSEQUENCES, IN THEIR PARTICULAR CIRCUMSTANCES, UNDER THE CODE AND THE LAWS OF ANY OTHER TAXING JURISDICTION, OF THE CONVERSION, SALE, OR REDEMPTION OF THE DEBENTURES.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CONVERSION</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In general, no gain or loss should be recognized by a holder of Debentures upon the conversion of a Debenture into Common Stock of the Company, except to the extent of any gain realized upon the receipt of cash in lieu of fractional shares. A Debentureholder's basis in the Common Stock received on conversion (including any fractional shares, which are deemed received and immediately disposed of) generally will equal such holder's basis at the time of conversion in the Debenture converted. A Debentureholder's holding period for the Common Stock received on conversion will include such holder's holding period of the Debenture converted.</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SALE OR REDEMPTION</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In general, the sale or redemption of a Debenture will result in the recognition of gain or loss to a holder of Debentures in an amount equal to the difference between (i) the cash received in exchange for the Debenture less the amount attributable to accrued interest not previously included in income (which amount is taxable as ordinary income) and (ii) such holder's adjusted tax basis in the Debentures. Except as discussed below under "Market Discount," such gain or loss will be a capital gain or loss and will be long-term gain or loss if, at the time of such disposition, the Debentures had been held for more than one year.</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MARKET DISCOUNT</w:t>
      </w:r>
    </w:p>
    <w:p>
      <w:pPr>
        <w:spacing w:after="0" w:line="175"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Special rules will apply to Debentures acquired with market discount. A market discount note is, generally, a Debenture the stated redemption price at maturity of which exceeds the Debentureholder's basis in the Debenture immediately after acquisition. Generally, any gain recognized on the sale or redemption of a market discount Debenture will be treated as ordinary income to the extent of the accrued market discount on such note not previously included in income. Market discount accrues either ratably or at a constant yield to maturity, at the election of the Debentureholder. A holder of a market discount Debenture also may elect to take market discount into income as it accrues.</w:t>
      </w:r>
    </w:p>
    <w:p>
      <w:pPr>
        <w:spacing w:after="0" w:line="167"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Although the matter is not free from doubt, a holder of a Debenture with market discount should not have to recognize income on the conversion of the Debenture, even with respect to market discount that has accrued but has not been taken into account. Market discount not recognized on conversion will carry over to the Common Stock acquired upon conversion thereof and will be recognized as ordinary income to the extent of gain recognized upon the disposition of such Common Stock, including any deemed disposition of fractional shares of Common Stock for cash at the time of conversion.</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BACKUP WITHHOLDING</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general, backup withholding at a rate of 31% will apply to payments of the proceeds of a sale, redemption or conversion of a Debenture if the holder is not an "exempt recipient" and fails to provide an accurate taxpayer identification number or to report all interest and dividends required to be shown on its federal income tax returns. Individuals generally are not exempt recipients, whereas corporations and certain other entities generally are exempt recipients. To prevent backup withholding from the payment of cash in lieu of a fractional share or the payment of the Redemption Price, any holder (other than an exempt payee such as a corporation or tax-exempt organization) who has not previously provided a valid IRS Form W-9 relating to the holder's Debentures should provide a completed Form W-9 upon surrendering Debentures for conversion or redemption.</w:t>
      </w:r>
    </w:p>
    <w:p>
      <w:pPr>
        <w:spacing w:after="0" w:line="17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175"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The Company is authorized to issue 150,000,000 shares of Common Stock, par value $0.01 per share, of which 53,848,249 shares were outstanding at September 30, 1995. The Company is also authorized to issue 10,000,000 shares of Preferred Stock, $.01 par value (the "Preferred Stock"), none of which are outstanding.</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Subject to the rights of any holders of Preferred Stock, holders of record of shares of Common Stock are entitled to receive ratably dividends when and if declared by the Board of Directors out of funds of the Company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78"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Holders of Common Stock have no conversion, redemption, or preemptive rights. All outstanding shares of Common Stock are, and the Shares offered hereby will be, upon issuance and sale, validly issued, fully paid, and nonassessable.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the Company,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The transfer agent and registrar for the Common Stock is The First National Bank of Boston, Boston, Massachusetts.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AND INDEMNIFICATION OF OFFICERS AND DIRECTORS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Certificate of Incorporation of the Company provides that the directors of the Company shall not be liable to the Company or its stockholders for monetary damages for breach of fiduciary duty as a director to the fullest extent permitted by the Delaware General Corporation Law (the "DGCL"). The foregoing limitation does not eliminate or limit the liability of a director for any breach of a director's duty of loyalty to the Company or its stockholders,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Certificate of Incorporation of the Company also provides that the Company shall indemnify, and advance litigation expenses to, its officers, directors, employees, and agents to the fullest extent permitted by the DGCL and all other laws of the State of Delaware.</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DGCL provides that the Company has the power to indemnify any person who is sued or threatened to be made a named party in a proceeding, other than an action by or in the right of the Company, because such person is or was a director, officer, employee, or agent of the Company or is or was serving at the request of the Company as a director, officer, employee, or agent of another corporation, partnership, joint venture, trust, or other enterprise, against expenses actually and reasonably incurred by him in connection with such proceeding. In order to be indemnified, the person must have (1) acted in good faith; (2) acted in a manner he reasonably believed to be in or not opposed to the best interests of the Company; and (3) with respect to any criminal action or proceeding, had no reasonable cause to believe his conduct was unlawful. The indemnification includes attorneys' fees, judgments, fines, and amounts paid in settlement.</w:t>
      </w:r>
    </w:p>
    <w:p>
      <w:pPr>
        <w:spacing w:after="0" w:line="18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DGCL also provides that the Company may indemnify any person who is sued or threatened to be made a named party in a proceeding by or in the right of the Company to procure a judgment in its favor because such person is or was a director, officer, employee, or agent of the Company, or is or was serving at the request of the Company as a director, officer, employee, or agent of another corporation, partnership, joint venture, trust, or other enterprise. In order to be indemnified, the person must have conducted himself in good faith and in a manner he reasonably believed to be in or not opposed to the best interests of the Company. No indemnification may be made, however, with respect to any claim, issue, or matter as to which such person shall have been judged to be liable to the Company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18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Indemnification by the Company is subject to a determination that the director, officer, employee, or agent has met the applicable standard of conduct. The determination must be made (1) by a majority vote of a quorum of the Board of Directors, consisting only of directors who were not parties to such action, suit or proceeding; (2) if such a quorum cannot be obtained, or even if obtainable, if a quorum of disinterested directors so directs, by independent legal counsel in a written opinion; or (3) by the stockholders of the Company.</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entered into an Indemnification Agreement with each of its directors and executive officers (the "Indemnitees") pursuant to which the Company has agreed to indemnify and hold each of the Indemnitees harmless from and against all expenses, including reasonable fees and expenses of counsel, and all liabilities, including the amounts of any judgments, fines, penalties, excise taxes, and amounts paid in settlement actually incurred by an Indemnitee in connection with any threatened, pending or completed claim, action (including any action by or in the right of the Company), suit, or proceeding (whether formal or informal, or civil, criminal, administrative, legislative, arbitrative, or investigative) in respect of which the Indemnitee is, was, or at any time becomes, or is threatened to be made, a party, witness, subject, or target, by reason of the fact that the Indemnitee is or was an authorized representative of the Company; provided,</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however, no indemnity shall be paid on account of the Indemnitee's conduct that is finally adjudged to constitute willful misconduct or to have been knowingly fraudulent, deliberately dishonest, or from which the Indemnitee derives an improper personal benefit.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or person controlling the Company pursuant to the foregoing provisions, the Company has been informed that in the opinion of the Securities and Exchange Commission such indemnification is against public policy as expressed in the Securities Act and is therefore unenforceable.</w:t>
      </w:r>
    </w:p>
    <w:p>
      <w:pPr>
        <w:spacing w:after="0" w:line="17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STANDBY ARRANGEMENTS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Under the terms and subject to the conditions of a Standby Agreement (the "Standby Agreement"), Sanders Morris Mundy Inc. (the "Purchaser") has agreed to purchase from the Company the Redemption Shares.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Purchaser may purchase Debentures in the market or otherwise prior to the Expiration Date and has agreed to convert into Common Stock all of the Debentures which it so purchases.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has been advised that the Purchaser proposes to offer any Common Stock purchased from the Company or acquired on conversion by the Purchaser of Debentures for resale as set forth on the cover page of this Prospectus. The Purchaser may also make sales to certain securities dealers at prices which may reflect concessions from the prices at which the shares are then being offered to the public. The amount of such concessions will be determined from time to time by the Purchaser. The sales of Common Stock so offered are offered by the Purchaser subject to prior sale, when, as, and if received by the Purchaser, and subject to its right to reject orders in whole or in part. The Purchaser has agreed to remit to the Company not less than 75% of the amount, if any, by which the aggregate net proceeds received by the Purchaser from sales of the Shares exceeds the Redemption Price of the Shares if the number of Redemption Shares is equal to or less than 369,811 and not less than 50% of the amount, if any, by which the aggregate net proceeds received by the Purchaser from sales of the Shares exceeds the Redemption Price of the Shares if the number of Redemption Shares is greater than 369,811.</w:t>
      </w:r>
    </w:p>
    <w:p>
      <w:pPr>
        <w:spacing w:after="0" w:line="33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Pursuant to the Standby Agreement, the Company has agreed to pay to the Purchaser for the commitments undertaken by it under the Standby Agreement (i) $200,000 (the "Standby Fee"), (ii) the Purchaser's out-of-pocket expenses incurred in connection herewith, including fees and disbursements of counsel, and (iii) $.40 per share for each share of Common Stock purchased by the Purchaser pursuant to the Standby Agreement. If the Purchaser does not purchase any Shares, in addition to paying the Purchaser the Standby Fee the Company has agreed to reimburse the Purchaser for the fees and disbursements of its counsel.</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During the period beginning from the date of this Prospectus and continuing to and including the Redemption Date, and, if the Purchaser purchases any Shares, further continuing and including the date ending 90 days after the Redemption Date, the Company has agreed not to offer, sell, contract to sell or otherwise dispose of, any shares of Common Stock of the Company, any securities of the Company substantially similar to the Common Stock or any securities convertible into or exchangeable for shares of Common Stock or any such substantially similar security (except for any securities, issued, offered, sold or disposed of by the Company to its stock option and other benefit plans maintained for its officers, directors, and employees or Common Stock issued or distributed in connection with the conversion of any security of the Company outstanding on the date of the Prospectus) without the Purchaser's prior written consent.</w:t>
      </w:r>
    </w:p>
    <w:p>
      <w:pPr>
        <w:spacing w:after="0" w:line="183"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has agreed to indemnify the Purchaser against certain liabilities, including liabilities under the Securities Act or to contribute to payments the Purchaser may be required to make in respect thereof.</w:t>
      </w:r>
    </w:p>
    <w:p>
      <w:pPr>
        <w:spacing w:after="0" w:line="175"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 Purchaser may assist in the solicitation of conversions by holders of Debentures but will receive no commission therefor.</w:t>
      </w:r>
    </w:p>
    <w:p>
      <w:pPr>
        <w:spacing w:after="0" w:line="176" w:lineRule="exact"/>
        <w:rPr>
          <w:sz w:val="20"/>
          <w:szCs w:val="20"/>
          <w:color w:val="auto"/>
        </w:rPr>
      </w:pPr>
    </w:p>
    <w:p>
      <w:pPr>
        <w:jc w:val="both"/>
        <w:ind w:right="3439" w:firstLine="441"/>
        <w:spacing w:after="0" w:line="237" w:lineRule="auto"/>
        <w:rPr>
          <w:sz w:val="20"/>
          <w:szCs w:val="20"/>
          <w:color w:val="auto"/>
        </w:rPr>
      </w:pPr>
      <w:r>
        <w:rPr>
          <w:rFonts w:ascii="Courier New" w:cs="Courier New" w:eastAsia="Courier New" w:hAnsi="Courier New"/>
          <w:sz w:val="15"/>
          <w:szCs w:val="15"/>
          <w:color w:val="auto"/>
        </w:rPr>
        <w:t>Purchaser has from time to time performed various investment banking and other financial services for the Company, for which it has received customary compensation. These services have included acting as a</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175"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managing underwriter of the public offering of the Debentures. Two of the Company's directors, John E. Drury and George L. Ball, are directors and shareholders of the Purchaser.</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validity of the shares of Common Stock offered hereby will be passed upon for the Company by Snell &amp; Smith, A Professional Corporation, Houston, Texas.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EXPERTS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consolidated financial statements of the Company (i) as of December 31, 1993 and 1994, and for each of the three years in the period ended December 31, 1994, which are included in the Company's Annual Report on Form 10-K for the fiscal year ended December 31, 1994, as amended by Form 10-K/A, and are included and incorporated by reference into the Company's Joint Proxy Statement and Prospectus dated May 19, 1995, and (ii) the supplemental consolidated financial statements of the Company as of December 31, 1993 and 1994, and for each of the three years in the period ended December 31, 1994, which are included in the Company's Current Report on Form 8-K dated June 30, 1995, incorporated in this Prospectus by reference have been audited by Coopers &amp; Lybrand L.L.P., independent accountants, given on the authority of that firm as experts in accounting and auditing.</w:t>
      </w:r>
    </w:p>
    <w:p>
      <w:pPr>
        <w:spacing w:after="0" w:line="182"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consolidated financial statements of Envirofil for the year ended June 30, 1993 incorporated by reference in this Prospectus, and the combined financial statements of the Acquired New Jersey Solid Waste Companies as of December 31, 1992 and 1993 and for each of the three years in the period ended December 31, 1993, incorporated into this Prospectus by reference to Envirofil's Form 8-K filed with the Commission on February 28, 1994, as amended by Envirofil's Form 8-K/A filed with the Commission on May 11, 1994, have been incorporated by reference herein in reliance upon the reports of Arthur Andersen LLP, independent public accountants, given on the authority of that firm as experts in accounting and auditing in giving said reports.</w:t>
      </w:r>
    </w:p>
    <w:p>
      <w:pPr>
        <w:spacing w:after="0" w:line="180"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consolidated financial statements of Chambers at December 31, 1993 and 1994, and for each of the three years in the period ended December 31, 1994, incorporated by reference in this Prospectus from the Company's Current Report on Form 8-K dated June 30, 1995, have been audited by Deloitte &amp; Touche LLP, independent auditors, as stated in their reports (which contain an explanatory paragraph describing a change in the method of accounting for contributions), which are incorporated by reference herein, and have been so incorporated in reliance upon the reports of such firm given upon their authority as experts in accounting and auditing.</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3,172,226 SHARES</w:t>
      </w:r>
    </w:p>
    <w:p>
      <w:pPr>
        <w:spacing w:after="0" w:line="339"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USA WASTE</w:t>
      </w:r>
    </w:p>
    <w:p>
      <w:pPr>
        <w:ind w:left="4760"/>
        <w:spacing w:after="0"/>
        <w:rPr>
          <w:sz w:val="20"/>
          <w:szCs w:val="20"/>
          <w:color w:val="auto"/>
        </w:rPr>
      </w:pPr>
      <w:r>
        <w:rPr>
          <w:rFonts w:ascii="Courier New" w:cs="Courier New" w:eastAsia="Courier New" w:hAnsi="Courier New"/>
          <w:sz w:val="15"/>
          <w:szCs w:val="15"/>
          <w:color w:val="auto"/>
        </w:rPr>
        <w:t>SERVICES, INC.</w:t>
      </w:r>
    </w:p>
    <w:p>
      <w:pPr>
        <w:spacing w:after="0" w:line="200" w:lineRule="exact"/>
        <w:rPr>
          <w:sz w:val="20"/>
          <w:szCs w:val="20"/>
          <w:color w:val="auto"/>
        </w:rPr>
      </w:pPr>
    </w:p>
    <w:p>
      <w:pPr>
        <w:spacing w:after="0" w:line="308"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COMMON STOCK</w:t>
      </w: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5"/>
          <w:szCs w:val="15"/>
          <w:color w:val="auto"/>
        </w:rPr>
        <w:t>PROSPECTUS</w:t>
      </w:r>
    </w:p>
    <w:p>
      <w:pPr>
        <w:ind w:left="44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SANDERS MORRIS MUNDY</w:t>
      </w:r>
    </w:p>
    <w:p>
      <w:pPr>
        <w:spacing w:after="0" w:line="200" w:lineRule="exact"/>
        <w:rPr>
          <w:sz w:val="20"/>
          <w:szCs w:val="20"/>
          <w:color w:val="auto"/>
        </w:rPr>
      </w:pPr>
    </w:p>
    <w:p>
      <w:pPr>
        <w:spacing w:after="0" w:line="308"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NOVEMBER 1, 1995</w:t>
      </w:r>
    </w:p>
    <w:p>
      <w:pPr>
        <w:spacing w:after="0" w:line="200" w:lineRule="exact"/>
        <w:rPr>
          <w:sz w:val="20"/>
          <w:szCs w:val="20"/>
          <w:color w:val="auto"/>
        </w:rPr>
      </w:pPr>
    </w:p>
    <w:p>
      <w:pPr>
        <w:spacing w:after="0" w:line="314"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283" w:right="1440" w:bottom="1440" w:gutter="0" w:footer="0" w:header="0"/>
        </w:sectPr>
      </w:pPr>
    </w:p>
    <w:bookmarkStart w:id="22" w:name="page23"/>
    <w:bookmarkEnd w:id="22"/>
    <w:p>
      <w:pPr>
        <w:ind w:left="27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960" w:type="dxa"/>
            <w:vAlign w:val="bottom"/>
          </w:tcPr>
          <w:p>
            <w:pPr>
              <w:jc w:val="right"/>
              <w:ind w:right="2227"/>
              <w:spacing w:after="0"/>
              <w:rPr>
                <w:sz w:val="20"/>
                <w:szCs w:val="20"/>
                <w:color w:val="auto"/>
              </w:rPr>
            </w:pPr>
            <w:r>
              <w:rPr>
                <w:rFonts w:ascii="Courier New" w:cs="Courier New" w:eastAsia="Courier New" w:hAnsi="Courier New"/>
                <w:sz w:val="15"/>
                <w:szCs w:val="15"/>
                <w:color w:val="auto"/>
                <w:w w:val="97"/>
              </w:rPr>
              <w:t>ITEM 14. OTHER EXPENSES OF ISSUANCE AND DISTRIBUTION.</w:t>
            </w:r>
          </w:p>
        </w:tc>
        <w:tc>
          <w:tcPr>
            <w:tcW w:w="880" w:type="dxa"/>
            <w:vAlign w:val="bottom"/>
          </w:tcPr>
          <w:p>
            <w:pPr>
              <w:spacing w:after="0"/>
              <w:rPr>
                <w:sz w:val="14"/>
                <w:szCs w:val="14"/>
                <w:color w:val="auto"/>
              </w:rPr>
            </w:pPr>
          </w:p>
        </w:tc>
      </w:tr>
      <w:tr>
        <w:trPr>
          <w:trHeight w:val="678"/>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Securities and Exchange Commission registration fees......................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$ 22,698</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NYSE fees.................................................................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Trustees' and transfer agent fees.........................................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Printing and engraving....................................................</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Legal services............................................................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Accounting services.......................................................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Blue sky fees and expenses................................................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Miscellaneous expenses....................................................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31,802*</w:t>
            </w:r>
          </w:p>
        </w:tc>
      </w:tr>
      <w:tr>
        <w:trPr>
          <w:trHeight w:val="170"/>
        </w:trPr>
        <w:tc>
          <w:tcPr>
            <w:tcW w:w="69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$175,000*</w:t>
            </w:r>
          </w:p>
        </w:tc>
      </w:tr>
      <w:tr>
        <w:trPr>
          <w:trHeight w:val="170"/>
        </w:trPr>
        <w:tc>
          <w:tcPr>
            <w:tcW w:w="69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Estimated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15. INDEMNIFICATION OF DIRECTORS AND OFFICERS.</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Section 102(b)(7) of the Delaware General Corporation Law provides that the certificate of incorporation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w:t>
      </w:r>
    </w:p>
    <w:p>
      <w:pPr>
        <w:spacing w:after="0" w:line="3" w:lineRule="exact"/>
        <w:rPr>
          <w:sz w:val="20"/>
          <w:szCs w:val="20"/>
          <w:color w:val="auto"/>
        </w:rPr>
      </w:pPr>
    </w:p>
    <w:p>
      <w:pPr>
        <w:ind w:left="10" w:right="3179" w:hanging="10"/>
        <w:spacing w:after="0" w:line="237" w:lineRule="auto"/>
        <w:tabs>
          <w:tab w:leader="none" w:pos="53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76" w:lineRule="exact"/>
        <w:rPr>
          <w:sz w:val="20"/>
          <w:szCs w:val="20"/>
          <w:color w:val="auto"/>
        </w:rPr>
      </w:pPr>
    </w:p>
    <w:p>
      <w:pPr>
        <w:ind w:left="10" w:right="3439" w:firstLine="441"/>
        <w:spacing w:after="0" w:line="235" w:lineRule="auto"/>
        <w:rPr>
          <w:sz w:val="20"/>
          <w:szCs w:val="20"/>
          <w:color w:val="auto"/>
        </w:rPr>
      </w:pPr>
      <w:r>
        <w:rPr>
          <w:rFonts w:ascii="Courier New" w:cs="Courier New" w:eastAsia="Courier New" w:hAnsi="Courier New"/>
          <w:sz w:val="15"/>
          <w:szCs w:val="15"/>
          <w:color w:val="auto"/>
        </w:rPr>
        <w:t>The Restated Certificate of Incorporation of the registrant includes the following provisions:</w:t>
      </w:r>
    </w:p>
    <w:p>
      <w:pPr>
        <w:spacing w:after="0" w:line="176" w:lineRule="exact"/>
        <w:rPr>
          <w:sz w:val="20"/>
          <w:szCs w:val="20"/>
          <w:color w:val="auto"/>
        </w:rPr>
      </w:pPr>
    </w:p>
    <w:p>
      <w:pPr>
        <w:ind w:left="450" w:right="3179" w:firstLine="441"/>
        <w:spacing w:after="0" w:line="256" w:lineRule="auto"/>
        <w:rPr>
          <w:sz w:val="20"/>
          <w:szCs w:val="20"/>
          <w:color w:val="auto"/>
        </w:rPr>
      </w:pPr>
      <w:r>
        <w:rPr>
          <w:rFonts w:ascii="Courier New" w:cs="Courier New" w:eastAsia="Courier New" w:hAnsi="Courier New"/>
          <w:sz w:val="14"/>
          <w:szCs w:val="14"/>
          <w:color w:val="auto"/>
        </w:rPr>
        <w:t>Seventh: No director of the Corporation shall be personally liable to the Corporation or its stockholders for monetary damages for breach of fiduciary duty as a director, provided that this provision shall not eliminate or limit the liability of a director for liability (i) for any breach of the director's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Any repeal or modification of this paragraph by the stockholders of the Corporation shall be prospective only, and shall not adversely affect any limitation on the personal liability of a director of the Corporation existing at the time of such repeal or modification.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200" w:lineRule="exact"/>
        <w:rPr>
          <w:sz w:val="20"/>
          <w:szCs w:val="20"/>
          <w:color w:val="auto"/>
        </w:rPr>
      </w:pPr>
    </w:p>
    <w:p>
      <w:pPr>
        <w:spacing w:after="0" w:line="31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9"/>
          </w:cols>
          <w:pgMar w:left="230" w:top="283"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145 of the Delaware General Corporation Law provides as follows:</w:t>
      </w:r>
    </w:p>
    <w:p>
      <w:pPr>
        <w:spacing w:after="0" w:line="175" w:lineRule="exact"/>
        <w:rPr>
          <w:sz w:val="20"/>
          <w:szCs w:val="20"/>
          <w:color w:val="auto"/>
        </w:rPr>
      </w:pPr>
    </w:p>
    <w:p>
      <w:pPr>
        <w:ind w:left="-260" w:right="3259" w:firstLine="431"/>
        <w:spacing w:after="0" w:line="256" w:lineRule="auto"/>
        <w:tabs>
          <w:tab w:leader="none" w:pos="621"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76" w:lineRule="exact"/>
        <w:rPr>
          <w:sz w:val="20"/>
          <w:szCs w:val="20"/>
          <w:color w:val="auto"/>
        </w:rPr>
      </w:pPr>
    </w:p>
    <w:p>
      <w:pPr>
        <w:ind w:left="-260" w:right="3179" w:firstLine="431"/>
        <w:spacing w:after="0" w:line="239" w:lineRule="auto"/>
        <w:tabs>
          <w:tab w:leader="none" w:pos="53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4" w:lineRule="exact"/>
        <w:rPr>
          <w:rFonts w:ascii="Courier New" w:cs="Courier New" w:eastAsia="Courier New" w:hAnsi="Courier New"/>
          <w:sz w:val="15"/>
          <w:szCs w:val="15"/>
          <w:color w:val="auto"/>
        </w:rPr>
      </w:pPr>
    </w:p>
    <w:p>
      <w:pPr>
        <w:ind w:left="-260" w:right="3179" w:firstLine="431"/>
        <w:spacing w:after="0" w:line="238" w:lineRule="auto"/>
        <w:tabs>
          <w:tab w:leader="none" w:pos="53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75" w:lineRule="exact"/>
        <w:rPr>
          <w:rFonts w:ascii="Courier New" w:cs="Courier New" w:eastAsia="Courier New" w:hAnsi="Courier New"/>
          <w:sz w:val="15"/>
          <w:szCs w:val="15"/>
          <w:color w:val="auto"/>
        </w:rPr>
      </w:pPr>
    </w:p>
    <w:p>
      <w:pPr>
        <w:ind w:left="-260" w:right="3179" w:firstLine="431"/>
        <w:spacing w:after="0" w:line="238" w:lineRule="auto"/>
        <w:tabs>
          <w:tab w:leader="none" w:pos="53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under the provisions of subsection (a) or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179" w:lineRule="exact"/>
        <w:rPr>
          <w:rFonts w:ascii="Courier New" w:cs="Courier New" w:eastAsia="Courier New" w:hAnsi="Courier New"/>
          <w:sz w:val="15"/>
          <w:szCs w:val="15"/>
          <w:color w:val="auto"/>
        </w:rPr>
      </w:pPr>
    </w:p>
    <w:p>
      <w:pPr>
        <w:ind w:left="-260" w:right="3179" w:firstLine="431"/>
        <w:spacing w:after="0" w:line="257" w:lineRule="auto"/>
        <w:tabs>
          <w:tab w:leader="none" w:pos="53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 incurred by other employees and agents may be so paid upon such terms and conditions, if any, as the board of directors deems appropriate.</w:t>
      </w:r>
    </w:p>
    <w:p>
      <w:pPr>
        <w:spacing w:after="0" w:line="166" w:lineRule="exact"/>
        <w:rPr>
          <w:rFonts w:ascii="Courier New" w:cs="Courier New" w:eastAsia="Courier New" w:hAnsi="Courier New"/>
          <w:sz w:val="14"/>
          <w:szCs w:val="14"/>
          <w:color w:val="auto"/>
        </w:rPr>
      </w:pPr>
    </w:p>
    <w:p>
      <w:pPr>
        <w:ind w:left="-260" w:right="3179" w:firstLine="431"/>
        <w:spacing w:after="0" w:line="259" w:lineRule="auto"/>
        <w:tabs>
          <w:tab w:leader="none" w:pos="53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w:t>
      </w:r>
    </w:p>
    <w:p>
      <w:pPr>
        <w:spacing w:after="0" w:line="15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9959"/>
          </w:cols>
          <w:pgMar w:left="50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23</w:t>
      </w:r>
    </w:p>
    <w:p>
      <w:pPr>
        <w:spacing w:after="0" w:line="175" w:lineRule="exact"/>
        <w:rPr>
          <w:sz w:val="20"/>
          <w:szCs w:val="20"/>
          <w:color w:val="auto"/>
        </w:rPr>
      </w:pPr>
    </w:p>
    <w:p>
      <w:pPr>
        <w:ind w:right="3699"/>
        <w:spacing w:after="0" w:line="265" w:lineRule="auto"/>
        <w:rPr>
          <w:sz w:val="20"/>
          <w:szCs w:val="20"/>
          <w:color w:val="auto"/>
        </w:rPr>
      </w:pPr>
      <w:r>
        <w:rPr>
          <w:rFonts w:ascii="Courier New" w:cs="Courier New" w:eastAsia="Courier New" w:hAnsi="Courier New"/>
          <w:sz w:val="14"/>
          <w:szCs w:val="14"/>
          <w:color w:val="auto"/>
        </w:rPr>
        <w:t>or disinterested directors or otherwise, both as to action in his official capacity and as to action in another capacity while holding such office.</w:t>
      </w:r>
    </w:p>
    <w:p>
      <w:pPr>
        <w:spacing w:after="0" w:line="158" w:lineRule="exact"/>
        <w:rPr>
          <w:sz w:val="20"/>
          <w:szCs w:val="20"/>
          <w:color w:val="auto"/>
        </w:rPr>
      </w:pPr>
    </w:p>
    <w:p>
      <w:pPr>
        <w:ind w:right="3179" w:firstLine="431"/>
        <w:spacing w:after="0" w:line="238" w:lineRule="auto"/>
        <w:tabs>
          <w:tab w:leader="none" w:pos="79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77"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81"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81"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78" w:lineRule="exact"/>
        <w:rPr>
          <w:rFonts w:ascii="Courier New" w:cs="Courier New" w:eastAsia="Courier New" w:hAnsi="Courier New"/>
          <w:sz w:val="15"/>
          <w:szCs w:val="15"/>
          <w:color w:val="auto"/>
        </w:rPr>
      </w:pPr>
    </w:p>
    <w:p>
      <w:pPr>
        <w:ind w:right="3359" w:firstLine="431"/>
        <w:spacing w:after="0" w:line="238" w:lineRule="auto"/>
        <w:tabs>
          <w:tab w:leader="none" w:pos="79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76"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The Restated Certificate of Incorporation of the registrant includes the following provision:</w:t>
      </w:r>
    </w:p>
    <w:p>
      <w:pPr>
        <w:spacing w:after="0" w:line="176" w:lineRule="exact"/>
        <w:rPr>
          <w:sz w:val="20"/>
          <w:szCs w:val="20"/>
          <w:color w:val="auto"/>
        </w:rPr>
      </w:pPr>
    </w:p>
    <w:p>
      <w:pPr>
        <w:ind w:left="440" w:right="3179" w:firstLine="441"/>
        <w:spacing w:after="0" w:line="256" w:lineRule="auto"/>
        <w:rPr>
          <w:sz w:val="20"/>
          <w:szCs w:val="20"/>
          <w:color w:val="auto"/>
        </w:rPr>
      </w:pPr>
      <w:r>
        <w:rPr>
          <w:rFonts w:ascii="Courier New" w:cs="Courier New" w:eastAsia="Courier New" w:hAnsi="Courier New"/>
          <w:sz w:val="14"/>
          <w:szCs w:val="14"/>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175" w:lineRule="exact"/>
        <w:rPr>
          <w:sz w:val="20"/>
          <w:szCs w:val="20"/>
          <w:color w:val="auto"/>
        </w:rPr>
      </w:pPr>
    </w:p>
    <w:p>
      <w:pPr>
        <w:ind w:left="440" w:right="3179"/>
        <w:spacing w:after="0" w:line="237" w:lineRule="auto"/>
        <w:rPr>
          <w:sz w:val="20"/>
          <w:szCs w:val="20"/>
          <w:color w:val="auto"/>
        </w:rPr>
      </w:pPr>
      <w:r>
        <w:rPr>
          <w:rFonts w:ascii="Courier New" w:cs="Courier New" w:eastAsia="Courier New" w:hAnsi="Courier New"/>
          <w:sz w:val="15"/>
          <w:szCs w:val="15"/>
          <w:color w:val="auto"/>
        </w:rPr>
        <w:t>indemnification under this Article shall be deemed to have met the standard of conduct required for such indemnification unless the contrary shall be established.</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333"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The Company has a directors and officers reimbursement and liability insurance policy that insures the Company's directors and officers against certain liabilities.</w:t>
      </w:r>
    </w:p>
    <w:p>
      <w:pPr>
        <w:spacing w:after="0" w:line="175"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The Standby Agreement filed as Exhibit 1.1 to this Registration Statement provides for indemnification and contribution by the Purchaser with respect to certain liabilities of the registrant, its directors, officers, and other controlling persons, including liabilities under the Securities Act of 1933.</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w:t>
      </w:r>
    </w:p>
    <w:p>
      <w:pPr>
        <w:spacing w:after="0" w:line="200" w:lineRule="exact"/>
        <w:rPr>
          <w:sz w:val="20"/>
          <w:szCs w:val="20"/>
          <w:color w:val="auto"/>
        </w:rPr>
      </w:pPr>
    </w:p>
    <w:p>
      <w:pPr>
        <w:spacing w:after="0" w:line="308"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Form of</w:t>
            </w:r>
          </w:p>
        </w:tc>
        <w:tc>
          <w:tcPr>
            <w:tcW w:w="55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Standby Agreement.</w:t>
            </w:r>
          </w:p>
        </w:tc>
      </w:tr>
      <w:tr>
        <w:trPr>
          <w:trHeight w:val="170"/>
        </w:trPr>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Restated Certificate of Incorporation of the Registrant [Incorporated</w:t>
            </w:r>
          </w:p>
        </w:tc>
      </w:tr>
      <w:tr>
        <w:trPr>
          <w:trHeight w:val="170"/>
        </w:trPr>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by reference to Exhibit 3.1 of the Registrant's Registration Statement</w:t>
            </w:r>
          </w:p>
        </w:tc>
      </w:tr>
      <w:tr>
        <w:trPr>
          <w:trHeight w:val="170"/>
        </w:trPr>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on Form</w:t>
            </w:r>
          </w:p>
        </w:tc>
        <w:tc>
          <w:tcPr>
            <w:tcW w:w="55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S-4, File No. 33-60103].</w:t>
            </w:r>
          </w:p>
        </w:tc>
      </w:tr>
      <w:tr>
        <w:trPr>
          <w:trHeight w:val="170"/>
        </w:trPr>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2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Bylaws of the Registrant [Incorporated by reference to Exhibit 3.2 of</w:t>
            </w:r>
          </w:p>
        </w:tc>
      </w:tr>
      <w:tr>
        <w:trPr>
          <w:trHeight w:val="170"/>
        </w:trPr>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the Registrant's Registration Statement on Form S-4, File No.</w:t>
            </w:r>
          </w:p>
        </w:tc>
      </w:tr>
      <w:tr>
        <w:trPr>
          <w:trHeight w:val="170"/>
        </w:trPr>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33-60103].</w:t>
            </w:r>
          </w:p>
        </w:tc>
        <w:tc>
          <w:tcPr>
            <w:tcW w:w="5240" w:type="dxa"/>
            <w:vAlign w:val="bottom"/>
          </w:tcPr>
          <w:p>
            <w:pPr>
              <w:spacing w:after="0"/>
              <w:rPr>
                <w:sz w:val="14"/>
                <w:szCs w:val="14"/>
                <w:color w:val="auto"/>
              </w:rPr>
            </w:pPr>
          </w:p>
        </w:tc>
      </w:tr>
      <w:tr>
        <w:trPr>
          <w:trHeight w:val="170"/>
        </w:trPr>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2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Indenture dated September 1, 1992 (including form of Debenture),</w:t>
            </w:r>
          </w:p>
        </w:tc>
      </w:tr>
      <w:tr>
        <w:trPr>
          <w:trHeight w:val="170"/>
        </w:trPr>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between</w:t>
            </w:r>
          </w:p>
        </w:tc>
        <w:tc>
          <w:tcPr>
            <w:tcW w:w="55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 Registrant and The First National Bank of Boston, as</w:t>
            </w:r>
          </w:p>
        </w:tc>
      </w:tr>
      <w:tr>
        <w:trPr>
          <w:trHeight w:val="170"/>
        </w:trPr>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Trustee, with respect to the 8 1/2% Convertible Subordinated</w:t>
            </w:r>
          </w:p>
        </w:tc>
      </w:tr>
      <w:tr>
        <w:trPr>
          <w:trHeight w:val="170"/>
        </w:trPr>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Debentures</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Due 2002 [Incorporated by reference to Exhibit 4.1 of the</w:t>
            </w:r>
          </w:p>
        </w:tc>
      </w:tr>
      <w:tr>
        <w:trPr>
          <w:trHeight w:val="170"/>
        </w:trPr>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Registrant's Registration Statement on Form S-1, File No. 33-50918].</w:t>
            </w:r>
          </w:p>
        </w:tc>
      </w:tr>
      <w:tr>
        <w:trPr>
          <w:trHeight w:val="170"/>
        </w:trPr>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Opinion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Snell &amp; Smith, A Professional Corporation.</w:t>
            </w:r>
          </w:p>
        </w:tc>
      </w:tr>
      <w:tr>
        <w:trPr>
          <w:trHeight w:val="170"/>
        </w:trPr>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*23.1</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Consent</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Snell &amp; Smith, A Professional Corporation [Included in</w:t>
            </w:r>
          </w:p>
        </w:tc>
      </w:tr>
      <w:tr>
        <w:trPr>
          <w:trHeight w:val="170"/>
        </w:trPr>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Exhibit</w:t>
            </w:r>
          </w:p>
        </w:tc>
        <w:tc>
          <w:tcPr>
            <w:tcW w:w="55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5.1].</w:t>
            </w:r>
          </w:p>
        </w:tc>
      </w:tr>
      <w:tr>
        <w:trPr>
          <w:trHeight w:val="170"/>
        </w:trPr>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*23.2</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Consent</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Coopers &amp; Lybrand L.L.P.</w:t>
            </w:r>
          </w:p>
        </w:tc>
      </w:tr>
      <w:tr>
        <w:trPr>
          <w:trHeight w:val="170"/>
        </w:trPr>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*23.3</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Consent</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Arthur Andersen LLP.</w:t>
            </w:r>
          </w:p>
        </w:tc>
      </w:tr>
      <w:tr>
        <w:trPr>
          <w:trHeight w:val="170"/>
        </w:trPr>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*23.4</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Consent</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Deloitte &amp; Touche LLP.</w:t>
            </w:r>
          </w:p>
        </w:tc>
      </w:tr>
      <w:tr>
        <w:trPr>
          <w:trHeight w:val="170"/>
        </w:trPr>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*24.1</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2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Powers of Attorney (Included on Page II-8).</w:t>
            </w:r>
          </w:p>
        </w:tc>
      </w:tr>
      <w:tr>
        <w:trPr>
          <w:trHeight w:val="170"/>
        </w:trPr>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*99.1</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2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Notice of Redemption of Debentures.</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283" w:right="1440" w:bottom="1440" w:gutter="0" w:footer="0" w:header="0"/>
        </w:sectPr>
      </w:pPr>
    </w:p>
    <w:bookmarkStart w:id="26" w:name="page27"/>
    <w:bookmarkEnd w:id="26"/>
    <w:p>
      <w:pPr>
        <w:ind w:left="270"/>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17. UNDERTAKINGS.</w:t>
      </w:r>
    </w:p>
    <w:p>
      <w:pPr>
        <w:spacing w:after="0" w:line="169"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4" w:lineRule="exact"/>
        <w:rPr>
          <w:rFonts w:ascii="Courier New" w:cs="Courier New" w:eastAsia="Courier New" w:hAnsi="Courier New"/>
          <w:sz w:val="15"/>
          <w:szCs w:val="15"/>
          <w:color w:val="auto"/>
        </w:rPr>
      </w:pPr>
    </w:p>
    <w:p>
      <w:pPr>
        <w:ind w:left="710" w:right="3259" w:firstLine="172"/>
        <w:spacing w:after="0" w:line="265" w:lineRule="auto"/>
        <w:tabs>
          <w:tab w:leader="none" w:pos="1591" w:val="left"/>
        </w:tabs>
        <w:numPr>
          <w:ilvl w:val="2"/>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8" w:lineRule="exact"/>
        <w:rPr>
          <w:rFonts w:ascii="Courier New" w:cs="Courier New" w:eastAsia="Courier New" w:hAnsi="Courier New"/>
          <w:sz w:val="14"/>
          <w:szCs w:val="14"/>
          <w:color w:val="auto"/>
        </w:rPr>
      </w:pPr>
    </w:p>
    <w:p>
      <w:pPr>
        <w:ind w:left="710" w:right="3259" w:firstLine="436"/>
        <w:spacing w:after="0" w:line="235" w:lineRule="auto"/>
        <w:tabs>
          <w:tab w:leader="none" w:pos="1591" w:val="left"/>
        </w:tabs>
        <w:numPr>
          <w:ilvl w:val="3"/>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5" w:lineRule="exact"/>
        <w:rPr>
          <w:rFonts w:ascii="Courier New" w:cs="Courier New" w:eastAsia="Courier New" w:hAnsi="Courier New"/>
          <w:sz w:val="15"/>
          <w:szCs w:val="15"/>
          <w:color w:val="auto"/>
        </w:rPr>
      </w:pPr>
    </w:p>
    <w:p>
      <w:pPr>
        <w:ind w:left="710" w:right="3179" w:firstLine="436"/>
        <w:spacing w:after="0" w:line="237" w:lineRule="auto"/>
        <w:tabs>
          <w:tab w:leader="none" w:pos="1591" w:val="left"/>
        </w:tabs>
        <w:numPr>
          <w:ilvl w:val="3"/>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8" w:lineRule="exact"/>
        <w:rPr>
          <w:rFonts w:ascii="Courier New" w:cs="Courier New" w:eastAsia="Courier New" w:hAnsi="Courier New"/>
          <w:sz w:val="15"/>
          <w:szCs w:val="15"/>
          <w:color w:val="auto"/>
        </w:rPr>
      </w:pPr>
    </w:p>
    <w:p>
      <w:pPr>
        <w:ind w:left="710" w:right="3259" w:firstLine="436"/>
        <w:spacing w:after="0" w:line="237" w:lineRule="auto"/>
        <w:tabs>
          <w:tab w:leader="none" w:pos="1679" w:val="left"/>
        </w:tabs>
        <w:numPr>
          <w:ilvl w:val="3"/>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sz w:val="20"/>
          <w:szCs w:val="20"/>
          <w:color w:val="auto"/>
        </w:rPr>
      </w:pPr>
    </w:p>
    <w:p>
      <w:pPr>
        <w:ind w:left="710" w:right="3179"/>
        <w:spacing w:after="0" w:line="238" w:lineRule="auto"/>
        <w:rPr>
          <w:sz w:val="20"/>
          <w:szCs w:val="20"/>
          <w:color w:val="auto"/>
        </w:rPr>
      </w:pPr>
      <w:r>
        <w:rPr>
          <w:rFonts w:ascii="Courier New" w:cs="Courier New" w:eastAsia="Courier New" w:hAnsi="Courier New"/>
          <w:sz w:val="15"/>
          <w:szCs w:val="15"/>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76" w:lineRule="exact"/>
        <w:rPr>
          <w:sz w:val="20"/>
          <w:szCs w:val="20"/>
          <w:color w:val="auto"/>
        </w:rPr>
      </w:pPr>
    </w:p>
    <w:p>
      <w:pPr>
        <w:ind w:left="450" w:right="3259" w:firstLine="432"/>
        <w:spacing w:after="0" w:line="237" w:lineRule="auto"/>
        <w:tabs>
          <w:tab w:leader="none" w:pos="1243"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450" w:right="3179" w:firstLine="432"/>
        <w:spacing w:after="0" w:line="237" w:lineRule="auto"/>
        <w:tabs>
          <w:tab w:leader="none" w:pos="1243"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4" w:lineRule="exact"/>
        <w:rPr>
          <w:rFonts w:ascii="Courier New" w:cs="Courier New" w:eastAsia="Courier New" w:hAnsi="Courier New"/>
          <w:sz w:val="15"/>
          <w:szCs w:val="15"/>
          <w:color w:val="auto"/>
        </w:rPr>
      </w:pPr>
    </w:p>
    <w:p>
      <w:pPr>
        <w:ind w:left="10" w:right="3359" w:firstLine="431"/>
        <w:spacing w:after="0" w:line="257" w:lineRule="auto"/>
        <w:tabs>
          <w:tab w:leader="none" w:pos="80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67" w:lineRule="exact"/>
        <w:rPr>
          <w:sz w:val="20"/>
          <w:szCs w:val="20"/>
          <w:color w:val="auto"/>
        </w:rPr>
      </w:pPr>
    </w:p>
    <w:p>
      <w:pPr>
        <w:ind w:left="10" w:right="3179" w:firstLine="431"/>
        <w:spacing w:after="0" w:line="238" w:lineRule="auto"/>
        <w:tabs>
          <w:tab w:leader="none" w:pos="80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80" w:lineRule="exact"/>
        <w:rPr>
          <w:sz w:val="20"/>
          <w:szCs w:val="20"/>
          <w:color w:val="auto"/>
        </w:rPr>
      </w:pPr>
    </w:p>
    <w:p>
      <w:pPr>
        <w:ind w:left="10" w:right="3179" w:firstLine="431"/>
        <w:spacing w:after="0" w:line="238" w:lineRule="auto"/>
        <w:tabs>
          <w:tab w:leader="none" w:pos="803"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w:t>
      </w:r>
    </w:p>
    <w:p>
      <w:pPr>
        <w:spacing w:after="0" w:line="17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9"/>
          </w:cols>
          <w:pgMar w:left="23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26</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settled by controlling precedent, submit to a court of appropriate jurisdiction the question whether such indemnification by it is against public policy as expressed in the Act and will be governed by the final adjudication of such issue.</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or amendment thereto to be signed on its behalf by the undersigned, thereunto duly authorized, in the City of Dallas, State of Texas on October 31, 1995.</w:t>
      </w:r>
    </w:p>
    <w:p>
      <w:pPr>
        <w:spacing w:after="0" w:line="170"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3860"/>
        <w:spacing w:after="0"/>
        <w:tabs>
          <w:tab w:leader="none" w:pos="4460" w:val="left"/>
          <w:tab w:leader="none" w:pos="49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JOHN E. DRURY</w:t>
      </w:r>
    </w:p>
    <w:p>
      <w:pPr>
        <w:ind w:left="4140"/>
        <w:spacing w:after="0"/>
        <w:rPr>
          <w:sz w:val="20"/>
          <w:szCs w:val="20"/>
          <w:color w:val="auto"/>
        </w:rPr>
      </w:pPr>
      <w:r>
        <w:rPr>
          <w:rFonts w:ascii="Courier New" w:cs="Courier New" w:eastAsia="Courier New" w:hAnsi="Courier New"/>
          <w:sz w:val="15"/>
          <w:szCs w:val="15"/>
          <w:color w:val="auto"/>
        </w:rPr>
        <w:t>------------------------------</w:t>
      </w:r>
    </w:p>
    <w:p>
      <w:pPr>
        <w:jc w:val="center"/>
        <w:ind w:right="-700"/>
        <w:spacing w:after="0"/>
        <w:rPr>
          <w:sz w:val="20"/>
          <w:szCs w:val="20"/>
          <w:color w:val="auto"/>
        </w:rPr>
      </w:pPr>
      <w:r>
        <w:rPr>
          <w:rFonts w:ascii="Courier New" w:cs="Courier New" w:eastAsia="Courier New" w:hAnsi="Courier New"/>
          <w:sz w:val="15"/>
          <w:szCs w:val="15"/>
          <w:color w:val="auto"/>
        </w:rPr>
        <w:t>John E. Drury, Chief Executive</w:t>
      </w:r>
    </w:p>
    <w:p>
      <w:pPr>
        <w:jc w:val="center"/>
        <w:ind w:right="-600"/>
        <w:spacing w:after="0" w:line="238" w:lineRule="auto"/>
        <w:rPr>
          <w:sz w:val="20"/>
          <w:szCs w:val="20"/>
          <w:color w:val="auto"/>
        </w:rPr>
      </w:pPr>
      <w:r>
        <w:rPr>
          <w:rFonts w:ascii="Courier New" w:cs="Courier New" w:eastAsia="Courier New" w:hAnsi="Courier New"/>
          <w:sz w:val="15"/>
          <w:szCs w:val="15"/>
          <w:color w:val="auto"/>
        </w:rPr>
        <w:t>Officer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283" w:right="1440" w:bottom="1440" w:gutter="0" w:footer="0" w:header="0"/>
        </w:sectPr>
      </w:pPr>
    </w:p>
    <w:bookmarkStart w:id="28" w:name="page29"/>
    <w:bookmarkEnd w:id="28"/>
    <w:p>
      <w:pPr>
        <w:ind w:left="270"/>
        <w:spacing w:after="0"/>
        <w:rPr>
          <w:sz w:val="20"/>
          <w:szCs w:val="20"/>
          <w:color w:val="auto"/>
        </w:rPr>
      </w:pPr>
      <w:r>
        <w:rPr>
          <w:rFonts w:ascii="Courier New" w:cs="Courier New" w:eastAsia="Courier New" w:hAnsi="Courier New"/>
          <w:sz w:val="15"/>
          <w:szCs w:val="15"/>
          <w:color w:val="auto"/>
        </w:rPr>
        <w:t>27</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POWER OF ATTORNEY</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on Form S-3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76"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Witness our hands on the date set forth below.</w:t>
      </w:r>
    </w:p>
    <w:p>
      <w:pPr>
        <w:spacing w:after="0" w:line="175" w:lineRule="exact"/>
        <w:rPr>
          <w:sz w:val="20"/>
          <w:szCs w:val="20"/>
          <w:color w:val="auto"/>
        </w:rPr>
      </w:pPr>
    </w:p>
    <w:p>
      <w:pPr>
        <w:ind w:left="10" w:right="353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or amendment thereto has been signed by the following persons in the capacities and on October 31, 1995.</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59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TITLE</w:t>
      </w:r>
    </w:p>
    <w:p>
      <w:pPr>
        <w:spacing w:after="0" w:line="175" w:lineRule="exact"/>
        <w:rPr>
          <w:sz w:val="20"/>
          <w:szCs w:val="20"/>
          <w:color w:val="auto"/>
        </w:rPr>
      </w:pPr>
    </w:p>
    <w:p>
      <w:pPr>
        <w:sectPr>
          <w:pgSz w:w="11900" w:h="16838" w:orient="portrait"/>
          <w:cols w:equalWidth="0" w:num="2">
            <w:col w:w="5370" w:space="720"/>
            <w:col w:w="4139"/>
          </w:cols>
          <w:pgMar w:left="230" w:top="283" w:right="1440" w:bottom="1440" w:gutter="0" w:footer="0" w:header="0"/>
          <w:type w:val="continuous"/>
        </w:sectPr>
      </w:pPr>
    </w:p>
    <w:p>
      <w:pPr>
        <w:ind w:left="1150"/>
        <w:spacing w:after="0"/>
        <w:tabs>
          <w:tab w:leader="none" w:pos="1569" w:val="left"/>
        </w:tabs>
        <w:rPr>
          <w:sz w:val="20"/>
          <w:szCs w:val="20"/>
          <w:color w:val="auto"/>
        </w:rPr>
      </w:pPr>
      <w:r>
        <w:rPr>
          <w:rFonts w:ascii="Courier New" w:cs="Courier New" w:eastAsia="Courier New" w:hAnsi="Courier New"/>
          <w:sz w:val="15"/>
          <w:szCs w:val="15"/>
          <w:color w:val="auto"/>
        </w:rPr>
        <w:t>/s/</w:t>
        <w:tab/>
        <w:t>JOHN E. DRURY</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John E. Drury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and Chief Executive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Officer</w:t>
      </w:r>
    </w:p>
    <w:p>
      <w:pPr>
        <w:spacing w:after="0" w:line="338" w:lineRule="exact"/>
        <w:rPr>
          <w:sz w:val="20"/>
          <w:szCs w:val="20"/>
          <w:color w:val="auto"/>
        </w:rPr>
      </w:pPr>
    </w:p>
    <w:p>
      <w:pPr>
        <w:sectPr>
          <w:pgSz w:w="11900" w:h="16838" w:orient="portrait"/>
          <w:cols w:equalWidth="0" w:num="2">
            <w:col w:w="4050" w:space="260"/>
            <w:col w:w="5919"/>
          </w:cols>
          <w:pgMar w:left="230" w:top="283" w:right="1440" w:bottom="1440" w:gutter="0" w:footer="0" w:header="0"/>
          <w:type w:val="continuous"/>
        </w:sectPr>
      </w:pPr>
    </w:p>
    <w:p>
      <w:pPr>
        <w:ind w:left="530"/>
        <w:spacing w:after="0"/>
        <w:tabs>
          <w:tab w:leader="none" w:pos="949" w:val="left"/>
        </w:tabs>
        <w:rPr>
          <w:sz w:val="20"/>
          <w:szCs w:val="20"/>
          <w:color w:val="auto"/>
        </w:rPr>
      </w:pPr>
      <w:r>
        <w:rPr>
          <w:rFonts w:ascii="Courier New" w:cs="Courier New" w:eastAsia="Courier New" w:hAnsi="Courier New"/>
          <w:sz w:val="15"/>
          <w:szCs w:val="15"/>
          <w:color w:val="auto"/>
        </w:rPr>
        <w:t>/s/</w:t>
        <w:tab/>
        <w:t>DONALD F. MOOREHEAD, JR.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Donald F. Moorehead,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Chairman of the Board and Chief</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Development Officer</w:t>
      </w:r>
    </w:p>
    <w:p>
      <w:pPr>
        <w:spacing w:after="0" w:line="338" w:lineRule="exact"/>
        <w:rPr>
          <w:sz w:val="20"/>
          <w:szCs w:val="20"/>
          <w:color w:val="auto"/>
        </w:rPr>
      </w:pPr>
    </w:p>
    <w:p>
      <w:pPr>
        <w:sectPr>
          <w:pgSz w:w="11900" w:h="16838" w:orient="portrait"/>
          <w:cols w:equalWidth="0" w:num="2">
            <w:col w:w="4050" w:space="260"/>
            <w:col w:w="5919"/>
          </w:cols>
          <w:pgMar w:left="230" w:top="283" w:right="1440" w:bottom="1440" w:gutter="0" w:footer="0" w:header="0"/>
          <w:type w:val="continuous"/>
        </w:sectPr>
      </w:pPr>
    </w:p>
    <w:p>
      <w:pPr>
        <w:ind w:left="610"/>
        <w:spacing w:after="0"/>
        <w:tabs>
          <w:tab w:leader="none" w:pos="1029" w:val="left"/>
        </w:tabs>
        <w:rPr>
          <w:sz w:val="20"/>
          <w:szCs w:val="20"/>
          <w:color w:val="auto"/>
        </w:rPr>
      </w:pPr>
      <w:r>
        <w:rPr>
          <w:rFonts w:ascii="Courier New" w:cs="Courier New" w:eastAsia="Courier New" w:hAnsi="Courier New"/>
          <w:sz w:val="15"/>
          <w:szCs w:val="15"/>
          <w:color w:val="auto"/>
        </w:rPr>
        <w:t>/s/</w:t>
        <w:tab/>
        <w:t>DAVID SUTHERLAND-YOEST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David Sutherland-Yoest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Chief Operating Officer, and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4050" w:space="260"/>
            <w:col w:w="5919"/>
          </w:cols>
          <w:pgMar w:left="230" w:top="283" w:right="1440" w:bottom="1440" w:gutter="0" w:footer="0" w:header="0"/>
          <w:type w:val="continuous"/>
        </w:sectPr>
      </w:pPr>
    </w:p>
    <w:p>
      <w:pPr>
        <w:ind w:left="890"/>
        <w:spacing w:after="0"/>
        <w:tabs>
          <w:tab w:leader="none" w:pos="1309" w:val="left"/>
        </w:tabs>
        <w:rPr>
          <w:sz w:val="20"/>
          <w:szCs w:val="20"/>
          <w:color w:val="auto"/>
        </w:rPr>
      </w:pPr>
      <w:r>
        <w:rPr>
          <w:rFonts w:ascii="Courier New" w:cs="Courier New" w:eastAsia="Courier New" w:hAnsi="Courier New"/>
          <w:sz w:val="15"/>
          <w:szCs w:val="15"/>
          <w:color w:val="auto"/>
        </w:rPr>
        <w:t>/s/</w:t>
        <w:tab/>
        <w:t>EARL E. DEFRATES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Earl E. DeFrates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 Chief Financial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Officer and Treasurer</w:t>
      </w:r>
    </w:p>
    <w:p>
      <w:pPr>
        <w:spacing w:after="0" w:line="338" w:lineRule="exact"/>
        <w:rPr>
          <w:sz w:val="20"/>
          <w:szCs w:val="20"/>
          <w:color w:val="auto"/>
        </w:rPr>
      </w:pPr>
    </w:p>
    <w:p>
      <w:pPr>
        <w:sectPr>
          <w:pgSz w:w="11900" w:h="16838" w:orient="portrait"/>
          <w:cols w:equalWidth="0" w:num="2">
            <w:col w:w="4050" w:space="260"/>
            <w:col w:w="5919"/>
          </w:cols>
          <w:pgMar w:left="230" w:top="283" w:right="1440" w:bottom="1440" w:gutter="0" w:footer="0" w:header="0"/>
          <w:type w:val="continuous"/>
        </w:sectPr>
      </w:pPr>
    </w:p>
    <w:p>
      <w:pPr>
        <w:ind w:left="890"/>
        <w:spacing w:after="0"/>
        <w:tabs>
          <w:tab w:leader="none" w:pos="1309" w:val="left"/>
        </w:tabs>
        <w:rPr>
          <w:sz w:val="20"/>
          <w:szCs w:val="20"/>
          <w:color w:val="auto"/>
        </w:rPr>
      </w:pPr>
      <w:r>
        <w:rPr>
          <w:rFonts w:ascii="Courier New" w:cs="Courier New" w:eastAsia="Courier New" w:hAnsi="Courier New"/>
          <w:sz w:val="15"/>
          <w:szCs w:val="15"/>
          <w:color w:val="auto"/>
        </w:rPr>
        <w:t>/s/</w:t>
        <w:tab/>
        <w:t>BRUCE E. SNYDER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and Corporate Controller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(Chief Accounting Officer)</w:t>
      </w:r>
    </w:p>
    <w:p>
      <w:pPr>
        <w:spacing w:after="0" w:line="338" w:lineRule="exact"/>
        <w:rPr>
          <w:sz w:val="20"/>
          <w:szCs w:val="20"/>
          <w:color w:val="auto"/>
        </w:rPr>
      </w:pPr>
    </w:p>
    <w:p>
      <w:pPr>
        <w:sectPr>
          <w:pgSz w:w="11900" w:h="16838" w:orient="portrait"/>
          <w:cols w:equalWidth="0" w:num="2">
            <w:col w:w="4050" w:space="260"/>
            <w:col w:w="5919"/>
          </w:cols>
          <w:pgMar w:left="230" w:top="283" w:right="1440" w:bottom="1440" w:gutter="0" w:footer="0" w:header="0"/>
          <w:type w:val="continuous"/>
        </w:sectPr>
      </w:pPr>
    </w:p>
    <w:p>
      <w:pPr>
        <w:ind w:left="710"/>
        <w:spacing w:after="0"/>
        <w:tabs>
          <w:tab w:leader="none" w:pos="1129"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JOHN G. RANGOS, SR.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Chairman of the Board</w:t>
      </w:r>
    </w:p>
    <w:p>
      <w:pPr>
        <w:spacing w:after="0" w:line="10" w:lineRule="exact"/>
        <w:rPr>
          <w:sz w:val="20"/>
          <w:szCs w:val="20"/>
          <w:color w:val="auto"/>
        </w:rPr>
      </w:pPr>
    </w:p>
    <w:p>
      <w:pPr>
        <w:sectPr>
          <w:pgSz w:w="11900" w:h="16838" w:orient="portrait"/>
          <w:cols w:equalWidth="0" w:num="2">
            <w:col w:w="3590" w:space="720"/>
            <w:col w:w="5919"/>
          </w:cols>
          <w:pgMar w:left="230" w:top="283" w:right="1440" w:bottom="1440" w:gutter="0" w:footer="0" w:header="0"/>
          <w:type w:val="continuous"/>
        </w:sectPr>
      </w:pPr>
    </w:p>
    <w:p>
      <w:pPr>
        <w:ind w:left="170" w:hanging="170"/>
        <w:spacing w:after="0"/>
        <w:tabs>
          <w:tab w:leader="none" w:pos="17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9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John G. Rangos, Sr.</w:t>
      </w:r>
    </w:p>
    <w:p>
      <w:pPr>
        <w:sectPr>
          <w:pgSz w:w="11900" w:h="16838" w:orient="portrait"/>
          <w:cols w:equalWidth="0" w:num="1">
            <w:col w:w="10229"/>
          </w:cols>
          <w:pgMar w:left="230" w:top="283" w:right="1440" w:bottom="1440" w:gutter="0" w:footer="0" w:header="0"/>
          <w:type w:val="continuous"/>
        </w:sectPr>
      </w:pPr>
    </w:p>
    <w:p>
      <w:pPr>
        <w:spacing w:after="0" w:line="169" w:lineRule="exact"/>
        <w:rPr>
          <w:sz w:val="20"/>
          <w:szCs w:val="20"/>
          <w:color w:val="auto"/>
        </w:rPr>
      </w:pPr>
    </w:p>
    <w:p>
      <w:pPr>
        <w:ind w:left="710"/>
        <w:spacing w:after="0"/>
        <w:tabs>
          <w:tab w:leader="none" w:pos="1129"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ALEXANDER W. RANGOS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Alexander W. Rangos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for Development and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Director</w:t>
      </w:r>
    </w:p>
    <w:p>
      <w:pPr>
        <w:spacing w:after="0" w:line="338" w:lineRule="exact"/>
        <w:rPr>
          <w:sz w:val="20"/>
          <w:szCs w:val="20"/>
          <w:color w:val="auto"/>
        </w:rPr>
      </w:pPr>
    </w:p>
    <w:p>
      <w:pPr>
        <w:sectPr>
          <w:pgSz w:w="11900" w:h="16838" w:orient="portrait"/>
          <w:cols w:equalWidth="0" w:num="2">
            <w:col w:w="4050" w:space="260"/>
            <w:col w:w="5919"/>
          </w:cols>
          <w:pgMar w:left="230" w:top="283" w:right="1440" w:bottom="1440" w:gutter="0" w:footer="0" w:header="0"/>
          <w:type w:val="continuous"/>
        </w:sectPr>
      </w:pPr>
    </w:p>
    <w:p>
      <w:pPr>
        <w:ind w:left="970"/>
        <w:spacing w:after="0"/>
        <w:tabs>
          <w:tab w:leader="none" w:pos="1389"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GEORGE L. BALL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sectPr>
          <w:pgSz w:w="11900" w:h="16838" w:orient="portrait"/>
          <w:cols w:equalWidth="0" w:num="2">
            <w:col w:w="3590" w:space="720"/>
            <w:col w:w="5919"/>
          </w:cols>
          <w:pgMar w:left="230" w:top="283" w:right="1440" w:bottom="1440" w:gutter="0" w:footer="0" w:header="0"/>
          <w:type w:val="continuous"/>
        </w:sectPr>
      </w:pPr>
    </w:p>
    <w:p>
      <w:pPr>
        <w:ind w:left="170" w:hanging="170"/>
        <w:spacing w:after="0"/>
        <w:tabs>
          <w:tab w:leader="none" w:pos="17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1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George L. Ball</w:t>
      </w:r>
    </w:p>
    <w:p>
      <w:pPr>
        <w:spacing w:after="0" w:line="169" w:lineRule="exact"/>
        <w:rPr>
          <w:sz w:val="20"/>
          <w:szCs w:val="20"/>
          <w:color w:val="auto"/>
        </w:rPr>
      </w:pPr>
    </w:p>
    <w:p>
      <w:pPr>
        <w:ind w:left="710"/>
        <w:spacing w:after="0"/>
        <w:tabs>
          <w:tab w:leader="none" w:pos="1129" w:val="left"/>
          <w:tab w:leader="none" w:pos="4289" w:val="left"/>
        </w:tabs>
        <w:rPr>
          <w:sz w:val="20"/>
          <w:szCs w:val="20"/>
          <w:color w:val="auto"/>
        </w:rPr>
      </w:pPr>
      <w:r>
        <w:rPr>
          <w:rFonts w:ascii="Courier New" w:cs="Courier New" w:eastAsia="Courier New" w:hAnsi="Courier New"/>
          <w:sz w:val="15"/>
          <w:szCs w:val="15"/>
          <w:color w:val="auto"/>
        </w:rPr>
        <w:t>/s/</w:t>
        <w:tab/>
        <w:t>RICHARD J. HECKMANN</w:t>
      </w:r>
      <w:r>
        <w:rPr>
          <w:sz w:val="20"/>
          <w:szCs w:val="20"/>
          <w:color w:val="auto"/>
        </w:rPr>
        <w:tab/>
      </w:r>
      <w:r>
        <w:rPr>
          <w:rFonts w:ascii="Courier New" w:cs="Courier New" w:eastAsia="Courier New" w:hAnsi="Courier New"/>
          <w:sz w:val="15"/>
          <w:szCs w:val="15"/>
          <w:color w:val="auto"/>
        </w:rPr>
        <w:t>Director</w:t>
      </w:r>
    </w:p>
    <w:p>
      <w:pPr>
        <w:ind w:left="170" w:hanging="170"/>
        <w:spacing w:after="0"/>
        <w:tabs>
          <w:tab w:leader="none" w:pos="17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J. Heckmann</w:t>
      </w:r>
    </w:p>
    <w:p>
      <w:pPr>
        <w:spacing w:after="0" w:line="169" w:lineRule="exact"/>
        <w:rPr>
          <w:sz w:val="20"/>
          <w:szCs w:val="20"/>
          <w:color w:val="auto"/>
        </w:rPr>
      </w:pPr>
    </w:p>
    <w:p>
      <w:pPr>
        <w:ind w:left="790"/>
        <w:spacing w:after="0"/>
        <w:tabs>
          <w:tab w:leader="none" w:pos="1209" w:val="left"/>
          <w:tab w:leader="none" w:pos="4289" w:val="left"/>
        </w:tabs>
        <w:rPr>
          <w:sz w:val="20"/>
          <w:szCs w:val="20"/>
          <w:color w:val="auto"/>
        </w:rPr>
      </w:pPr>
      <w:r>
        <w:rPr>
          <w:rFonts w:ascii="Courier New" w:cs="Courier New" w:eastAsia="Courier New" w:hAnsi="Courier New"/>
          <w:sz w:val="15"/>
          <w:szCs w:val="15"/>
          <w:color w:val="auto"/>
        </w:rPr>
        <w:t>/s/</w:t>
        <w:tab/>
        <w:t>WILLIAM E. MOFFETT</w:t>
      </w:r>
      <w:r>
        <w:rPr>
          <w:sz w:val="20"/>
          <w:szCs w:val="20"/>
          <w:color w:val="auto"/>
        </w:rPr>
        <w:tab/>
      </w:r>
      <w:r>
        <w:rPr>
          <w:rFonts w:ascii="Courier New" w:cs="Courier New" w:eastAsia="Courier New" w:hAnsi="Courier New"/>
          <w:sz w:val="15"/>
          <w:szCs w:val="15"/>
          <w:color w:val="auto"/>
        </w:rPr>
        <w:t>Director</w:t>
      </w:r>
    </w:p>
    <w:p>
      <w:pPr>
        <w:ind w:left="170" w:hanging="170"/>
        <w:spacing w:after="0"/>
        <w:tabs>
          <w:tab w:leader="none" w:pos="1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Moffett</w:t>
      </w:r>
    </w:p>
    <w:p>
      <w:pPr>
        <w:spacing w:after="0" w:line="169" w:lineRule="exact"/>
        <w:rPr>
          <w:sz w:val="20"/>
          <w:szCs w:val="20"/>
          <w:color w:val="auto"/>
        </w:rPr>
      </w:pPr>
    </w:p>
    <w:p>
      <w:pPr>
        <w:ind w:left="890"/>
        <w:spacing w:after="0"/>
        <w:tabs>
          <w:tab w:leader="none" w:pos="1309" w:val="left"/>
          <w:tab w:leader="none" w:pos="4289" w:val="left"/>
        </w:tabs>
        <w:rPr>
          <w:sz w:val="20"/>
          <w:szCs w:val="20"/>
          <w:color w:val="auto"/>
        </w:rPr>
      </w:pPr>
      <w:r>
        <w:rPr>
          <w:rFonts w:ascii="Courier New" w:cs="Courier New" w:eastAsia="Courier New" w:hAnsi="Courier New"/>
          <w:sz w:val="15"/>
          <w:szCs w:val="15"/>
          <w:color w:val="auto"/>
        </w:rPr>
        <w:t>/s/</w:t>
        <w:tab/>
        <w:t>PETER J. GIBBONS</w:t>
      </w:r>
      <w:r>
        <w:rPr>
          <w:sz w:val="20"/>
          <w:szCs w:val="20"/>
          <w:color w:val="auto"/>
        </w:rPr>
        <w:tab/>
      </w:r>
      <w:r>
        <w:rPr>
          <w:rFonts w:ascii="Courier New" w:cs="Courier New" w:eastAsia="Courier New" w:hAnsi="Courier New"/>
          <w:sz w:val="15"/>
          <w:szCs w:val="15"/>
          <w:color w:val="auto"/>
        </w:rPr>
        <w:t>Director</w:t>
      </w:r>
    </w:p>
    <w:p>
      <w:pPr>
        <w:ind w:left="170" w:hanging="170"/>
        <w:spacing w:after="0"/>
        <w:tabs>
          <w:tab w:leader="none" w:pos="17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J. Gibbons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9"/>
          </w:cols>
          <w:pgMar w:left="230" w:top="283"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488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INDEX TO EXHIBITS</w:t>
            </w:r>
          </w:p>
        </w:tc>
      </w:tr>
      <w:tr>
        <w:trPr>
          <w:trHeight w:val="509"/>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4880" w:type="dxa"/>
            <w:vAlign w:val="bottom"/>
          </w:tcPr>
          <w:p>
            <w:pPr>
              <w:ind w:left="162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8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w:t>
            </w:r>
          </w:p>
        </w:tc>
      </w:tr>
      <w:tr>
        <w:trPr>
          <w:trHeight w:val="339"/>
        </w:trPr>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1.1</w:t>
            </w:r>
          </w:p>
        </w:tc>
        <w:tc>
          <w:tcPr>
            <w:tcW w:w="4880" w:type="dxa"/>
            <w:vAlign w:val="bottom"/>
          </w:tcPr>
          <w:p>
            <w:pPr>
              <w:ind w:left="220"/>
              <w:spacing w:after="0"/>
              <w:rPr>
                <w:sz w:val="20"/>
                <w:szCs w:val="20"/>
                <w:color w:val="auto"/>
              </w:rPr>
            </w:pPr>
            <w:r>
              <w:rPr>
                <w:rFonts w:ascii="Courier New" w:cs="Courier New" w:eastAsia="Courier New" w:hAnsi="Courier New"/>
                <w:sz w:val="15"/>
                <w:szCs w:val="15"/>
                <w:color w:val="auto"/>
              </w:rPr>
              <w:t>Form of Standby Agreement.</w:t>
            </w:r>
          </w:p>
        </w:tc>
      </w:tr>
      <w:tr>
        <w:trPr>
          <w:trHeight w:val="339"/>
        </w:trPr>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5.1</w:t>
            </w:r>
          </w:p>
        </w:tc>
        <w:tc>
          <w:tcPr>
            <w:tcW w:w="4880" w:type="dxa"/>
            <w:vAlign w:val="bottom"/>
          </w:tcPr>
          <w:p>
            <w:pPr>
              <w:ind w:left="220"/>
              <w:spacing w:after="0"/>
              <w:rPr>
                <w:sz w:val="20"/>
                <w:szCs w:val="20"/>
                <w:color w:val="auto"/>
              </w:rPr>
            </w:pPr>
            <w:r>
              <w:rPr>
                <w:rFonts w:ascii="Courier New" w:cs="Courier New" w:eastAsia="Courier New" w:hAnsi="Courier New"/>
                <w:sz w:val="15"/>
                <w:szCs w:val="15"/>
                <w:color w:val="auto"/>
                <w:w w:val="97"/>
              </w:rPr>
              <w:t>Opinion of Snell &amp; Smith, A Professional Corporation.</w:t>
            </w:r>
          </w:p>
        </w:tc>
      </w:tr>
      <w:tr>
        <w:trPr>
          <w:trHeight w:val="339"/>
        </w:trPr>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23.2</w:t>
            </w:r>
          </w:p>
        </w:tc>
        <w:tc>
          <w:tcPr>
            <w:tcW w:w="4880" w:type="dxa"/>
            <w:vAlign w:val="bottom"/>
          </w:tcPr>
          <w:p>
            <w:pPr>
              <w:ind w:left="220"/>
              <w:spacing w:after="0"/>
              <w:rPr>
                <w:sz w:val="20"/>
                <w:szCs w:val="20"/>
                <w:color w:val="auto"/>
              </w:rPr>
            </w:pPr>
            <w:r>
              <w:rPr>
                <w:rFonts w:ascii="Courier New" w:cs="Courier New" w:eastAsia="Courier New" w:hAnsi="Courier New"/>
                <w:sz w:val="15"/>
                <w:szCs w:val="15"/>
                <w:color w:val="auto"/>
              </w:rPr>
              <w:t>Consent of Coopers &amp; Lybrand L.L.P.</w:t>
            </w:r>
          </w:p>
        </w:tc>
      </w:tr>
      <w:tr>
        <w:trPr>
          <w:trHeight w:val="339"/>
        </w:trPr>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23.3</w:t>
            </w:r>
          </w:p>
        </w:tc>
        <w:tc>
          <w:tcPr>
            <w:tcW w:w="4880" w:type="dxa"/>
            <w:vAlign w:val="bottom"/>
          </w:tcPr>
          <w:p>
            <w:pPr>
              <w:ind w:left="220"/>
              <w:spacing w:after="0"/>
              <w:rPr>
                <w:sz w:val="20"/>
                <w:szCs w:val="20"/>
                <w:color w:val="auto"/>
              </w:rPr>
            </w:pPr>
            <w:r>
              <w:rPr>
                <w:rFonts w:ascii="Courier New" w:cs="Courier New" w:eastAsia="Courier New" w:hAnsi="Courier New"/>
                <w:sz w:val="15"/>
                <w:szCs w:val="15"/>
                <w:color w:val="auto"/>
              </w:rPr>
              <w:t>Consent of Arthur Andersen LLP.</w:t>
            </w:r>
          </w:p>
        </w:tc>
      </w:tr>
      <w:tr>
        <w:trPr>
          <w:trHeight w:val="339"/>
        </w:trPr>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23.4</w:t>
            </w:r>
          </w:p>
        </w:tc>
        <w:tc>
          <w:tcPr>
            <w:tcW w:w="4880" w:type="dxa"/>
            <w:vAlign w:val="bottom"/>
          </w:tcPr>
          <w:p>
            <w:pPr>
              <w:ind w:left="220"/>
              <w:spacing w:after="0"/>
              <w:rPr>
                <w:sz w:val="20"/>
                <w:szCs w:val="20"/>
                <w:color w:val="auto"/>
              </w:rPr>
            </w:pPr>
            <w:r>
              <w:rPr>
                <w:rFonts w:ascii="Courier New" w:cs="Courier New" w:eastAsia="Courier New" w:hAnsi="Courier New"/>
                <w:sz w:val="15"/>
                <w:szCs w:val="15"/>
                <w:color w:val="auto"/>
              </w:rPr>
              <w:t>Cosnent of Deloitte &amp; Touche LLP.</w:t>
            </w:r>
          </w:p>
        </w:tc>
      </w:tr>
      <w:tr>
        <w:trPr>
          <w:trHeight w:val="339"/>
        </w:trPr>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99.1</w:t>
            </w:r>
          </w:p>
        </w:tc>
        <w:tc>
          <w:tcPr>
            <w:tcW w:w="4880" w:type="dxa"/>
            <w:vAlign w:val="bottom"/>
          </w:tcPr>
          <w:p>
            <w:pPr>
              <w:ind w:left="220"/>
              <w:spacing w:after="0"/>
              <w:rPr>
                <w:sz w:val="20"/>
                <w:szCs w:val="20"/>
                <w:color w:val="auto"/>
              </w:rPr>
            </w:pPr>
            <w:r>
              <w:rPr>
                <w:rFonts w:ascii="Courier New" w:cs="Courier New" w:eastAsia="Courier New" w:hAnsi="Courier New"/>
                <w:sz w:val="15"/>
                <w:szCs w:val="15"/>
                <w:color w:val="auto"/>
              </w:rPr>
              <w:t>Notice of Redemption of Debentures.</w:t>
            </w:r>
          </w:p>
        </w:tc>
      </w:tr>
    </w:tbl>
    <w:p>
      <w:pPr>
        <w:sectPr>
          <w:pgSz w:w="11900" w:h="16838" w:orient="portrait"/>
          <w:cols w:equalWidth="0" w:num="1">
            <w:col w:w="10219"/>
          </w:cols>
          <w:pgMar w:left="240" w:top="28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1.1</w:t>
      </w:r>
    </w:p>
    <w:p>
      <w:pPr>
        <w:spacing w:after="0" w:line="33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USA WASTE SERVICES, INC.</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COMMON STOCK</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(PAR VALUE $.01 PER SHARE)</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STANDBY AGREEMENT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November 1, 1995</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Sanders Morris Mundy Inc.</w:t>
      </w:r>
    </w:p>
    <w:p>
      <w:pPr>
        <w:spacing w:after="0"/>
        <w:rPr>
          <w:sz w:val="20"/>
          <w:szCs w:val="20"/>
          <w:color w:val="auto"/>
        </w:rPr>
      </w:pPr>
      <w:r>
        <w:rPr>
          <w:rFonts w:ascii="Courier New" w:cs="Courier New" w:eastAsia="Courier New" w:hAnsi="Courier New"/>
          <w:sz w:val="15"/>
          <w:szCs w:val="15"/>
          <w:color w:val="auto"/>
        </w:rPr>
        <w:t>3100 Texas Commerce Tower</w:t>
      </w:r>
    </w:p>
    <w:p>
      <w:pPr>
        <w:spacing w:after="0"/>
        <w:rPr>
          <w:sz w:val="20"/>
          <w:szCs w:val="20"/>
          <w:color w:val="auto"/>
        </w:rPr>
      </w:pPr>
      <w:r>
        <w:rPr>
          <w:rFonts w:ascii="Courier New" w:cs="Courier New" w:eastAsia="Courier New" w:hAnsi="Courier New"/>
          <w:sz w:val="15"/>
          <w:szCs w:val="15"/>
          <w:color w:val="auto"/>
        </w:rPr>
        <w:t>Houston, Texas 77002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USA Waste Services, Inc., a Delaware corporation (the "Company"), proposes, subject to the terms and conditions stated herein, to redeem on December 11, 1995 (the "Redemption Date") all of its outstanding 8-1/2% Convertible Subordinated Debentures due 2002 (the "Securities"), which are convertible into shares (the "Conversion Shares") of Common Stock, par value $.01 per share (the "Common Stock"), of the Company, at a redemption price of 105.67% of the principal amount of Securities plus accrued interest thereon from Ocotber 15, 1995, to the Redemption Date (the "Redemption Price"). The right to convert such Securities into Common Stock will expire at the close of business on December 1, 1995 (the "Expiration Date").</w:t>
      </w:r>
    </w:p>
    <w:p>
      <w:pPr>
        <w:spacing w:after="0" w:line="180"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 Company desires to make arrangements pursuant to which the Company will have the option to sell directly to Sanders Morris Mundy Inc. (the "Purchaser") such number of shares of Common Stock (the "Redemption Shares") equal to the number of shares of Common Stock that would have been issuable upon conversion of the Securities that are not surrendered for conversion on or prior to the close of business on the Expiration Date.</w:t>
      </w:r>
    </w:p>
    <w:p>
      <w:pPr>
        <w:spacing w:after="0" w:line="176" w:lineRule="exact"/>
        <w:rPr>
          <w:sz w:val="20"/>
          <w:szCs w:val="20"/>
          <w:color w:val="auto"/>
        </w:rPr>
      </w:pPr>
    </w:p>
    <w:p>
      <w:pPr>
        <w:ind w:right="4059" w:firstLine="784"/>
        <w:spacing w:after="0" w:line="265" w:lineRule="auto"/>
        <w:tabs>
          <w:tab w:leader="none" w:pos="105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Company. The Company represents and warrants to, and agrees with, the Purchaser that:</w:t>
      </w:r>
    </w:p>
    <w:p>
      <w:pPr>
        <w:sectPr>
          <w:pgSz w:w="11900" w:h="16838" w:orient="portrait"/>
          <w:cols w:equalWidth="0" w:num="1">
            <w:col w:w="10219"/>
          </w:cols>
          <w:pgMar w:left="240" w:top="136"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260" w:right="3259" w:firstLine="784"/>
        <w:spacing w:after="0" w:line="256" w:lineRule="auto"/>
        <w:tabs>
          <w:tab w:leader="none" w:pos="886"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registration statement in respect of the Redemption Shares has been filed with the Securities and Exchange Commission (the "Commission"); no other document with respect to such registration statement or document incorporated by reference therein has heretofore been filed or transmitted for filing with the Commission; the various parts of such registration statement, including all exhibits thereto, and including the documents incorporated by reference in the prospectus contained in the registration statement at the time such registration statement became or becomes effective, each as amended at the time such registration statement became or becomes effective, being hereinafter called the "Registration Statement"; and the prospectus on file with the Commission at the time the Registration Statement became or becomes effective being hereinafter called the "Prospectus;" and any reference herein to the Prospectus shall be deemed to refer to and include the documents incorporated by reference therein pursuant to Item 12 of Form S-3 under the Securities Act of 1933, as amended (the "Act"); any reference to any amendment or supplement to the Prospectus shall be deemed to refer to and include any documents filed after the date of such Prospectus, under the Securities Exchange Act of 1934, as amended (the "Exchange Act"), and incorporated by reference in such Prospectus; and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w:t>
      </w:r>
    </w:p>
    <w:p>
      <w:pPr>
        <w:spacing w:after="0" w:line="346" w:lineRule="exact"/>
        <w:rPr>
          <w:rFonts w:ascii="Courier New" w:cs="Courier New" w:eastAsia="Courier New" w:hAnsi="Courier New"/>
          <w:sz w:val="14"/>
          <w:szCs w:val="14"/>
          <w:color w:val="auto"/>
        </w:rPr>
      </w:pPr>
    </w:p>
    <w:p>
      <w:pPr>
        <w:ind w:left="-260" w:right="3259" w:firstLine="784"/>
        <w:spacing w:after="0" w:line="239" w:lineRule="auto"/>
        <w:tabs>
          <w:tab w:leader="none" w:pos="88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incorporated by reference in the Prospectus, when they were filed with the Commission, conformed in all material respects to the requirements of the Act or the Exchange Act, as applicable, and the rules and regulations of the Commission thereunder, and none of such documents at such filing date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the Purchaser expressly for use therein;</w:t>
      </w:r>
    </w:p>
    <w:p>
      <w:pPr>
        <w:spacing w:after="0" w:line="174" w:lineRule="exact"/>
        <w:rPr>
          <w:rFonts w:ascii="Courier New" w:cs="Courier New" w:eastAsia="Courier New" w:hAnsi="Courier New"/>
          <w:sz w:val="15"/>
          <w:szCs w:val="15"/>
          <w:color w:val="auto"/>
        </w:rPr>
      </w:pPr>
    </w:p>
    <w:p>
      <w:pPr>
        <w:ind w:left="-260" w:right="3259" w:firstLine="784"/>
        <w:spacing w:after="0" w:line="238" w:lineRule="auto"/>
        <w:tabs>
          <w:tab w:leader="none" w:pos="88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conforms, and the Prospectus and any further amendments or supplements to the Registration Statement or the Prospectus did or will, at the time of effectiveness or filing with the Commission, as the case may be, conform, in all material respects to the requirements of the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statements or omissions made in reliance upon and in conformity with information furnished in writing to the Company by the Purchaser expressly for use therein;</w:t>
      </w:r>
    </w:p>
    <w:p>
      <w:pPr>
        <w:spacing w:after="0" w:line="175" w:lineRule="exact"/>
        <w:rPr>
          <w:sz w:val="20"/>
          <w:szCs w:val="20"/>
          <w:color w:val="auto"/>
        </w:rPr>
      </w:pPr>
    </w:p>
    <w:p>
      <w:pPr>
        <w:ind w:right="3359" w:firstLine="784"/>
        <w:spacing w:after="0" w:line="238" w:lineRule="auto"/>
        <w:tabs>
          <w:tab w:leader="none" w:pos="114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sustained since the date of the latest audited financial statements included or incorporated by reference in the Prospectus any material loss or interference with its businesses from fire, explosion, flood, or other calamity, whether or not covered by insurance, or from any material labor dispute or court or governmental action, order, or decree, otherwise than as set forth or contemplated in the Prospectus; and, since the respective dates as of which information is given in the Registration Statement and the Prospectus, there has not been any material change in the capital stock or long-term debt of the Company or any of its subsidiaries or any material adverse change, or any development involving a prospective material adverse change, in or affecting the general affairs, management, financial position, stockholders' equity, or results of operations of the Company and its subsidiaries, otherwise than as set forth or contemplated in the Prospectus;</w:t>
      </w:r>
    </w:p>
    <w:p>
      <w:pPr>
        <w:spacing w:after="0" w:line="183" w:lineRule="exact"/>
        <w:rPr>
          <w:rFonts w:ascii="Courier New" w:cs="Courier New" w:eastAsia="Courier New" w:hAnsi="Courier New"/>
          <w:sz w:val="15"/>
          <w:szCs w:val="15"/>
          <w:color w:val="auto"/>
        </w:rPr>
      </w:pPr>
    </w:p>
    <w:p>
      <w:pPr>
        <w:ind w:right="3259" w:firstLine="784"/>
        <w:spacing w:after="0" w:line="257" w:lineRule="auto"/>
        <w:tabs>
          <w:tab w:leader="none" w:pos="1146"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have good and marketable title in fee simple to all real property and good and marketable title to all personal property owned by them, in each case free and clear of all liens, encumbrances and defects except such as are described in the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w:t>
      </w:r>
    </w:p>
    <w:p>
      <w:pPr>
        <w:spacing w:after="0" w:line="165" w:lineRule="exact"/>
        <w:rPr>
          <w:rFonts w:ascii="Courier New" w:cs="Courier New" w:eastAsia="Courier New" w:hAnsi="Courier New"/>
          <w:sz w:val="14"/>
          <w:szCs w:val="14"/>
          <w:color w:val="auto"/>
        </w:rPr>
      </w:pPr>
    </w:p>
    <w:p>
      <w:pPr>
        <w:ind w:right="3259" w:firstLine="784"/>
        <w:spacing w:after="0" w:line="257" w:lineRule="auto"/>
        <w:tabs>
          <w:tab w:leader="none" w:pos="1146"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incorporated and is validly existing as a corporation in good standing under the laws of the State of Delaware, with power and authority (corporate and other) to own its properties and conduct its business as described in the Prospectus, and has been duly qualified as a foreign corporation for the transaction of business and is in good standing under the laws of each other jurisdiction in which it owns or leases properties, or conducts any business, so as to require such qualification, or is subject to no material liability or disability by reason of the failure to be so qualified in any such jurisdiction; and each subsidiary of the Company has been duly incorporated and is validly existing as a corporation and is in good standing under the laws of its jurisdiction of incorporation;</w:t>
      </w:r>
    </w:p>
    <w:p>
      <w:pPr>
        <w:spacing w:after="0" w:line="165" w:lineRule="exact"/>
        <w:rPr>
          <w:rFonts w:ascii="Courier New" w:cs="Courier New" w:eastAsia="Courier New" w:hAnsi="Courier New"/>
          <w:sz w:val="14"/>
          <w:szCs w:val="14"/>
          <w:color w:val="auto"/>
        </w:rPr>
      </w:pPr>
    </w:p>
    <w:p>
      <w:pPr>
        <w:ind w:right="3259" w:firstLine="784"/>
        <w:spacing w:after="0" w:line="257" w:lineRule="auto"/>
        <w:tabs>
          <w:tab w:leader="none" w:pos="1146"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an authorized capitalization as set forth in the Prospectus, and all of the issued shares of capital stock of the Company have been duly and validly authorized and issued, are fully paid and non-assessable and conform to the description of the Common Stock contained in the Prospectus; the Conversion Shares have been duly and validly authorized and reserved for issuance; the Conversion Shares, when issued and delivered in accordance with the provisions of the Securities and the Indenture dated as of September 1, 1992 (the "Indenture"), between the Company and The First National Bank of Boston, as Trustee (the "Trustee"), and the Redemption Shares, when issued and delivered upon sale by the Company to the Purchaser as herein provided, will be duly and validly issued, fully paid and non-assessable and will conform to the description of the Common Stock contained in the Prospectus;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stockholders have no preemptive rights with respect to the Common Stock; and all of the issued shares of capital stock of each subsidiary of the Company have been duly and validly authorized and issued, are fully paid and non-assessable and are owned directly or indirectly by the Company, free and clear of all liens, encumbrances, equities or claims, other than liens arising under the Revolving Credit and Term Loan Agreement dated as of June 30, 1995, among the Company and the financial institutions named therein;</w:t>
      </w:r>
    </w:p>
    <w:p>
      <w:pPr>
        <w:spacing w:after="0" w:line="177" w:lineRule="exact"/>
        <w:rPr>
          <w:sz w:val="20"/>
          <w:szCs w:val="20"/>
          <w:color w:val="auto"/>
        </w:rPr>
      </w:pPr>
    </w:p>
    <w:p>
      <w:pPr>
        <w:ind w:right="3259" w:firstLine="784"/>
        <w:spacing w:after="0" w:line="238" w:lineRule="auto"/>
        <w:tabs>
          <w:tab w:leader="none" w:pos="114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close of business on October 30, 1995, $48,060,000 principal amount of the Securities was outstanding; the Company has duly authorized the redemption of all outstanding Securities on the Redemption Date at the Redemption Price and the Company has taken all action required to be taken through the date hereof under the terms of the Securities, the Indenture and otherwise to effect such redemption; the Securities are, and will continue to be, convertible into the Conversion Shares at the conversion price of $13.25 per share of Common Stock by surrender of Securities to the Trustee prior to the close of business on the Expiration Date, at which time the conversion right will expire;</w:t>
      </w:r>
    </w:p>
    <w:p>
      <w:pPr>
        <w:spacing w:after="0" w:line="179" w:lineRule="exact"/>
        <w:rPr>
          <w:rFonts w:ascii="Courier New" w:cs="Courier New" w:eastAsia="Courier New" w:hAnsi="Courier New"/>
          <w:sz w:val="15"/>
          <w:szCs w:val="15"/>
          <w:color w:val="auto"/>
        </w:rPr>
      </w:pPr>
    </w:p>
    <w:p>
      <w:pPr>
        <w:ind w:right="3259" w:firstLine="784"/>
        <w:spacing w:after="0" w:line="239" w:lineRule="auto"/>
        <w:tabs>
          <w:tab w:leader="none" w:pos="114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of the Securities, the issuance and sale of the Conversion Shares upon conversion of the Securities and the Redemption Shares upon the sale by the Company to the Purchaser as herein provided, and the compliance by the Company with all of the provisions of this Agreement and the consummation of the transactions contemplated herein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actions result in any violation of the provisions of the Certificate of Incorporation, as amended, or the Bylaws of the Company; nor will such actions result in a violation of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redemption of the Securities, the issuance of the Conversion Shares upon conversion of the Securities or the Redemption Shares upon the sale by the Company to the Purchaser as herein provided, or the consummation by the Company of the transactions contemplated by this Agreement except registration of the Redemption Shares under the Act, which will have been completed on the date hereof, listing of the Redemption Shares on the New York Stock Exchange ("NYSE"), which will be completed prior to the Time of Delivery (as defined in Section 2), and such consents, approvals, authorizations, registrations or qualifications as may be required under state securities or Blue Sky laws in connection with the purchase and distribution of the Redemption Shares by the Purchaser as herein provided;</w:t>
      </w:r>
    </w:p>
    <w:p>
      <w:pPr>
        <w:spacing w:after="0" w:line="177" w:lineRule="exact"/>
        <w:rPr>
          <w:rFonts w:ascii="Courier New" w:cs="Courier New" w:eastAsia="Courier New" w:hAnsi="Courier New"/>
          <w:sz w:val="15"/>
          <w:szCs w:val="15"/>
          <w:color w:val="auto"/>
        </w:rPr>
      </w:pPr>
    </w:p>
    <w:p>
      <w:pPr>
        <w:ind w:right="3259" w:firstLine="784"/>
        <w:spacing w:after="0" w:line="258" w:lineRule="auto"/>
        <w:tabs>
          <w:tab w:leader="none" w:pos="1146"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as set forth or contemplated in the Prospectus, there are no legal or governmental proceedings pending to which the Company or any of its subsidiaries is a party or of which any property of the Company or any of its subsidiaries is the subject with respect to which there is a reasonable likelihood of a determination that would individually or in the aggregate have a material adverse effect on the consolidated financial position,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equity or results of operations of the Company and its subsidiaries; and, to the best of the Company's knowledge, no such proceedings are threatened or contemplated by governmental authorities or threatened by others;</w:t>
      </w:r>
    </w:p>
    <w:p>
      <w:pPr>
        <w:spacing w:after="0" w:line="175" w:lineRule="exact"/>
        <w:rPr>
          <w:sz w:val="20"/>
          <w:szCs w:val="20"/>
          <w:color w:val="auto"/>
        </w:rPr>
      </w:pPr>
    </w:p>
    <w:p>
      <w:pPr>
        <w:ind w:right="3699" w:firstLine="784"/>
        <w:spacing w:after="0" w:line="265" w:lineRule="auto"/>
        <w:tabs>
          <w:tab w:leader="none" w:pos="1146"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subject to regulation under the Investment Company Act of 1940, as amended (the "Investment Company Act");</w:t>
      </w:r>
    </w:p>
    <w:p>
      <w:pPr>
        <w:spacing w:after="0" w:line="158" w:lineRule="exact"/>
        <w:rPr>
          <w:rFonts w:ascii="Courier New" w:cs="Courier New" w:eastAsia="Courier New" w:hAnsi="Courier New"/>
          <w:sz w:val="14"/>
          <w:szCs w:val="14"/>
          <w:color w:val="auto"/>
        </w:rPr>
      </w:pPr>
    </w:p>
    <w:p>
      <w:pPr>
        <w:ind w:right="3359" w:firstLine="784"/>
        <w:spacing w:after="0" w:line="237" w:lineRule="auto"/>
        <w:tabs>
          <w:tab w:leader="none" w:pos="114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Coopers &amp; Lybrand L.L.P., who have audited certain consolidated financial statements of the Company and its subsidiaries, are independent public accountants as required by the Act and the rules and regulations of the Commission thereunder;</w:t>
      </w:r>
    </w:p>
    <w:p>
      <w:pPr>
        <w:spacing w:after="0" w:line="176" w:lineRule="exact"/>
        <w:rPr>
          <w:rFonts w:ascii="Courier New" w:cs="Courier New" w:eastAsia="Courier New" w:hAnsi="Courier New"/>
          <w:sz w:val="15"/>
          <w:szCs w:val="15"/>
          <w:color w:val="auto"/>
        </w:rPr>
      </w:pPr>
    </w:p>
    <w:p>
      <w:pPr>
        <w:ind w:right="3359" w:firstLine="784"/>
        <w:spacing w:after="0" w:line="238" w:lineRule="auto"/>
        <w:tabs>
          <w:tab w:leader="none" w:pos="114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transactions contemplated by this Agreement (including, without limitation, the use of the proceeds from the sale of the Redemption Shares) will violate or result in a violation of Section 7 of the Exchange Act, or any regulation promulgated thereunder, including, without limitation, Regulations G, T, U and X of the Board of Governors of the Federal Reserve System;</w:t>
      </w:r>
    </w:p>
    <w:p>
      <w:pPr>
        <w:spacing w:after="0" w:line="175" w:lineRule="exact"/>
        <w:rPr>
          <w:rFonts w:ascii="Courier New" w:cs="Courier New" w:eastAsia="Courier New" w:hAnsi="Courier New"/>
          <w:sz w:val="15"/>
          <w:szCs w:val="15"/>
          <w:color w:val="auto"/>
        </w:rPr>
      </w:pPr>
    </w:p>
    <w:p>
      <w:pPr>
        <w:ind w:right="3259" w:firstLine="784"/>
        <w:spacing w:after="0" w:line="237" w:lineRule="auto"/>
        <w:tabs>
          <w:tab w:leader="none" w:pos="114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apply the net proceeds from the sale of Redemption Shares for the purpose set forth in the Prospectus under the caption "Use of Proceeds";</w:t>
      </w:r>
    </w:p>
    <w:p>
      <w:pPr>
        <w:spacing w:after="0" w:line="174" w:lineRule="exact"/>
        <w:rPr>
          <w:rFonts w:ascii="Courier New" w:cs="Courier New" w:eastAsia="Courier New" w:hAnsi="Courier New"/>
          <w:sz w:val="15"/>
          <w:szCs w:val="15"/>
          <w:color w:val="auto"/>
        </w:rPr>
      </w:pPr>
    </w:p>
    <w:p>
      <w:pPr>
        <w:ind w:right="3259" w:firstLine="784"/>
        <w:spacing w:after="0" w:line="237" w:lineRule="auto"/>
        <w:tabs>
          <w:tab w:leader="none" w:pos="114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has any right to request or demand to have any shares of Common Stock or other securities of the Company registered pursuant to the Registration Statement, which right has not been waived;</w:t>
      </w:r>
    </w:p>
    <w:p>
      <w:pPr>
        <w:spacing w:after="0" w:line="174" w:lineRule="exact"/>
        <w:rPr>
          <w:rFonts w:ascii="Courier New" w:cs="Courier New" w:eastAsia="Courier New" w:hAnsi="Courier New"/>
          <w:sz w:val="15"/>
          <w:szCs w:val="15"/>
          <w:color w:val="auto"/>
        </w:rPr>
      </w:pPr>
    </w:p>
    <w:p>
      <w:pPr>
        <w:ind w:right="3259" w:firstLine="784"/>
        <w:spacing w:after="0" w:line="258" w:lineRule="auto"/>
        <w:tabs>
          <w:tab w:leader="none" w:pos="1146"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set forth in the Prospectus under the caption "Description of Capital Stock", insofar as they purport to constitute a summary of the terms of the capital stock of the Company and under the captions "Standby Arrangements" and "Redemption of Debentures and Alternatives to Redemption", insofar as they purport to describe the provisions of the laws and documents referred to therein, are accurate, complete and fair; and</w:t>
      </w:r>
    </w:p>
    <w:p>
      <w:pPr>
        <w:spacing w:after="0" w:line="163" w:lineRule="exact"/>
        <w:rPr>
          <w:rFonts w:ascii="Courier New" w:cs="Courier New" w:eastAsia="Courier New" w:hAnsi="Courier New"/>
          <w:sz w:val="14"/>
          <w:szCs w:val="14"/>
          <w:color w:val="auto"/>
        </w:rPr>
      </w:pPr>
    </w:p>
    <w:p>
      <w:pPr>
        <w:jc w:val="both"/>
        <w:ind w:right="3439" w:firstLine="784"/>
        <w:spacing w:after="0" w:line="237" w:lineRule="auto"/>
        <w:tabs>
          <w:tab w:leader="none" w:pos="114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affiliates does business with the government of Cuba or with any person or affiliate located in Cuba within the meaning of Section 517.075, Florida Statutes.</w:t>
      </w:r>
    </w:p>
    <w:p>
      <w:pPr>
        <w:spacing w:after="0" w:line="175" w:lineRule="exact"/>
        <w:rPr>
          <w:sz w:val="20"/>
          <w:szCs w:val="20"/>
          <w:color w:val="auto"/>
        </w:rPr>
      </w:pPr>
    </w:p>
    <w:p>
      <w:pPr>
        <w:ind w:right="3259" w:firstLine="784"/>
        <w:spacing w:after="0" w:line="238" w:lineRule="auto"/>
        <w:tabs>
          <w:tab w:leader="none" w:pos="105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to Sell and Purchase, Delivery, and Payment. (a) Subject to the terms and conditions herein set forth, the Purchaser agrees, at the option of the Company, exercisable by giving notice to the Purchaser not later than 5:00 p.m., Houston time, on the Expiration Date, to purchase from the Company at the Time of Delivery at a price per share of $14.18, such number of Redemption Shares as shall be specified in such notice but not in excess of the total number of Redemption Shares.</w:t>
      </w:r>
    </w:p>
    <w:p>
      <w:pPr>
        <w:spacing w:after="0" w:line="177" w:lineRule="exact"/>
        <w:rPr>
          <w:sz w:val="20"/>
          <w:szCs w:val="20"/>
          <w:color w:val="auto"/>
        </w:rPr>
      </w:pPr>
    </w:p>
    <w:p>
      <w:pPr>
        <w:ind w:right="3359" w:firstLine="784"/>
        <w:spacing w:after="0" w:line="237" w:lineRule="auto"/>
        <w:tabs>
          <w:tab w:leader="none" w:pos="123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in definitive form for the Redemption Shares to be purchased by the Purchaser hereunder shall be delivered by or on behalf of the Company against payment by Purchaser of the purchase price therefor at the office of Sanders Morris Mundy Inc., 3100 Texas Commerce Tower, Houston, Texas 77002.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35" w:name="page36"/>
    <w:bookmarkEnd w:id="35"/>
    <w:p>
      <w:pPr>
        <w:ind w:left="27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10" w:right="3259" w:firstLine="784"/>
        <w:spacing w:after="0" w:line="238" w:lineRule="auto"/>
        <w:tabs>
          <w:tab w:leader="none" w:pos="1244"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compensation to the Purchaser for its commitment hereunder, the Company agrees to pay to the Purchaser, upon execution of this Agreement the sum of $200,000.00. In addition, the Company agrees to pay to the Purchaser no later than 2:00 pm, (Houston time) on December 5, 1995 (such time and date being hereinafter referred to as the "Time of Delivery") at the offices of Sanders Morris Mundy Inc., 3100 Texas Commerce Tower, Houston, Texas 77002, in immediately available funds, payable by wire transfer to an account designated by the Purchaser, an amount equal to the product of (i) $.40 and (ii) the aggregate number of Redemption Shares purchased by the Purchaser. Such additional compensation shall not be payable if the Purchaser determines not to purchase the Conversion Shares on the Closing Date as a result of a failure to be satisfied of the conditions set forth in Sections 4(e) and (f), and, to the extent related to Section 4(e), Section 4(i).</w:t>
      </w:r>
    </w:p>
    <w:p>
      <w:pPr>
        <w:spacing w:after="0" w:line="177" w:lineRule="exact"/>
        <w:rPr>
          <w:rFonts w:ascii="Courier New" w:cs="Courier New" w:eastAsia="Courier New" w:hAnsi="Courier New"/>
          <w:sz w:val="15"/>
          <w:szCs w:val="15"/>
          <w:color w:val="auto"/>
        </w:rPr>
      </w:pPr>
    </w:p>
    <w:p>
      <w:pPr>
        <w:ind w:left="1150" w:hanging="356"/>
        <w:spacing w:after="0"/>
        <w:tabs>
          <w:tab w:leader="none" w:pos="115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agrees to remit to the Company an amount equal to</w:t>
      </w:r>
    </w:p>
    <w:p>
      <w:pPr>
        <w:spacing w:after="0" w:line="5" w:lineRule="exact"/>
        <w:rPr>
          <w:rFonts w:ascii="Courier New" w:cs="Courier New" w:eastAsia="Courier New" w:hAnsi="Courier New"/>
          <w:sz w:val="15"/>
          <w:szCs w:val="15"/>
          <w:color w:val="auto"/>
        </w:rPr>
      </w:pPr>
    </w:p>
    <w:p>
      <w:pPr>
        <w:ind w:left="10" w:right="3259" w:hanging="10"/>
        <w:spacing w:after="0" w:line="239" w:lineRule="auto"/>
        <w:tabs>
          <w:tab w:leader="none" w:pos="36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less than 75% of the excess, if any, of (A) the total proceeds received on the sale of the Redemption Shares, less any selling concessions, transfer taxes and other direct out-of-pocket selling expenses, over (B) the purchase price for the Redemption Shares set forth in Section 2(a) hereunder if the number of Redemption Shares purchased by the Purchaser is equal to or less than 369,811 and (ii) not less than 50% of the excess, if any, of (A) the total proceeds received on the sale of the Redemption Shares, less any selling concessions, transfer taxes and other direct out-of-pocket selling expenses, over (B) the purchase price for the Redemption Shares set forth in Section 2(a) hereunder if the number of Redemption Shares purchased by the Purchaser is greater than 369,811. On completion of the sale of all of the Redemption Shares, the Purchaser will furnish the Company a statement setting forth the total proceeds received on the sale of the Redemption Shares and the applicable selling concessions, transfer taxes and other direct, out-of-pocket selling expenses, including fees and disbursements of counsel. Payment of any amount due under this paragraph will be made by the Purchaser on the second business day following the sale by the Purchaser of all the Redemption Shares. For purposes of the foregoing determination, any Redemption Shares not sold by or for the account of the Purchaser before the close of business on the 20th business day after the Time of Delivery will be deemed to have been sold on such 20th business day for an amount equal to the last reported sale price of the Common Stock on such day as reported by the New York Stock Exchange. Nothing herein shall limit the right of the Purchaser, in its discretion, to determine the price or prices at which, and the time or times when, and Redemption Shares will be sold, whether or not prior to the Redemption Date and whether or not for long or short account.</w:t>
      </w:r>
    </w:p>
    <w:p>
      <w:pPr>
        <w:spacing w:after="0" w:line="177" w:lineRule="exact"/>
        <w:rPr>
          <w:rFonts w:ascii="Courier New" w:cs="Courier New" w:eastAsia="Courier New" w:hAnsi="Courier New"/>
          <w:sz w:val="15"/>
          <w:szCs w:val="15"/>
          <w:color w:val="auto"/>
        </w:rPr>
      </w:pPr>
    </w:p>
    <w:p>
      <w:pPr>
        <w:ind w:left="10" w:right="3259" w:firstLine="784"/>
        <w:spacing w:after="0" w:line="238" w:lineRule="auto"/>
        <w:tabs>
          <w:tab w:leader="none" w:pos="1244"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close of business on the Expiration Date, the Purchaser may, but is not obligated to, purchase Securities in the open market in such amount and at such prices as the Purchaser may deem advisable. All Securities so purchased will be converted into shares of Common Stock. The shares of Common Stock acquired by the Purchaser pursuant to the provisions of this Section may be sold at any time or from time to time by the Purchaser. It is also understood that, for the purpose of stabilizing the price of the Common Stock or otherwise, the Purchaser may, but is not obligated to, purchase and sell shares of Common Stock or other securities of the Company and over-allot in effecting sales of Common Stock, all in such amounts and at such prices as the Purchaser may deem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283"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260" w:right="3259" w:firstLine="784"/>
        <w:spacing w:after="0" w:line="259" w:lineRule="auto"/>
        <w:tabs>
          <w:tab w:leader="none" w:pos="97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this Agreement, under no circumstances shall the aggregate underwriters' compensation payable under this Agreement exceed the maximum amount permitted to be paid under the rules and interpretations of the National Association of Securities Dealers, Inc.</w:t>
      </w:r>
    </w:p>
    <w:p>
      <w:pPr>
        <w:spacing w:after="0" w:line="15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 Agreements of the Company. The Company agrees with the Purchaser:</w:t>
      </w:r>
    </w:p>
    <w:p>
      <w:pPr>
        <w:spacing w:after="0" w:line="175" w:lineRule="exact"/>
        <w:rPr>
          <w:sz w:val="20"/>
          <w:szCs w:val="20"/>
          <w:color w:val="auto"/>
        </w:rPr>
      </w:pPr>
    </w:p>
    <w:p>
      <w:pPr>
        <w:ind w:left="-260" w:right="3259" w:firstLine="784"/>
        <w:spacing w:after="0" w:line="256" w:lineRule="auto"/>
        <w:tabs>
          <w:tab w:leader="none" w:pos="886"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no further amendment or any supplement to the Registration Statement or Prospectus prior to the Time of Delivery that shall be disapproved by the Purchaser in good faith promptly after reasonable notice thereof; to advise the Purchaser, promptly after it receives notice thereof, of the time when the Registration Statement, or any amendment thereto, has been filed or becomes effective or any supplement to the Prospectus or any amended Prospectus has been filed and to furnish the Purchaser with copies thereof; to timely file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Redemption Shares; to advise the Purchaser, promptly after it receives notice thereof, of the issuance by the Commission of any stop order or of any order preventing or suspending the use of the Prospectus, of the suspension of the qualification of the Redemption Shares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stop order or of any order preventing or suspending the use of the Prospectus or suspending any such qualification, to use promptly its best efforts to obtain its withdrawal.</w:t>
      </w:r>
    </w:p>
    <w:p>
      <w:pPr>
        <w:spacing w:after="0" w:line="176" w:lineRule="exact"/>
        <w:rPr>
          <w:rFonts w:ascii="Courier New" w:cs="Courier New" w:eastAsia="Courier New" w:hAnsi="Courier New"/>
          <w:sz w:val="14"/>
          <w:szCs w:val="14"/>
          <w:color w:val="auto"/>
        </w:rPr>
      </w:pPr>
    </w:p>
    <w:p>
      <w:pPr>
        <w:ind w:left="-260" w:right="3259" w:firstLine="784"/>
        <w:spacing w:after="0" w:line="257" w:lineRule="auto"/>
        <w:tabs>
          <w:tab w:leader="none" w:pos="886"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from time to time to take such action as the Purchaser may reasonably request to qualify the Redemption Shares for offering and sale under the securities laws of such jurisdictions as the Purchaser may request and to comply with such laws so as to permit the continuance of sales and dealings therein in such jurisdictions for as long as may be necessary to complete the distribution of the Redemption Shares, provided that in connection therewith the Company shall not be required to qualify as a foreign corporation or to file a general consent to service of process in any jurisdiction.</w:t>
      </w:r>
    </w:p>
    <w:p>
      <w:pPr>
        <w:spacing w:after="0" w:line="166" w:lineRule="exact"/>
        <w:rPr>
          <w:rFonts w:ascii="Courier New" w:cs="Courier New" w:eastAsia="Courier New" w:hAnsi="Courier New"/>
          <w:sz w:val="14"/>
          <w:szCs w:val="14"/>
          <w:color w:val="auto"/>
        </w:rPr>
      </w:pPr>
    </w:p>
    <w:p>
      <w:pPr>
        <w:ind w:left="-260" w:right="3259" w:firstLine="784"/>
        <w:spacing w:after="0" w:line="238" w:lineRule="auto"/>
        <w:tabs>
          <w:tab w:leader="none" w:pos="88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furnish the Purchaser with copies of the Prospectus in such quantities as the Purchaser may from time to time reasonably request, and, if the delivery of a prospectus is required at any time prior to the expiration of nine months after the time of issue of the Prospectus in connection with the offering or sale of the Redemption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period to amend or supplement the Prospectus or to file under the Exchange Act any document incorporated by reference in the Prospectus in order to comply with the Act or the Exchange Act, to notify the Purchaser and upon the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request to file such document and to prepare and furnish without charge to the Purchaser and to any dealer in securities as many copies as the Purchaser may from time to time reasonably request of an amended Prospectus or a supplement to the Prospectus which will correct such statement or omission or effect such compliance, and in case the Purchaser is required to deliver a prospectus in connection with sales of any of the Redemption Shares at any time nine months or more after the time of issue of the Prospectus, upon request of the Purchaser but at the expense of the Purchaser, to prepare and deliver to the Purchaser as many copies as the Purchaser may request of an amended or supplemented Prospectus complying with Section 10(a)(3) of the Act.</w:t>
      </w:r>
    </w:p>
    <w:p>
      <w:pPr>
        <w:spacing w:after="0" w:line="166" w:lineRule="exact"/>
        <w:rPr>
          <w:sz w:val="20"/>
          <w:szCs w:val="20"/>
          <w:color w:val="auto"/>
        </w:rPr>
      </w:pPr>
    </w:p>
    <w:p>
      <w:pPr>
        <w:ind w:right="3259" w:firstLine="784"/>
        <w:spacing w:after="0" w:line="238" w:lineRule="auto"/>
        <w:tabs>
          <w:tab w:leader="none" w:pos="114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generally available to its securityholders as soon as practicable, but in any event not later than 18 months after the effective date of the Registration Statement (as defined in Rule 158(c)), an earnings statement of the Company and its subsidiaries (which need not be audited) complying with Section 11(a) of the Act and the rules and regulations thereunder (including at the option of the Company Rule 158).</w:t>
      </w:r>
    </w:p>
    <w:p>
      <w:pPr>
        <w:spacing w:after="0" w:line="175" w:lineRule="exact"/>
        <w:rPr>
          <w:rFonts w:ascii="Courier New" w:cs="Courier New" w:eastAsia="Courier New" w:hAnsi="Courier New"/>
          <w:sz w:val="15"/>
          <w:szCs w:val="15"/>
          <w:color w:val="auto"/>
        </w:rPr>
      </w:pPr>
    </w:p>
    <w:p>
      <w:pPr>
        <w:ind w:right="3259" w:firstLine="784"/>
        <w:spacing w:after="0" w:line="238" w:lineRule="auto"/>
        <w:tabs>
          <w:tab w:leader="none" w:pos="114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beginning from the date hereof and continuing to and including the Time of Delivery and, if the Purchaser purchases any Redemption Shares hereunder, further continuing to and including the date 90 days after the Redemption Date, not to offer, sell, contract to sell or otherwise dispose of, any shares of Common Stock of the Company, any securities of the Company substantially similar to the Common Stock or any securities convertible into or exchangeable for Common Stock or any substantially similar security (except for any securities, issued, offered, sold or disposed of by the Company to its stock option and other benefit plans maintained for its officers, directors and employees, Common Stock issued or distributed in connection with the conversion of any security of the Company outstanding on the date of the Prospectus, or Common Stock issued in connection with the acquisition of businesses or properties by the Company) without the Purchaser prior written consent.</w:t>
      </w:r>
    </w:p>
    <w:p>
      <w:pPr>
        <w:spacing w:after="0" w:line="183" w:lineRule="exact"/>
        <w:rPr>
          <w:rFonts w:ascii="Courier New" w:cs="Courier New" w:eastAsia="Courier New" w:hAnsi="Courier New"/>
          <w:sz w:val="15"/>
          <w:szCs w:val="15"/>
          <w:color w:val="auto"/>
        </w:rPr>
      </w:pPr>
    </w:p>
    <w:p>
      <w:pPr>
        <w:ind w:right="3539" w:firstLine="784"/>
        <w:spacing w:after="0" w:line="235" w:lineRule="auto"/>
        <w:tabs>
          <w:tab w:leader="none" w:pos="114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its best efforts to list, subject to notice of issuance, the Redemption Shares on the NYSE.</w:t>
      </w:r>
    </w:p>
    <w:p>
      <w:pPr>
        <w:spacing w:after="0" w:line="175" w:lineRule="exact"/>
        <w:rPr>
          <w:rFonts w:ascii="Courier New" w:cs="Courier New" w:eastAsia="Courier New" w:hAnsi="Courier New"/>
          <w:sz w:val="15"/>
          <w:szCs w:val="15"/>
          <w:color w:val="auto"/>
        </w:rPr>
      </w:pPr>
    </w:p>
    <w:p>
      <w:pPr>
        <w:ind w:right="3359" w:firstLine="784"/>
        <w:spacing w:after="0" w:line="257" w:lineRule="auto"/>
        <w:tabs>
          <w:tab w:leader="none" w:pos="1146"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cause to be given notice of redemption on the date hereof (the "Effective Date"), such notice to be in the form submitted to and approved by the Purchaser and to be in accordance with the requirements of Article Twelve of the Indenture, and to contain the information called for thereby, and to furnish such copies of such notice to the Purchaser as the Purchaser may request; and, in addition, to cause to be given notice of redemption by press release at such times as the Purchaser and the Company may mutually agree.</w:t>
      </w:r>
    </w:p>
    <w:p>
      <w:pPr>
        <w:spacing w:after="0" w:line="167" w:lineRule="exact"/>
        <w:rPr>
          <w:rFonts w:ascii="Courier New" w:cs="Courier New" w:eastAsia="Courier New" w:hAnsi="Courier New"/>
          <w:sz w:val="14"/>
          <w:szCs w:val="14"/>
          <w:color w:val="auto"/>
        </w:rPr>
      </w:pPr>
    </w:p>
    <w:p>
      <w:pPr>
        <w:ind w:right="3259" w:firstLine="784"/>
        <w:spacing w:after="0" w:line="237" w:lineRule="auto"/>
        <w:tabs>
          <w:tab w:leader="none" w:pos="114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advise the Purchaser or to cause the Purchaser to be advised on each business day prior to the Time of Delivery of the principal amount of the Securities surrendered on the preceding business day for conversion into shares of Common Stock or for redemption.</w:t>
      </w:r>
    </w:p>
    <w:p>
      <w:pPr>
        <w:spacing w:after="0" w:line="176" w:lineRule="exact"/>
        <w:rPr>
          <w:rFonts w:ascii="Courier New" w:cs="Courier New" w:eastAsia="Courier New" w:hAnsi="Courier New"/>
          <w:sz w:val="15"/>
          <w:szCs w:val="15"/>
          <w:color w:val="auto"/>
        </w:rPr>
      </w:pPr>
    </w:p>
    <w:p>
      <w:pPr>
        <w:ind w:right="3439" w:firstLine="784"/>
        <w:spacing w:after="0" w:line="237" w:lineRule="auto"/>
        <w:tabs>
          <w:tab w:leader="none" w:pos="114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supplement the Prospectus, or file a post-effective amendment to the Registration Statement, after the Redemption Date to set forth the results of the call for redemption and other information that may be required to comply with the rules of the Commission, if applicable,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if the Purchaser purchases any Redemption Shares hereunder, not later than 15 days after the Redemption Date, to file a post-effective amendment to the Registration Statement or to take such other steps as may be necessary to remove from registration all shares of Common Stock which have not been issued to the Purchaser pursuant to Section 2 hereof.</w:t>
      </w:r>
    </w:p>
    <w:p>
      <w:pPr>
        <w:spacing w:after="0" w:line="178" w:lineRule="exact"/>
        <w:rPr>
          <w:sz w:val="20"/>
          <w:szCs w:val="20"/>
          <w:color w:val="auto"/>
        </w:rPr>
      </w:pPr>
    </w:p>
    <w:p>
      <w:pPr>
        <w:ind w:right="3259" w:firstLine="784"/>
        <w:spacing w:after="0" w:line="256" w:lineRule="auto"/>
        <w:tabs>
          <w:tab w:leader="none" w:pos="1146"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pay or cause to be paid the following: (i) the fees, disbursements and expenses of the Company's counsel and accountants in connection with the registration of the Redemption Shares under the Act, the redemption of the Securities, the issuance of the Conversion Shares upon conversion of the Securities or the Redemption Shares upon the sale by the Company to the Purchaser as herein provided, and all other expenses in connection with the preparation, printing and filing of the Registration Statement, and the Prospectus and amendments and supplements thereto and the mailing and delivering of copies thereof to the Purchaser and dealers; (ii) the cost of printing, producing this Agreement, the Blue Sky survey, or publishing the notice of redemption of the Securities and related letters of transmittal, notice of guaranteed delivery and any other documents (including newspaper notices or advertisements) in connection with the redemption or conversion of the Securities and the offering, purchase, sale, and delivery of the Redemption Shares; (iii) all expenses in connection with the qualification of the Redemption Shares for offering and sale under state securities laws as provided in Section 3(b) hereof, including the fees and disbursements of counsel for the Purchaser in connection with such qualification and in connection with the Blue Sky surveys; (iv) the filing fees incident to securing any required review by the National Association of Securities Dealers, Inc. of the terms of the issuance or sale of the Redemption Shares; (v) the cost of preparing stock certificates; (vi) the cost and charges of any transfer agent or registrar for the Securities and the Common Stock and any fees and expenses incurred under the Indenture; (vii) the fees and expenses of the Trustee and any agent of the Trustee, and the fees and disbursements of counsel for the Trustee in connection with the redemption of the Securities; (viii) the fees incurred in connection with listing the Redemption Shares on the NYSE; (ix) if the Purchaser does not purchase any Redemption Shares hereunder the reasonable fees and disbursements of counsel to the Purchaser; and (x) all other costs and expenses incident to the performance of its obligations hereunder which are not otherwise specifically provided for in this Section. Except as otherwise provided by this Section, Section 5 and Section 6(c), Purchaser shall pay all of its own costs and expenses, including any advertising expenses connected with any offer it may make.</w:t>
      </w:r>
    </w:p>
    <w:p>
      <w:pPr>
        <w:spacing w:after="0" w:line="200" w:lineRule="exact"/>
        <w:rPr>
          <w:sz w:val="20"/>
          <w:szCs w:val="20"/>
          <w:color w:val="auto"/>
        </w:rPr>
      </w:pPr>
    </w:p>
    <w:p>
      <w:pPr>
        <w:spacing w:after="0" w:line="319" w:lineRule="exact"/>
        <w:rPr>
          <w:sz w:val="20"/>
          <w:szCs w:val="20"/>
          <w:color w:val="auto"/>
        </w:rPr>
      </w:pPr>
    </w:p>
    <w:p>
      <w:pPr>
        <w:ind w:right="3259" w:firstLine="784"/>
        <w:spacing w:after="0" w:line="238" w:lineRule="auto"/>
        <w:tabs>
          <w:tab w:leader="none" w:pos="105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of the Obligations of the Purchaser. The obligations of the Purchaser hereunder, shall be subject, in its discretion, to the condition that all representations and warranties and other statements of the Company herein are, at and as of the Effective Date and are, at and as of the Time of Delivery (other than Section 1(d)) true and correct, the condition that the Company shall have performed all of its obligations hereunder theretofore to be performed, and the following additional conditions (other than, in the case of the Time of Delivery, paragraphs (e), (f), and, to the extent related to paragraph (e), paragraph (i)):</w:t>
      </w:r>
    </w:p>
    <w:p>
      <w:pPr>
        <w:spacing w:after="0" w:line="178" w:lineRule="exact"/>
        <w:rPr>
          <w:rFonts w:ascii="Courier New" w:cs="Courier New" w:eastAsia="Courier New" w:hAnsi="Courier New"/>
          <w:sz w:val="15"/>
          <w:szCs w:val="15"/>
          <w:color w:val="auto"/>
        </w:rPr>
      </w:pPr>
    </w:p>
    <w:p>
      <w:pPr>
        <w:ind w:left="780" w:right="3259" w:firstLine="709"/>
        <w:spacing w:after="0" w:line="238" w:lineRule="auto"/>
        <w:tabs>
          <w:tab w:leader="none" w:pos="183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become effective, and the Purchaser shall have received prompt notice thereof; no stop order suspending the effectiveness of the Registration Statement shall have been issued and no proceeding for that purpose shall have been initiated or threatened by the Commission; and all requests for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520" w:right="3619"/>
        <w:spacing w:after="0" w:line="235" w:lineRule="auto"/>
        <w:rPr>
          <w:sz w:val="20"/>
          <w:szCs w:val="20"/>
          <w:color w:val="auto"/>
        </w:rPr>
      </w:pPr>
      <w:r>
        <w:rPr>
          <w:rFonts w:ascii="Courier New" w:cs="Courier New" w:eastAsia="Courier New" w:hAnsi="Courier New"/>
          <w:sz w:val="15"/>
          <w:szCs w:val="15"/>
          <w:color w:val="auto"/>
        </w:rPr>
        <w:t>information on the part of the Commission shall have been compiled with to the Purchaser's reasonable satisfaction;</w:t>
      </w:r>
    </w:p>
    <w:p>
      <w:pPr>
        <w:spacing w:after="0" w:line="176" w:lineRule="exact"/>
        <w:rPr>
          <w:sz w:val="20"/>
          <w:szCs w:val="20"/>
          <w:color w:val="auto"/>
        </w:rPr>
      </w:pPr>
    </w:p>
    <w:p>
      <w:pPr>
        <w:ind w:left="520" w:right="3359" w:firstLine="709"/>
        <w:spacing w:after="0" w:line="237" w:lineRule="auto"/>
        <w:tabs>
          <w:tab w:leader="none" w:pos="157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Snell &amp; Smith, P.C., counsel for the Company, shall have furnished to the Purchaser their written opinion, dated the Time of Delivery, in form and substance satisfactory to the Purchaser, to the effect that:</w:t>
      </w:r>
    </w:p>
    <w:p>
      <w:pPr>
        <w:spacing w:after="0" w:line="176" w:lineRule="exact"/>
        <w:rPr>
          <w:rFonts w:ascii="Courier New" w:cs="Courier New" w:eastAsia="Courier New" w:hAnsi="Courier New"/>
          <w:sz w:val="15"/>
          <w:szCs w:val="15"/>
          <w:color w:val="auto"/>
        </w:rPr>
      </w:pPr>
    </w:p>
    <w:p>
      <w:pPr>
        <w:ind w:left="1220" w:right="3439" w:firstLine="802"/>
        <w:spacing w:after="0" w:line="237" w:lineRule="auto"/>
        <w:tabs>
          <w:tab w:leader="none" w:pos="2366"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as a corporation in good standing under the laws of the State of Delaware, with corporate power and authority to own its properties and conduct its business as described in the Prospectus;</w:t>
      </w:r>
    </w:p>
    <w:p>
      <w:pPr>
        <w:spacing w:after="0" w:line="178" w:lineRule="exact"/>
        <w:rPr>
          <w:rFonts w:ascii="Courier New" w:cs="Courier New" w:eastAsia="Courier New" w:hAnsi="Courier New"/>
          <w:sz w:val="15"/>
          <w:szCs w:val="15"/>
          <w:color w:val="auto"/>
        </w:rPr>
      </w:pPr>
    </w:p>
    <w:p>
      <w:pPr>
        <w:ind w:left="1220" w:right="3259" w:firstLine="802"/>
        <w:spacing w:after="0" w:line="257" w:lineRule="auto"/>
        <w:tabs>
          <w:tab w:leader="none" w:pos="2454"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an authorized capitalization as set forth in the Prospectus, and all of the issued shares of capital stock of the Company have been duly and validly authorized and issued and are fully paid and non-assessable; the Conversion Shares and the Redemption Shares have been duly and validly authorized for issuance; the Conversion Shares, when issued and delivered in accordance with the Securities and the Indenture, and the Redemption Shares, when issued and delivered upon the sale by the Company to the Purchaser as herein provided, will be duly and validly issued and fully paid and non- assessable and will conform to the description of the Common Stock contained in the Prospectus;</w:t>
      </w:r>
    </w:p>
    <w:p>
      <w:pPr>
        <w:spacing w:after="0" w:line="165" w:lineRule="exact"/>
        <w:rPr>
          <w:rFonts w:ascii="Courier New" w:cs="Courier New" w:eastAsia="Courier New" w:hAnsi="Courier New"/>
          <w:sz w:val="14"/>
          <w:szCs w:val="14"/>
          <w:color w:val="auto"/>
        </w:rPr>
      </w:pPr>
    </w:p>
    <w:p>
      <w:pPr>
        <w:ind w:left="1220" w:right="3259" w:firstLine="802"/>
        <w:spacing w:after="0" w:line="257" w:lineRule="auto"/>
        <w:tabs>
          <w:tab w:leader="none" w:pos="2542"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qualified as a foreign corporation for the transaction of business and is in good standing under the laws of each other jurisdiction in which it owns or leases properties, or conducts any business, so as to require such qualification, or is subject to no material liability or disability by reason of failure to be so qualified in any such jurisdiction (such counsel being entitled to rely in respect of the opinion in this clause in respect of matters of fact upon certificates of public officials and officers of the Company, provided that such counsel shall state that he believes that both the Purchaser and they are justified in relying upon such certificates);</w:t>
      </w:r>
    </w:p>
    <w:p>
      <w:pPr>
        <w:spacing w:after="0" w:line="165" w:lineRule="exact"/>
        <w:rPr>
          <w:rFonts w:ascii="Courier New" w:cs="Courier New" w:eastAsia="Courier New" w:hAnsi="Courier New"/>
          <w:sz w:val="14"/>
          <w:szCs w:val="14"/>
          <w:color w:val="auto"/>
        </w:rPr>
      </w:pPr>
    </w:p>
    <w:p>
      <w:pPr>
        <w:ind w:left="1220" w:right="3259" w:firstLine="802"/>
        <w:spacing w:after="0" w:line="257" w:lineRule="auto"/>
        <w:tabs>
          <w:tab w:leader="none" w:pos="2454"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of the Company identified on Annex I attached hereto (the "Material Subsidiaries") has been duly incorporated and is validly existing as a corporation in good standing under the laws of its jurisdiction of incorporation; and all of the issued shares of capital stock of each such subsidiary have been duly and validly authorized and issued, are fully paid and non-assessable, and (except for directors' qualifying shares) are owned directly or indirectly by the Company, free and clear of all liens, encumbrances, equities or claims, other than liens arising under the Revolving Credit and Term Loan Agreement dated as of June 30, 1995 (such counsel being entitled to rely in respect of the opinion in this clause in respect of matters of fact upon certificates of public officials and officers of the Company or its subsidiaries,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83"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1220" w:right="3359"/>
        <w:spacing w:after="0" w:line="265" w:lineRule="auto"/>
        <w:rPr>
          <w:sz w:val="20"/>
          <w:szCs w:val="20"/>
          <w:color w:val="auto"/>
        </w:rPr>
      </w:pPr>
      <w:r>
        <w:rPr>
          <w:rFonts w:ascii="Courier New" w:cs="Courier New" w:eastAsia="Courier New" w:hAnsi="Courier New"/>
          <w:sz w:val="14"/>
          <w:szCs w:val="14"/>
          <w:color w:val="auto"/>
        </w:rPr>
        <w:t>such counsel shall state that he believes that both the Purchaser and he are justified in relying upon certificates);</w:t>
      </w:r>
    </w:p>
    <w:p>
      <w:pPr>
        <w:spacing w:after="0" w:line="158" w:lineRule="exact"/>
        <w:rPr>
          <w:sz w:val="20"/>
          <w:szCs w:val="20"/>
          <w:color w:val="auto"/>
        </w:rPr>
      </w:pPr>
    </w:p>
    <w:p>
      <w:pPr>
        <w:ind w:left="1220" w:right="3259" w:firstLine="802"/>
        <w:spacing w:after="0" w:line="257" w:lineRule="auto"/>
        <w:tabs>
          <w:tab w:leader="none" w:pos="2366"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such counsel's knowledge and other than as set forth in the Prospectus, there are no legal or governmental proceedings pending to which the Company or any of its subsidiaries is a party or of which any property of the Company or any of its subsidiaries is the subject with respect to which there is a reasonable likelihood of determinations which would individually or in the aggregate have a material adverse effect on the consolidated financial position, stockholders' equity or results of operations of the Company and its subsidiaries; and, to the best of such counsel's knowledge, no such proceedings are threatened or contemplated by governmental authorities or threatened by others;</w:t>
      </w:r>
    </w:p>
    <w:p>
      <w:pPr>
        <w:spacing w:after="0" w:line="165" w:lineRule="exact"/>
        <w:rPr>
          <w:rFonts w:ascii="Courier New" w:cs="Courier New" w:eastAsia="Courier New" w:hAnsi="Courier New"/>
          <w:sz w:val="14"/>
          <w:szCs w:val="14"/>
          <w:color w:val="auto"/>
        </w:rPr>
      </w:pPr>
    </w:p>
    <w:p>
      <w:pPr>
        <w:ind w:left="1220" w:right="3979" w:firstLine="802"/>
        <w:spacing w:after="0" w:line="235" w:lineRule="auto"/>
        <w:tabs>
          <w:tab w:leader="none" w:pos="2454"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the Company;</w:t>
      </w:r>
    </w:p>
    <w:p>
      <w:pPr>
        <w:spacing w:after="0" w:line="175" w:lineRule="exact"/>
        <w:rPr>
          <w:rFonts w:ascii="Courier New" w:cs="Courier New" w:eastAsia="Courier New" w:hAnsi="Courier New"/>
          <w:sz w:val="15"/>
          <w:szCs w:val="15"/>
          <w:color w:val="auto"/>
        </w:rPr>
      </w:pPr>
    </w:p>
    <w:p>
      <w:pPr>
        <w:ind w:left="1220" w:right="3439" w:firstLine="802"/>
        <w:spacing w:after="0" w:line="237" w:lineRule="auto"/>
        <w:tabs>
          <w:tab w:leader="none" w:pos="254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are convertible in accordance with their terms and pursuant to the Indenture in the manner and upon the terms described in the Prospectus;</w:t>
      </w:r>
    </w:p>
    <w:p>
      <w:pPr>
        <w:spacing w:after="0" w:line="174" w:lineRule="exact"/>
        <w:rPr>
          <w:rFonts w:ascii="Courier New" w:cs="Courier New" w:eastAsia="Courier New" w:hAnsi="Courier New"/>
          <w:sz w:val="15"/>
          <w:szCs w:val="15"/>
          <w:color w:val="auto"/>
        </w:rPr>
      </w:pPr>
    </w:p>
    <w:p>
      <w:pPr>
        <w:ind w:left="1220" w:right="3259" w:firstLine="802"/>
        <w:spacing w:after="0" w:line="258" w:lineRule="auto"/>
        <w:tabs>
          <w:tab w:leader="none" w:pos="263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by the Company on the Redemption Date of all the outstanding Securities in the manner and upon the terms described in the Prospectus has been duly authorized by all required corporate action and is in compliance with the terms of the Indenture and the Securities;</w:t>
      </w:r>
    </w:p>
    <w:p>
      <w:pPr>
        <w:spacing w:after="0" w:line="164" w:lineRule="exact"/>
        <w:rPr>
          <w:rFonts w:ascii="Courier New" w:cs="Courier New" w:eastAsia="Courier New" w:hAnsi="Courier New"/>
          <w:sz w:val="14"/>
          <w:szCs w:val="14"/>
          <w:color w:val="auto"/>
        </w:rPr>
      </w:pPr>
    </w:p>
    <w:p>
      <w:pPr>
        <w:ind w:left="1220" w:right="3259" w:firstLine="802"/>
        <w:spacing w:after="0" w:line="256" w:lineRule="auto"/>
        <w:tabs>
          <w:tab w:leader="none" w:pos="2454"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of the Securities, the issuance and sale of the Conversion Shares upon conversion of the Securities or the Redemption Shares upon the sale by the Company to the Purchaser as herein provided, the compliance by the Company with all of the provisions of this Agreement and the consummation of the transactions herein contemplated, to the best of such counsel's knowledge,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actions result in any violation of the provisions of the Certificate of Incorporation, as amended, or the Bylaws of the Company or any statute of the United States of America or of Delaware or any other statute known to such counsel or any order, rule or regulation of any court or governmental agency or body having jurisdiction over the Company or any of its subsidiaries or any of their properties;</w:t>
      </w:r>
    </w:p>
    <w:p>
      <w:pPr>
        <w:spacing w:after="0" w:line="345" w:lineRule="exact"/>
        <w:rPr>
          <w:rFonts w:ascii="Courier New" w:cs="Courier New" w:eastAsia="Courier New" w:hAnsi="Courier New"/>
          <w:sz w:val="14"/>
          <w:szCs w:val="14"/>
          <w:color w:val="auto"/>
        </w:rPr>
      </w:pPr>
    </w:p>
    <w:p>
      <w:pPr>
        <w:jc w:val="both"/>
        <w:ind w:left="1220" w:right="3259" w:firstLine="802"/>
        <w:spacing w:after="0" w:line="259" w:lineRule="auto"/>
        <w:tabs>
          <w:tab w:leader="none" w:pos="2366"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such counsel's knowledge, no consent, approval, authorization, order, registration or qualification of or with any such court or governmental agency or body is required by or on behalf of the Company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83"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1220" w:right="3259"/>
        <w:spacing w:after="0" w:line="238" w:lineRule="auto"/>
        <w:rPr>
          <w:sz w:val="20"/>
          <w:szCs w:val="20"/>
          <w:color w:val="auto"/>
        </w:rPr>
      </w:pPr>
      <w:r>
        <w:rPr>
          <w:rFonts w:ascii="Courier New" w:cs="Courier New" w:eastAsia="Courier New" w:hAnsi="Courier New"/>
          <w:sz w:val="15"/>
          <w:szCs w:val="15"/>
          <w:color w:val="auto"/>
        </w:rPr>
        <w:t>redemption of the Securities, the issuance of the Conversion Shares upon conversion of the Securities or the Redemption Shares upon the sale by the Company to the Purchaser as herein provided or the consummation by the Company of the other transactions contemplated by this Agreement, except such as have been obtained under the Act, the listing of the Redemption Shares on the NYSE, which will occur prior to the Time of Delivery, and such consents, approvals, authorizations, registrations or qualifications as may be required under state securities or Blue Sky laws in connection with the purchase and distribution of the Redemption Shares by the Purchaser;</w:t>
      </w:r>
    </w:p>
    <w:p>
      <w:pPr>
        <w:spacing w:after="0" w:line="182" w:lineRule="exact"/>
        <w:rPr>
          <w:sz w:val="20"/>
          <w:szCs w:val="20"/>
          <w:color w:val="auto"/>
        </w:rPr>
      </w:pPr>
    </w:p>
    <w:p>
      <w:pPr>
        <w:ind w:left="1220" w:right="3259" w:firstLine="802"/>
        <w:spacing w:after="0" w:line="256" w:lineRule="auto"/>
        <w:tabs>
          <w:tab w:leader="none" w:pos="2454"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or any further amendment or supplement thereto made by the Company prior to the Time of Delivery (other than (a) the financial statements, notes and schedules thereto included or incorporated by reference therein and (b) other financial and statistical information included or incorporated by reference therein, as to all of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 such counsel has no reason to believe that any of such documents, when such documents became effective or were so filed,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Act or the Exchange Act with the Commission, an untrue statement of a material fact or omitted to state a material fact necessary in order to make the statements therein, in the light of the circumstances under which they were made when such documents were so filed, not misleading;</w:t>
      </w:r>
    </w:p>
    <w:p>
      <w:pPr>
        <w:spacing w:after="0" w:line="346" w:lineRule="exact"/>
        <w:rPr>
          <w:rFonts w:ascii="Courier New" w:cs="Courier New" w:eastAsia="Courier New" w:hAnsi="Courier New"/>
          <w:sz w:val="14"/>
          <w:szCs w:val="14"/>
          <w:color w:val="auto"/>
        </w:rPr>
      </w:pPr>
    </w:p>
    <w:p>
      <w:pPr>
        <w:ind w:left="1220" w:right="3259" w:firstLine="802"/>
        <w:spacing w:after="0" w:line="256" w:lineRule="auto"/>
        <w:tabs>
          <w:tab w:leader="none" w:pos="254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and the Prospectus and any further amendments and supplements thereto made by the Company prior to the Time of Delivery (other than (a) the financial statements, notes and schedules thereto included or incorporated by reference therein and (b) other financial and statistical information included or incorporated by reference therein, as to all of which such counsel need express no opinion) comply as to form in all material respects with the requirements of the Act and the rules and regulations thereunder; such counsel has no reason to believe that, as of its effective date, the Registration Statement or any further amendment thereto made by the Company prior to the Time of Delivery (other than (a) the financial statements, notes and schedules thereto included or incorporated by reference therein and (b) other financial and statistical information included or incorporated by reference therein, as to all of which such counsel need express no opinion) contained an untrue statement of a material fact or omitted to state a material fact required to be stated therein or necessary to make the statements therein not misleading or that, as of its date,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83" w:right="1440" w:bottom="1440" w:gutter="0" w:footer="0" w:header="0"/>
        </w:sectPr>
      </w:pPr>
    </w:p>
    <w:bookmarkStart w:id="42" w:name="page43"/>
    <w:bookmarkEnd w:id="42"/>
    <w:p>
      <w:pPr>
        <w:ind w:left="27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left="790" w:right="3259"/>
        <w:spacing w:after="0" w:line="239" w:lineRule="auto"/>
        <w:rPr>
          <w:sz w:val="20"/>
          <w:szCs w:val="20"/>
          <w:color w:val="auto"/>
        </w:rPr>
      </w:pPr>
      <w:r>
        <w:rPr>
          <w:rFonts w:ascii="Courier New" w:cs="Courier New" w:eastAsia="Courier New" w:hAnsi="Courier New"/>
          <w:sz w:val="15"/>
          <w:szCs w:val="15"/>
          <w:color w:val="auto"/>
        </w:rPr>
        <w:t>or any further amendment or supplement thereto made by the Company prior to the Time of Delivery (other than (a) the financial statements, notes and schedules thereto included or incorporated by reference therein and (b) other financial or statistical information included or incorporated by reference therein, as to all of which such counsel need express no opinion) contained an untrue statement of a material fact or omitted to state a material fact necessary to make the statements therein, in light of the circumstances in which they were made, not misleading or that, as of the Time of Delivery, either the Registration Statement or the Prospectus or any further amendment or supplement thereto made by the Company prior to the Time of Delivery (other than (a) the financial statements, notes and schedules thereto included or incorporated by reference therein and (b) other financial or statistical information included or incorporated by reference therein, as to all of which such counsel need express no opinion) contains an untrue statement of a material fact or omits to state a material fact necessary to make the statements therein, in light of the circumstances in which they were made, not misleading; and such counsel does not know of any amendment to the Registration Statement required to be filed or of any contracts or other documents of a character required to be filed as an exhibit to the Registration Statement or required to be incorporated by reference into the Prospectus or required to be described in the Registration Statement or the Prospectus which are not filed or incorporated by reference or described as required;</w:t>
      </w:r>
    </w:p>
    <w:p>
      <w:pPr>
        <w:spacing w:after="0" w:line="177" w:lineRule="exact"/>
        <w:rPr>
          <w:sz w:val="20"/>
          <w:szCs w:val="20"/>
          <w:color w:val="auto"/>
        </w:rPr>
      </w:pPr>
    </w:p>
    <w:p>
      <w:pPr>
        <w:ind w:left="10" w:right="3439" w:firstLine="784"/>
        <w:spacing w:after="0" w:line="238" w:lineRule="auto"/>
        <w:tabs>
          <w:tab w:leader="none" w:pos="1155"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Delivery, the Purchaser shall have received a letter or letters, in form and substance satisfactory to the Purchaser, from Coopers &amp; Lybrand L.L.P. with respect to the financial statements and certain financial information contained in the Registration Statement and the Prospectus and from Deloitte &amp; Touche L.L.P. and Arthur Andersen L.L.P. each with respect to the financial statements and certain financial information contained in the Registration Statement and the Prospectus;</w:t>
      </w:r>
    </w:p>
    <w:p>
      <w:pPr>
        <w:spacing w:after="0" w:line="176" w:lineRule="exact"/>
        <w:rPr>
          <w:rFonts w:ascii="Courier New" w:cs="Courier New" w:eastAsia="Courier New" w:hAnsi="Courier New"/>
          <w:sz w:val="15"/>
          <w:szCs w:val="15"/>
          <w:color w:val="auto"/>
        </w:rPr>
      </w:pPr>
    </w:p>
    <w:p>
      <w:pPr>
        <w:ind w:left="10" w:right="3259" w:firstLine="784"/>
        <w:spacing w:after="0" w:line="256" w:lineRule="auto"/>
        <w:tabs>
          <w:tab w:leader="none" w:pos="115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Neither the Company nor any of its subsidiaries shall have sustained since the date of the latest audited financial statements included or incorporated by reference in the Prospectus any loss or interference with its business from fire, explosion, flood or other calamity, whether or not covered by insurance, or from any labor dispute or court or governmental action, order or decree, otherwise than as set forth or contemplated in the Prospectus, and</w:t>
      </w:r>
    </w:p>
    <w:p>
      <w:pPr>
        <w:spacing w:after="0" w:line="2" w:lineRule="exact"/>
        <w:rPr>
          <w:rFonts w:ascii="Courier New" w:cs="Courier New" w:eastAsia="Courier New" w:hAnsi="Courier New"/>
          <w:sz w:val="14"/>
          <w:szCs w:val="14"/>
          <w:color w:val="auto"/>
        </w:rPr>
      </w:pPr>
    </w:p>
    <w:p>
      <w:pPr>
        <w:ind w:left="10" w:right="3259" w:hanging="10"/>
        <w:spacing w:after="0" w:line="238" w:lineRule="auto"/>
        <w:tabs>
          <w:tab w:leader="none" w:pos="4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respective dates as of which information is given in the Prospectus there shall not have been any change in the capital stock or long-term debt of the Company or any of its subsidiaries or any change, or any development involving a prospective change, in or affecting the general affairs, management, financial position, stockholders' equity or results of operations of the Company and its subsidiaries, otherwise than as set forth or contemplated in the Prospectus, the effect of which, in any such case described in clause (i) or (ii), is in the Purchaser's reasonable judgment so material and adverse as to make it impracticable or inadvisable to proceed with the transactions contemplated by this Agreement on the terms and in the manner contemplated in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283" w:right="1440" w:bottom="1440" w:gutter="0" w:footer="0" w:header="0"/>
        </w:sectPr>
      </w:pPr>
    </w:p>
    <w:bookmarkStart w:id="43" w:name="page44"/>
    <w:bookmarkEnd w:id="43"/>
    <w:p>
      <w:pPr>
        <w:ind w:left="27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10" w:right="3259" w:firstLine="784"/>
        <w:spacing w:after="0" w:line="256" w:lineRule="auto"/>
        <w:tabs>
          <w:tab w:leader="none" w:pos="1155"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after the date hereof there shall not have occurred any of the following: (i) a suspension or material limitation in trading in securities generally on the NYSE; (ii) a general moratorium on commercial banking activities in Texas declared by either Federal or Texas State authorities; or</w:t>
      </w:r>
    </w:p>
    <w:p>
      <w:pPr>
        <w:spacing w:after="0" w:line="1" w:lineRule="exact"/>
        <w:rPr>
          <w:rFonts w:ascii="Courier New" w:cs="Courier New" w:eastAsia="Courier New" w:hAnsi="Courier New"/>
          <w:sz w:val="14"/>
          <w:szCs w:val="14"/>
          <w:color w:val="auto"/>
        </w:rPr>
      </w:pPr>
    </w:p>
    <w:p>
      <w:pPr>
        <w:ind w:left="10" w:right="3359" w:hanging="10"/>
        <w:spacing w:after="0" w:line="238" w:lineRule="auto"/>
        <w:tabs>
          <w:tab w:leader="none" w:pos="53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outbreak or escalation of hostilities involving the United States or the declaration by the United States of a national emergency or war, if the effect of any such event specified in this clause (iii) in the Purchaser's reasonable judgment makes it impracticable or inadvisable to proceed with the transactions contemplated by this Agreement on the terms and in the manner contemplated by the Prospectus;</w:t>
      </w:r>
    </w:p>
    <w:p>
      <w:pPr>
        <w:spacing w:after="0" w:line="175" w:lineRule="exact"/>
        <w:rPr>
          <w:rFonts w:ascii="Courier New" w:cs="Courier New" w:eastAsia="Courier New" w:hAnsi="Courier New"/>
          <w:sz w:val="15"/>
          <w:szCs w:val="15"/>
          <w:color w:val="auto"/>
        </w:rPr>
      </w:pPr>
    </w:p>
    <w:p>
      <w:pPr>
        <w:ind w:left="10" w:right="3359" w:firstLine="784"/>
        <w:spacing w:after="0" w:line="237" w:lineRule="auto"/>
        <w:tabs>
          <w:tab w:leader="none" w:pos="115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Shares are listed, and the Redemption Shares to be sold by the Company at the Time of Delivery shall have been duly listed, subject to notice of issuance, on the NYSE; and</w:t>
      </w:r>
    </w:p>
    <w:p>
      <w:pPr>
        <w:spacing w:after="0" w:line="174" w:lineRule="exact"/>
        <w:rPr>
          <w:rFonts w:ascii="Courier New" w:cs="Courier New" w:eastAsia="Courier New" w:hAnsi="Courier New"/>
          <w:sz w:val="15"/>
          <w:szCs w:val="15"/>
          <w:color w:val="auto"/>
        </w:rPr>
      </w:pPr>
    </w:p>
    <w:p>
      <w:pPr>
        <w:ind w:left="10" w:right="3259" w:firstLine="784"/>
        <w:spacing w:after="0" w:line="238" w:lineRule="auto"/>
        <w:tabs>
          <w:tab w:leader="none" w:pos="115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furnished or caused to be furnished to the Purchaser on the Effective Date and at Time of Delivery certificates of officers of the Company satisfactory to the Purchaser as to the accuracy of the representations and warranties of the Company herein at and as of the Effective Date or the Time of Delivery (other than, in the case of the Time of Delivery, Section 1(d)), respectively, as to the performance by the Company of all of its obligations hereunder to be performed at or prior to the Effective Date or the Time of Delivery, as the case may be, as to the matters set forth in subsections (a) and (e) of this Section and as to such other matters as the Purchaser may reasonably request.</w:t>
      </w:r>
    </w:p>
    <w:p>
      <w:pPr>
        <w:spacing w:after="0" w:line="180" w:lineRule="exact"/>
        <w:rPr>
          <w:sz w:val="20"/>
          <w:szCs w:val="20"/>
          <w:color w:val="auto"/>
        </w:rPr>
      </w:pPr>
    </w:p>
    <w:p>
      <w:pPr>
        <w:ind w:left="10" w:right="3259" w:firstLine="784"/>
        <w:spacing w:after="0" w:line="239" w:lineRule="auto"/>
        <w:tabs>
          <w:tab w:leader="none" w:pos="106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(a) The Company will indemnify and hold harmless the Purchaser against any losses, claims, damages or liabilities, to which the Purchaser may become subject, under the Act or otherwise, insofar as such losses, claims, damages or liabilities (or actions in respect thereof) arise out of or are based upon an untrue statement or alleged untrue statement of a material fact contained in the Registration Statement or the Prospectus, or any amendment or supplement thereto, or arise out of or are based upon the omission or alleged omission to state therein a material fact required to be stated therein or necessary to make the statements therein not misleading, and will reimburse the Purchaser for any legal or other expenses reasonably incurred by the Purchaser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or the Prospectus or any such amendment or supplement in reliance upon and in conformity with written information furnished to the Company by the Purchaser expressly for use therein.</w:t>
      </w:r>
    </w:p>
    <w:p>
      <w:pPr>
        <w:spacing w:after="0" w:line="175" w:lineRule="exact"/>
        <w:rPr>
          <w:sz w:val="20"/>
          <w:szCs w:val="20"/>
          <w:color w:val="auto"/>
        </w:rPr>
      </w:pPr>
    </w:p>
    <w:p>
      <w:pPr>
        <w:ind w:left="10" w:right="3259" w:firstLine="784"/>
        <w:spacing w:after="0" w:line="238" w:lineRule="auto"/>
        <w:tabs>
          <w:tab w:leader="none" w:pos="115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or the Prospectus, or any amendment or supplement thereto, or arise out of or are based upon the omission or alleged omission to state therein a material fact required to be stated therein or necessary to make the statements therein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283" w:right="1440" w:bottom="1440" w:gutter="0" w:footer="0" w:header="0"/>
        </w:sectPr>
      </w:pPr>
    </w:p>
    <w:bookmarkStart w:id="44" w:name="page45"/>
    <w:bookmarkEnd w:id="44"/>
    <w:p>
      <w:pPr>
        <w:ind w:left="27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misleading, in each case to the extent, but only to the extent, that such untrue statement or alleged untrue statement or omission or alleged omission was made in the Registration Statement or the Prospectus or any such amendment or supplement in reliance upon and in conformity with written information furnished to the Company by the Purchaser expressly for use therein; and will reimburse the Company for any legal or other expenses reasonably incurred by the Company in connection with investigating or defending any such action or claim as such expenses are incurred.</w:t>
      </w:r>
    </w:p>
    <w:p>
      <w:pPr>
        <w:spacing w:after="0" w:line="172" w:lineRule="exact"/>
        <w:rPr>
          <w:sz w:val="20"/>
          <w:szCs w:val="20"/>
          <w:color w:val="auto"/>
        </w:rPr>
      </w:pPr>
    </w:p>
    <w:p>
      <w:pPr>
        <w:ind w:left="1150" w:hanging="356"/>
        <w:spacing w:after="0"/>
        <w:tabs>
          <w:tab w:leader="none" w:pos="115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receipt by an indemnified party under subsection</w:t>
      </w:r>
    </w:p>
    <w:p>
      <w:pPr>
        <w:spacing w:after="0" w:line="5" w:lineRule="exact"/>
        <w:rPr>
          <w:rFonts w:ascii="Courier New" w:cs="Courier New" w:eastAsia="Courier New" w:hAnsi="Courier New"/>
          <w:sz w:val="15"/>
          <w:szCs w:val="15"/>
          <w:color w:val="auto"/>
        </w:rPr>
      </w:pPr>
    </w:p>
    <w:p>
      <w:pPr>
        <w:ind w:left="10" w:right="3259" w:hanging="10"/>
        <w:spacing w:after="0" w:line="239" w:lineRule="auto"/>
        <w:tabs>
          <w:tab w:leader="none" w:pos="36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w:t>
      </w:r>
    </w:p>
    <w:p>
      <w:pPr>
        <w:spacing w:after="0" w:line="174" w:lineRule="exact"/>
        <w:rPr>
          <w:rFonts w:ascii="Courier New" w:cs="Courier New" w:eastAsia="Courier New" w:hAnsi="Courier New"/>
          <w:sz w:val="15"/>
          <w:szCs w:val="15"/>
          <w:color w:val="auto"/>
        </w:rPr>
      </w:pPr>
    </w:p>
    <w:p>
      <w:pPr>
        <w:ind w:left="10" w:right="3259" w:firstLine="784"/>
        <w:spacing w:after="0" w:line="256" w:lineRule="auto"/>
        <w:tabs>
          <w:tab w:leader="none" w:pos="1155"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5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Purchaser on the other from the transactions contemplated by this Agreement.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Purchaser on the other in connection with the statements or omissions which resulted in such losses, claims, damages or liabilities (or actions in respect thereof), as well as any other relevant equitable considerations. The relative benefits received by the Company on the one hand and the Purchaser on the other with respect to the transactions contemplated by this Agreement shall be deemed to be in the same proportion as the market value of the Common Stock issuable upon conversion of the Securities on the last Trading Day (as defined in Section</w:t>
      </w:r>
    </w:p>
    <w:p>
      <w:pPr>
        <w:spacing w:after="0" w:line="7" w:lineRule="exact"/>
        <w:rPr>
          <w:rFonts w:ascii="Courier New" w:cs="Courier New" w:eastAsia="Courier New" w:hAnsi="Courier New"/>
          <w:sz w:val="14"/>
          <w:szCs w:val="14"/>
          <w:color w:val="auto"/>
        </w:rPr>
      </w:pPr>
    </w:p>
    <w:p>
      <w:pPr>
        <w:ind w:left="10"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6(b)) immediately preceding the date of this Agreement (calculated based on the Closing Price of the Common Stock) bears to the compensation received by the Purchaser pursuant to Section 2. The relative fault shall be determined by reference to, among other things, whether the untrue or alleged untrue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28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5"/>
          <w:szCs w:val="15"/>
          <w:color w:val="auto"/>
        </w:rPr>
        <w:t>of a material fact or the omission or alleged omission to state a material fact relates to information supplied by the Company on the one hand or the Purchaser on the other and the parties' relative intent, knowledge, access to information and opportunity to correct or prevent such statement or omission. The Company and the Purchaser agree that it would not be just and equitable if contributions pursuant to this subsection (d) were determined by pro rata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the Purchaser shall not be required to contribute any amount in excess of the amount by which the total price at which the Redemption Shares purchased by it and distributed to the public were offered to the public exceeds the amount of any damages which the Purchaser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7" w:lineRule="exact"/>
        <w:rPr>
          <w:sz w:val="20"/>
          <w:szCs w:val="20"/>
          <w:color w:val="auto"/>
        </w:rPr>
      </w:pPr>
    </w:p>
    <w:p>
      <w:pPr>
        <w:ind w:right="3359" w:firstLine="784"/>
        <w:spacing w:after="0" w:line="238" w:lineRule="auto"/>
        <w:tabs>
          <w:tab w:leader="none" w:pos="114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under this Section 5 shall be in addition to any liability which the Company may otherwise have and shall extend, upon the same terms and conditions, to each person, if any, who controls the Purchaser within the meaning of the Act; and the obligations of the Purchaser under this Section 5 shall be in addition to any liability which the Purchaser may otherwise have and shall extend, upon the same terms and conditions, to each officer and director of the Company and to each person, if any, who controls the Company within the meaning of the Act.</w:t>
      </w:r>
    </w:p>
    <w:p>
      <w:pPr>
        <w:spacing w:after="0" w:line="178" w:lineRule="exact"/>
        <w:rPr>
          <w:sz w:val="20"/>
          <w:szCs w:val="20"/>
          <w:color w:val="auto"/>
        </w:rPr>
      </w:pPr>
    </w:p>
    <w:p>
      <w:pPr>
        <w:ind w:right="3259" w:firstLine="784"/>
        <w:spacing w:after="0" w:line="238" w:lineRule="auto"/>
        <w:tabs>
          <w:tab w:leader="none" w:pos="105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(a) The respective indemnities, agreements, representations, warranties and other statements of the Company and the Purchaser as set forth in this Agreement or made by them, respectively, pursuant to this Agreement, shall remain in full force and effect, regardless of any investigation (or any statement as to the results thereof) made by or on behalf of the Purchaser or any controlling person of the Purchaser or the Company, or any officer or director or controlling person of the Company, and shall survive delivery of the Conversion Shares and the Redemption Shares and payment for the Redemption Shares.</w:t>
      </w:r>
    </w:p>
    <w:p>
      <w:pPr>
        <w:spacing w:after="0" w:line="179" w:lineRule="exact"/>
        <w:rPr>
          <w:sz w:val="20"/>
          <w:szCs w:val="20"/>
          <w:color w:val="auto"/>
        </w:rPr>
      </w:pPr>
    </w:p>
    <w:p>
      <w:pPr>
        <w:ind w:right="3359" w:firstLine="784"/>
        <w:spacing w:after="0" w:line="258" w:lineRule="auto"/>
        <w:tabs>
          <w:tab w:leader="none" w:pos="123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"Trading Day" means a day on which the Common Stock is traded on the NYSE, and "Closing Price" means the reported last sale price regular way per share of the Common Stock, or in case no such reported sale takes place on such day, the average of the reported closing bid and asked prices regular way, in either case on the NYSE.</w:t>
      </w:r>
    </w:p>
    <w:p>
      <w:pPr>
        <w:spacing w:after="0" w:line="164" w:lineRule="exact"/>
        <w:rPr>
          <w:rFonts w:ascii="Courier New" w:cs="Courier New" w:eastAsia="Courier New" w:hAnsi="Courier New"/>
          <w:sz w:val="14"/>
          <w:szCs w:val="14"/>
          <w:color w:val="auto"/>
        </w:rPr>
      </w:pPr>
    </w:p>
    <w:p>
      <w:pPr>
        <w:ind w:right="3359" w:firstLine="784"/>
        <w:spacing w:after="0" w:line="258" w:lineRule="auto"/>
        <w:tabs>
          <w:tab w:leader="none" w:pos="123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for any reason after the notice pursuant to Section 2(a) has been delivered, No Redemption Shares included in such notice are delivered by or on behalf of the Company as provided herein, the Company will reimburse the Purchaser for all out-of-pocket expenses, including fees and disbursements of counsel, reasonably incurred by the Purchaser in making preparations for the purchase, sale and delivery of the Redemption Shares not so delivered,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Company shall then be under no further liability to the Purchasers in respect of the Redemption Shares not so delivered except as provided in Section 2 and Section 5 hereof.</w:t>
      </w:r>
    </w:p>
    <w:p>
      <w:pPr>
        <w:spacing w:after="0" w:line="175" w:lineRule="exact"/>
        <w:rPr>
          <w:sz w:val="20"/>
          <w:szCs w:val="20"/>
          <w:color w:val="auto"/>
        </w:rPr>
      </w:pPr>
    </w:p>
    <w:p>
      <w:pPr>
        <w:ind w:right="3359" w:firstLine="784"/>
        <w:spacing w:after="0" w:line="256" w:lineRule="auto"/>
        <w:tabs>
          <w:tab w:leader="none" w:pos="123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statements, requests, notices and agreements hereunder shall be in writing, and if to the Purchaser shall be delivered or sent by mail, telex or facsimile transmission to Sanders Morris Mundy Inc., 3100 Texas Commerce Tower, Houston, Texas 77002, Attention: Ben T. Morris, facsimile number 713-224-1101; and if to the Company shall be delivered or sent by mail, telex or facsimile transmission to the address of the Company set forth in the Registration Statement, Attention: General Counsel, facsimile number</w:t>
      </w:r>
    </w:p>
    <w:p>
      <w:pPr>
        <w:spacing w:after="0" w:line="2" w:lineRule="exact"/>
        <w:rPr>
          <w:rFonts w:ascii="Courier New" w:cs="Courier New" w:eastAsia="Courier New" w:hAnsi="Courier New"/>
          <w:sz w:val="14"/>
          <w:szCs w:val="14"/>
          <w:color w:val="auto"/>
        </w:rPr>
      </w:pPr>
    </w:p>
    <w:p>
      <w:pPr>
        <w:ind w:right="33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214-383-7911. Any such statements, requests, notices or agreements shall take effect at the time of receipt thereof.</w:t>
      </w:r>
    </w:p>
    <w:p>
      <w:pPr>
        <w:spacing w:after="0" w:line="175" w:lineRule="exact"/>
        <w:rPr>
          <w:rFonts w:ascii="Courier New" w:cs="Courier New" w:eastAsia="Courier New" w:hAnsi="Courier New"/>
          <w:sz w:val="14"/>
          <w:szCs w:val="14"/>
          <w:color w:val="auto"/>
        </w:rPr>
      </w:pPr>
    </w:p>
    <w:p>
      <w:pPr>
        <w:ind w:right="3259" w:firstLine="784"/>
        <w:spacing w:after="0" w:line="238" w:lineRule="auto"/>
        <w:tabs>
          <w:tab w:leader="none" w:pos="123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and inure solely to the benefit of, the Purchaser, the Company and, to the extent provided in Section 5 and Section 6(a) hereof, the officers and directors of the Company and each person who controls the Company or the Purchaser, and their respective heirs, executors, administrators, successors and assigns, and no other person shall acquire or have any right under or by virtue of this Agreement. No purchaser of any of the Redemption Shares from the Purchaser shall be deemed a successor or assign by reason merely of such purchase.</w:t>
      </w:r>
    </w:p>
    <w:p>
      <w:pPr>
        <w:spacing w:after="0" w:line="177" w:lineRule="exact"/>
        <w:rPr>
          <w:rFonts w:ascii="Courier New" w:cs="Courier New" w:eastAsia="Courier New" w:hAnsi="Courier New"/>
          <w:sz w:val="15"/>
          <w:szCs w:val="15"/>
          <w:color w:val="auto"/>
        </w:rPr>
      </w:pPr>
    </w:p>
    <w:p>
      <w:pPr>
        <w:ind w:right="3359" w:firstLine="784"/>
        <w:spacing w:after="0" w:line="237" w:lineRule="auto"/>
        <w:tabs>
          <w:tab w:leader="none" w:pos="123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shall be of the essence of this Agreement. As used herein, the term "business day" shall mean any day when the Commission's office in Washington, D.C. is open for business.</w:t>
      </w:r>
    </w:p>
    <w:p>
      <w:pPr>
        <w:spacing w:after="0" w:line="174" w:lineRule="exact"/>
        <w:rPr>
          <w:rFonts w:ascii="Courier New" w:cs="Courier New" w:eastAsia="Courier New" w:hAnsi="Courier New"/>
          <w:sz w:val="15"/>
          <w:szCs w:val="15"/>
          <w:color w:val="auto"/>
        </w:rPr>
      </w:pPr>
    </w:p>
    <w:p>
      <w:pPr>
        <w:ind w:right="3439" w:firstLine="784"/>
        <w:spacing w:after="0" w:line="235" w:lineRule="auto"/>
        <w:tabs>
          <w:tab w:leader="none" w:pos="123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TEXAS.</w:t>
      </w:r>
    </w:p>
    <w:p>
      <w:pPr>
        <w:spacing w:after="0" w:line="175" w:lineRule="exact"/>
        <w:rPr>
          <w:rFonts w:ascii="Courier New" w:cs="Courier New" w:eastAsia="Courier New" w:hAnsi="Courier New"/>
          <w:sz w:val="15"/>
          <w:szCs w:val="15"/>
          <w:color w:val="auto"/>
        </w:rPr>
      </w:pPr>
    </w:p>
    <w:p>
      <w:pPr>
        <w:ind w:right="3359" w:firstLine="784"/>
        <w:spacing w:after="0" w:line="237" w:lineRule="auto"/>
        <w:tabs>
          <w:tab w:leader="none" w:pos="123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If the foregoing is in accordance with your understanding, please sign and return to us five counterparts hereof, and upon the acceptance hereof by the Purchaser this letter and such acceptance hereof shall constitute a binding agreement between the Purchaser and the Company.</w:t>
      </w:r>
    </w:p>
    <w:p>
      <w:pPr>
        <w:spacing w:after="0" w:line="171"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Very truly yours,</w:t>
      </w:r>
    </w:p>
    <w:p>
      <w:pPr>
        <w:spacing w:after="0" w:line="339"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USA WASTE SERVICES, INC.</w:t>
      </w:r>
    </w:p>
    <w:p>
      <w:pPr>
        <w:spacing w:after="0" w:line="344"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By:___________________________</w:t>
      </w:r>
    </w:p>
    <w:p>
      <w:pPr>
        <w:spacing w:after="0" w:line="5"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Name:</w:t>
      </w:r>
    </w:p>
    <w:p>
      <w:pPr>
        <w:ind w:left="510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18</w:t>
      </w:r>
    </w:p>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SANDERS MORRIS MUNDY INC.</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19</w:t>
      </w:r>
    </w:p>
    <w:p>
      <w:pPr>
        <w:ind w:left="2900"/>
        <w:spacing w:after="0"/>
        <w:rPr>
          <w:sz w:val="20"/>
          <w:szCs w:val="20"/>
          <w:color w:val="auto"/>
        </w:rPr>
      </w:pPr>
      <w:r>
        <w:rPr>
          <w:rFonts w:ascii="Courier New" w:cs="Courier New" w:eastAsia="Courier New" w:hAnsi="Courier New"/>
          <w:sz w:val="15"/>
          <w:szCs w:val="15"/>
          <w:color w:val="auto"/>
        </w:rPr>
        <w:t>ANNEX I</w:t>
      </w:r>
    </w:p>
    <w:p>
      <w:pPr>
        <w:spacing w:after="0" w:line="338" w:lineRule="exact"/>
        <w:rPr>
          <w:sz w:val="20"/>
          <w:szCs w:val="20"/>
          <w:color w:val="auto"/>
        </w:rPr>
      </w:pPr>
    </w:p>
    <w:p>
      <w:pPr>
        <w:jc w:val="right"/>
        <w:ind w:right="5819"/>
        <w:spacing w:after="0"/>
        <w:rPr>
          <w:sz w:val="20"/>
          <w:szCs w:val="20"/>
          <w:color w:val="auto"/>
        </w:rPr>
      </w:pPr>
      <w:r>
        <w:rPr>
          <w:rFonts w:ascii="Courier New" w:cs="Courier New" w:eastAsia="Courier New" w:hAnsi="Courier New"/>
          <w:sz w:val="15"/>
          <w:szCs w:val="15"/>
          <w:color w:val="auto"/>
        </w:rPr>
        <w:t>Material Subsidiaries</w:t>
      </w:r>
    </w:p>
    <w:p>
      <w:pPr>
        <w:sectPr>
          <w:pgSz w:w="11900" w:h="16838" w:orient="portrait"/>
          <w:cols w:equalWidth="0" w:num="1">
            <w:col w:w="9959"/>
          </w:cols>
          <w:pgMar w:left="500" w:top="28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1</w:t>
      </w:r>
    </w:p>
    <w:p>
      <w:pPr>
        <w:ind w:left="5800"/>
        <w:spacing w:after="0"/>
        <w:rPr>
          <w:sz w:val="20"/>
          <w:szCs w:val="20"/>
          <w:color w:val="auto"/>
        </w:rPr>
      </w:pPr>
      <w:r>
        <w:rPr>
          <w:rFonts w:ascii="Courier New" w:cs="Courier New" w:eastAsia="Courier New" w:hAnsi="Courier New"/>
          <w:sz w:val="15"/>
          <w:szCs w:val="15"/>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Nobember 1, 1995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rPr>
          <w:sz w:val="20"/>
          <w:szCs w:val="20"/>
          <w:color w:val="auto"/>
        </w:rPr>
      </w:pPr>
      <w:r>
        <w:rPr>
          <w:rFonts w:ascii="Courier New" w:cs="Courier New" w:eastAsia="Courier New" w:hAnsi="Courier New"/>
          <w:sz w:val="15"/>
          <w:szCs w:val="15"/>
          <w:color w:val="auto"/>
        </w:rPr>
        <w:t>5400 LBJ Freeway</w:t>
      </w:r>
    </w:p>
    <w:p>
      <w:pPr>
        <w:spacing w:after="0"/>
        <w:rPr>
          <w:sz w:val="20"/>
          <w:szCs w:val="20"/>
          <w:color w:val="auto"/>
        </w:rPr>
      </w:pPr>
      <w:r>
        <w:rPr>
          <w:rFonts w:ascii="Courier New" w:cs="Courier New" w:eastAsia="Courier New" w:hAnsi="Courier New"/>
          <w:sz w:val="15"/>
          <w:szCs w:val="15"/>
          <w:color w:val="auto"/>
        </w:rPr>
        <w:t>Suite 300, Tower One</w:t>
      </w:r>
    </w:p>
    <w:p>
      <w:pPr>
        <w:spacing w:after="0"/>
        <w:tabs>
          <w:tab w:leader="none" w:pos="130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75240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We have acted as counsel for USA Waste Services, Inc., a Delaware corporation (the "Company"), in connection with the filing of the Registration Statement on Form S-3 with respect to the registration of 3,172,226 shares (the "Shares") of the Common Stock, $.01 par value (the "Common Stock"), of the Company issuable to Sanders Morris Mundy Inc. under certain standby arrangements in connection with the conversion of the Company's 8-1/2% Convertible Subordinated Debenture Due 2002 (the "Debentures").</w:t>
      </w:r>
    </w:p>
    <w:p>
      <w:pPr>
        <w:spacing w:after="0" w:line="167"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We have made such inquiries and examined such documents as we have considered necessary or appropriate for purposes of giving the opinions hereinafter set forth, including the examination of executed or conformed counterparts, or copies certified or otherwise proved to our satisfaction, of the following:</w:t>
      </w:r>
    </w:p>
    <w:p>
      <w:pPr>
        <w:spacing w:after="0" w:line="178" w:lineRule="exact"/>
        <w:rPr>
          <w:sz w:val="20"/>
          <w:szCs w:val="20"/>
          <w:color w:val="auto"/>
        </w:rPr>
      </w:pPr>
    </w:p>
    <w:p>
      <w:pPr>
        <w:ind w:right="3539" w:firstLine="784"/>
        <w:spacing w:after="0" w:line="235" w:lineRule="auto"/>
        <w:tabs>
          <w:tab w:leader="none" w:pos="149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Restated Certificate of Incorporation of the Company as filed with the Secretary of State of Delaware on June 30, 1995;</w:t>
      </w:r>
    </w:p>
    <w:p>
      <w:pPr>
        <w:spacing w:after="0" w:line="170" w:lineRule="exact"/>
        <w:rPr>
          <w:rFonts w:ascii="Courier New" w:cs="Courier New" w:eastAsia="Courier New" w:hAnsi="Courier New"/>
          <w:sz w:val="15"/>
          <w:szCs w:val="15"/>
          <w:color w:val="auto"/>
        </w:rPr>
      </w:pPr>
    </w:p>
    <w:p>
      <w:pPr>
        <w:ind w:left="1480" w:hanging="696"/>
        <w:spacing w:after="0"/>
        <w:tabs>
          <w:tab w:leader="none" w:pos="14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Company;</w:t>
      </w:r>
    </w:p>
    <w:p>
      <w:pPr>
        <w:spacing w:after="0" w:line="174" w:lineRule="exact"/>
        <w:rPr>
          <w:rFonts w:ascii="Courier New" w:cs="Courier New" w:eastAsia="Courier New" w:hAnsi="Courier New"/>
          <w:sz w:val="15"/>
          <w:szCs w:val="15"/>
          <w:color w:val="auto"/>
        </w:rPr>
      </w:pPr>
    </w:p>
    <w:p>
      <w:pPr>
        <w:ind w:right="3359" w:firstLine="784"/>
        <w:spacing w:after="0" w:line="237" w:lineRule="auto"/>
        <w:tabs>
          <w:tab w:leader="none" w:pos="149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on Form S-3 of the Company, including the related prospectus and other attachments, filed with the Securities and Exchange Commission to register the Shares under the Securities Act of 1933 (the "Registration Statement").</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We have assumed the genuineness and authenticity of all signatures on all original documents, the authenticity of all documents submitted to us as originals, the conformity to originals of all documents submitted to us as copies and the due authorization, execution,</w:t>
      </w:r>
    </w:p>
    <w:p>
      <w:pPr>
        <w:sectPr>
          <w:pgSz w:w="11900" w:h="16838" w:orient="portrait"/>
          <w:cols w:equalWidth="0" w:num="1">
            <w:col w:w="10219"/>
          </w:cols>
          <w:pgMar w:left="240" w:top="136"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2</w:t>
      </w:r>
    </w:p>
    <w:p>
      <w:pPr>
        <w:spacing w:after="0"/>
        <w:rPr>
          <w:sz w:val="20"/>
          <w:szCs w:val="20"/>
          <w:color w:val="auto"/>
        </w:rPr>
      </w:pPr>
      <w:r>
        <w:rPr>
          <w:rFonts w:ascii="Courier New" w:cs="Courier New" w:eastAsia="Courier New" w:hAnsi="Courier New"/>
          <w:sz w:val="15"/>
          <w:szCs w:val="15"/>
          <w:color w:val="auto"/>
        </w:rPr>
        <w:t>USA Waste Services, Inc.</w:t>
      </w:r>
    </w:p>
    <w:p>
      <w:pPr>
        <w:spacing w:after="0"/>
        <w:rPr>
          <w:sz w:val="20"/>
          <w:szCs w:val="20"/>
          <w:color w:val="auto"/>
        </w:rPr>
      </w:pPr>
      <w:r>
        <w:rPr>
          <w:rFonts w:ascii="Courier New" w:cs="Courier New" w:eastAsia="Courier New" w:hAnsi="Courier New"/>
          <w:sz w:val="15"/>
          <w:szCs w:val="15"/>
          <w:color w:val="auto"/>
        </w:rPr>
        <w:t>Page 2</w:t>
      </w:r>
    </w:p>
    <w:p>
      <w:pPr>
        <w:spacing w:after="0" w:line="238" w:lineRule="auto"/>
        <w:rPr>
          <w:sz w:val="20"/>
          <w:szCs w:val="20"/>
          <w:color w:val="auto"/>
        </w:rPr>
      </w:pPr>
      <w:r>
        <w:rPr>
          <w:rFonts w:ascii="Courier New" w:cs="Courier New" w:eastAsia="Courier New" w:hAnsi="Courier New"/>
          <w:sz w:val="15"/>
          <w:szCs w:val="15"/>
          <w:color w:val="auto"/>
        </w:rPr>
        <w:t>November 1, 1995</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delivery or recordation of all documents where due authorization, execution or recordation or prerequisites to the effectiveness thereof.</w:t>
      </w:r>
    </w:p>
    <w:p>
      <w:pPr>
        <w:spacing w:after="0" w:line="176" w:lineRule="exact"/>
        <w:rPr>
          <w:sz w:val="20"/>
          <w:szCs w:val="20"/>
          <w:color w:val="auto"/>
        </w:rPr>
      </w:pPr>
    </w:p>
    <w:p>
      <w:pPr>
        <w:ind w:right="4319" w:firstLine="793"/>
        <w:spacing w:after="0" w:line="265" w:lineRule="auto"/>
        <w:rPr>
          <w:sz w:val="20"/>
          <w:szCs w:val="20"/>
          <w:color w:val="auto"/>
        </w:rPr>
      </w:pPr>
      <w:r>
        <w:rPr>
          <w:rFonts w:ascii="Courier New" w:cs="Courier New" w:eastAsia="Courier New" w:hAnsi="Courier New"/>
          <w:sz w:val="14"/>
          <w:szCs w:val="14"/>
          <w:color w:val="auto"/>
        </w:rPr>
        <w:t>Based upon the foregoing, and having regard for such legal considerations as we deem relevant, we are of the opinion that:</w:t>
      </w:r>
    </w:p>
    <w:p>
      <w:pPr>
        <w:spacing w:after="0" w:line="158" w:lineRule="exact"/>
        <w:rPr>
          <w:sz w:val="20"/>
          <w:szCs w:val="20"/>
          <w:color w:val="auto"/>
        </w:rPr>
      </w:pPr>
    </w:p>
    <w:p>
      <w:pPr>
        <w:ind w:right="3359" w:firstLine="784"/>
        <w:spacing w:after="0" w:line="235" w:lineRule="auto"/>
        <w:tabs>
          <w:tab w:leader="none" w:pos="149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corporation duly organized, validly existing and in good standing under the laws of the States of Delaware;</w:t>
      </w:r>
    </w:p>
    <w:p>
      <w:pPr>
        <w:spacing w:after="0" w:line="175" w:lineRule="exact"/>
        <w:rPr>
          <w:rFonts w:ascii="Courier New" w:cs="Courier New" w:eastAsia="Courier New" w:hAnsi="Courier New"/>
          <w:sz w:val="15"/>
          <w:szCs w:val="15"/>
          <w:color w:val="auto"/>
        </w:rPr>
      </w:pPr>
    </w:p>
    <w:p>
      <w:pPr>
        <w:ind w:right="3359" w:firstLine="784"/>
        <w:spacing w:after="0" w:line="237" w:lineRule="auto"/>
        <w:tabs>
          <w:tab w:leader="none" w:pos="149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of the Company consists of 150,000,000 shares of Common Stock, of which, as of September 30, 1995, 53,848,249 shares are issued and outstanding, and 10,000,000 shares of Preferred Stock, $.01 par value, of which, as of September 30, 1995, no shares are issued and outstanding;</w:t>
      </w:r>
    </w:p>
    <w:p>
      <w:pPr>
        <w:spacing w:after="0" w:line="178" w:lineRule="exact"/>
        <w:rPr>
          <w:rFonts w:ascii="Courier New" w:cs="Courier New" w:eastAsia="Courier New" w:hAnsi="Courier New"/>
          <w:sz w:val="15"/>
          <w:szCs w:val="15"/>
          <w:color w:val="auto"/>
        </w:rPr>
      </w:pPr>
    </w:p>
    <w:p>
      <w:pPr>
        <w:ind w:right="3439" w:firstLine="784"/>
        <w:spacing w:after="0" w:line="237" w:lineRule="auto"/>
        <w:tabs>
          <w:tab w:leader="none" w:pos="149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Common Stock reserved for issuance upon conversion of the Debentures, when issued in accordance with the terms of the Debentures, will be duly authorized and validly issued, fully paid, and nonassessable; and</w:t>
      </w:r>
    </w:p>
    <w:p>
      <w:pPr>
        <w:spacing w:after="0" w:line="176" w:lineRule="exact"/>
        <w:rPr>
          <w:rFonts w:ascii="Courier New" w:cs="Courier New" w:eastAsia="Courier New" w:hAnsi="Courier New"/>
          <w:sz w:val="15"/>
          <w:szCs w:val="15"/>
          <w:color w:val="auto"/>
        </w:rPr>
      </w:pPr>
    </w:p>
    <w:p>
      <w:pPr>
        <w:ind w:right="3259" w:firstLine="784"/>
        <w:spacing w:after="0" w:line="237" w:lineRule="auto"/>
        <w:tabs>
          <w:tab w:leader="none" w:pos="149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registered under the Registration Statement are duly authorized, and if and when issued by the Company, will be legally issued, fully paid, and non-assessable.</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We hereby consent to the filing of this opinion with the Securities and Exchange Commission as an exhibit to the Registration Statement and to the Statements made regarding our Firm and to the use of our name under the heading "Legal Matters" in the prospectus constituting a part of the Registration Statement.</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SNELL &amp; SMITH, A Professional</w:t>
      </w:r>
    </w:p>
    <w:p>
      <w:pPr>
        <w:ind w:left="3520"/>
        <w:spacing w:after="0"/>
        <w:rPr>
          <w:sz w:val="20"/>
          <w:szCs w:val="20"/>
          <w:color w:val="auto"/>
        </w:rPr>
      </w:pPr>
      <w:r>
        <w:rPr>
          <w:rFonts w:ascii="Courier New" w:cs="Courier New" w:eastAsia="Courier New" w:hAnsi="Courier New"/>
          <w:sz w:val="15"/>
          <w:szCs w:val="15"/>
          <w:color w:val="auto"/>
        </w:rPr>
        <w:t>Corporation</w:t>
      </w:r>
    </w:p>
    <w:p>
      <w:pPr>
        <w:sectPr>
          <w:pgSz w:w="11900" w:h="16838" w:orient="portrait"/>
          <w:cols w:equalWidth="0" w:num="1">
            <w:col w:w="10219"/>
          </w:cols>
          <w:pgMar w:left="240" w:top="28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23.2</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S-3 of our report dated March 10, 1995, on our audits of the consolidated financial statements of USA Waste Services, Inc. as of December 31, 1994 and 1993, and for each of the three years in the period ended December 31, 1994, which is included in USA Waste Services, Inc.'s Annual Report on Form 10-K for the fiscal year ended December 31, 1994, as amended by Form 10-K/A and included in and incorporated by reference into the USA Waste Services, Inc.'s Joint Proxy Statement and Prospectus dated May 19, 1995, and our report dated July 14, 1995, on our audits of the supplemental consolidated financial statements of USA Waste Services, Inc. as of December 31, 1994 and 1993, and for each of the three years in the period ended December 31, 1994, which is included in USA Waste Services, Inc.'s Current Report on Form 8-K dated June 30, 1995. We also consent to the reference to our firm under the caption "Experts."</w:t>
      </w:r>
    </w:p>
    <w:p>
      <w:pPr>
        <w:spacing w:after="0" w:line="178"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COOPERS &amp; LYBRAND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rPr>
          <w:sz w:val="20"/>
          <w:szCs w:val="20"/>
          <w:color w:val="auto"/>
        </w:rPr>
      </w:pPr>
      <w:r>
        <w:rPr>
          <w:rFonts w:ascii="Courier New" w:cs="Courier New" w:eastAsia="Courier New" w:hAnsi="Courier New"/>
          <w:sz w:val="15"/>
          <w:szCs w:val="15"/>
          <w:color w:val="auto"/>
        </w:rPr>
        <w:t>November 1, 1995</w:t>
      </w:r>
    </w:p>
    <w:p>
      <w:pPr>
        <w:sectPr>
          <w:pgSz w:w="11900" w:h="16838" w:orient="portrait"/>
          <w:cols w:equalWidth="0" w:num="1">
            <w:col w:w="10219"/>
          </w:cols>
          <w:pgMar w:left="240" w:top="136"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1</w:t>
      </w:r>
    </w:p>
    <w:p>
      <w:pPr>
        <w:jc w:val="right"/>
        <w:ind w:right="3259"/>
        <w:spacing w:after="0"/>
        <w:rPr>
          <w:sz w:val="20"/>
          <w:szCs w:val="20"/>
          <w:color w:val="auto"/>
        </w:rPr>
      </w:pPr>
      <w:r>
        <w:rPr>
          <w:rFonts w:ascii="Courier New" w:cs="Courier New" w:eastAsia="Courier New" w:hAnsi="Courier New"/>
          <w:sz w:val="15"/>
          <w:szCs w:val="15"/>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USA Waste Services, Inc.</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Registration Statement on Form S-3 of our report dated September 22, 1993 on Envirofil, Inc. included in the USA Waste Services, Inc.'s previously filed Annual Report of Form 10-K for the fiscal year ended December 31, 1994, as amended by Form 10-K/A (Amendment No. 1) dated April 25, 1995 and included in and incorporated by reference in the USA Waste Services, Inc.'s previously filed Joint Proxy Statement and Prospectus dated May 19, 1995, and our report dated March 25, 1994 on the Acquired New Jersey Solid Waste Companies included in the Envirofil, Inc.'s previously filed Current Report on Form 8-K/A dated May 11, 1994 and incorporated by reference in the USA Waste Services, Inc.'s previously filed Joint Proxy Statement and Prospectus dated May 19, 1995 and to all references to our Firm included in this Registration Statement.</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w:t>
      </w:r>
    </w:p>
    <w:p>
      <w:pPr>
        <w:spacing w:after="0"/>
        <w:rPr>
          <w:sz w:val="20"/>
          <w:szCs w:val="20"/>
          <w:color w:val="auto"/>
        </w:rPr>
      </w:pPr>
      <w:r>
        <w:rPr>
          <w:rFonts w:ascii="Courier New" w:cs="Courier New" w:eastAsia="Courier New" w:hAnsi="Courier New"/>
          <w:sz w:val="15"/>
          <w:szCs w:val="15"/>
          <w:color w:val="auto"/>
        </w:rPr>
        <w:t>November 1, 1995</w:t>
      </w:r>
    </w:p>
    <w:p>
      <w:pPr>
        <w:spacing w:after="0" w:line="338"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ARTHUR ANDERSEN LLP</w:t>
      </w:r>
    </w:p>
    <w:p>
      <w:pPr>
        <w:sectPr>
          <w:pgSz w:w="11900" w:h="16838" w:orient="portrait"/>
          <w:cols w:equalWidth="0" w:num="1">
            <w:col w:w="10219"/>
          </w:cols>
          <w:pgMar w:left="240" w:top="136"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1</w:t>
      </w:r>
    </w:p>
    <w:p>
      <w:pPr>
        <w:ind w:left="5720"/>
        <w:spacing w:after="0"/>
        <w:rPr>
          <w:sz w:val="20"/>
          <w:szCs w:val="20"/>
          <w:color w:val="auto"/>
        </w:rPr>
      </w:pPr>
      <w:r>
        <w:rPr>
          <w:rFonts w:ascii="Courier New" w:cs="Courier New" w:eastAsia="Courier New" w:hAnsi="Courier New"/>
          <w:sz w:val="15"/>
          <w:szCs w:val="15"/>
          <w:color w:val="auto"/>
        </w:rPr>
        <w:t>Exhibit 23.4</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spacing w:after="0" w:line="34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S-3 of our report dated March 30, 1995 on the consolidated financial statements of Chambers Development Company, Inc. and subsidiaries as of December 31, 1994 and 1993 and for each of the three years in the period ended December 31, 1994 appearing in USA Waste Services, Inc.'s Current Report on Form 8-K dated June 30, 1995 (which does not include such consolidated financial statements), and our report dated March 30, 1995 appearing in the Joint Proxy Statement and Prospectus of USA Waste Services, Inc. dated May 19, 1995. We also consent to the reference to us under the heading "Experts" in the Prospectus, which is part of such Registration Statement.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rPr>
          <w:sz w:val="20"/>
          <w:szCs w:val="20"/>
          <w:color w:val="auto"/>
        </w:rPr>
      </w:pPr>
      <w:r>
        <w:rPr>
          <w:rFonts w:ascii="Courier New" w:cs="Courier New" w:eastAsia="Courier New" w:hAnsi="Courier New"/>
          <w:sz w:val="15"/>
          <w:szCs w:val="15"/>
          <w:color w:val="auto"/>
        </w:rPr>
        <w:t>November 1, 1995</w:t>
      </w:r>
    </w:p>
    <w:p>
      <w:pPr>
        <w:sectPr>
          <w:pgSz w:w="11900" w:h="16838" w:orient="portrait"/>
          <w:cols w:equalWidth="0" w:num="1">
            <w:col w:w="10219"/>
          </w:cols>
          <w:pgMar w:left="240" w:top="136"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1</w:t>
      </w:r>
    </w:p>
    <w:p>
      <w:pPr>
        <w:ind w:left="5900"/>
        <w:spacing w:after="0"/>
        <w:rPr>
          <w:sz w:val="20"/>
          <w:szCs w:val="20"/>
          <w:color w:val="auto"/>
        </w:rPr>
      </w:pPr>
      <w:r>
        <w:rPr>
          <w:rFonts w:ascii="Courier New" w:cs="Courier New" w:eastAsia="Courier New" w:hAnsi="Courier New"/>
          <w:sz w:val="15"/>
          <w:szCs w:val="15"/>
          <w:color w:val="auto"/>
        </w:rPr>
        <w:t>EXHIBIT 99.1</w:t>
      </w:r>
    </w:p>
    <w:p>
      <w:pPr>
        <w:spacing w:after="0" w:line="200" w:lineRule="exact"/>
        <w:rPr>
          <w:sz w:val="20"/>
          <w:szCs w:val="20"/>
          <w:color w:val="auto"/>
        </w:rPr>
      </w:pPr>
    </w:p>
    <w:p>
      <w:pPr>
        <w:spacing w:after="0" w:line="30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November 1, 1995</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NOTICE OF REDEMPTION</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8 1/2% CONVERTIBLE SUBORDINATED DEBENTURES DUE 2002</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CONVERSION PRIVILEGE EXPIRES AT 5:00 P.M. (EASTERN TIME) AT THE</w:t>
      </w:r>
    </w:p>
    <w:p>
      <w:pPr>
        <w:jc w:val="center"/>
        <w:ind w:right="3259"/>
        <w:spacing w:after="0"/>
        <w:rPr>
          <w:sz w:val="20"/>
          <w:szCs w:val="20"/>
          <w:color w:val="auto"/>
        </w:rPr>
      </w:pPr>
      <w:r>
        <w:rPr>
          <w:rFonts w:ascii="Courier New" w:cs="Courier New" w:eastAsia="Courier New" w:hAnsi="Courier New"/>
          <w:sz w:val="15"/>
          <w:szCs w:val="15"/>
          <w:color w:val="auto"/>
        </w:rPr>
        <w:t>PLACE OF CONVERSION ON DECEMBER 1, 1995</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NOTICE IS HEREBY GIVEN that, at 5:00 p.m. on December 11, 1995 (the</w:t>
      </w:r>
    </w:p>
    <w:p>
      <w:pPr>
        <w:spacing w:after="0"/>
        <w:rPr>
          <w:sz w:val="20"/>
          <w:szCs w:val="20"/>
          <w:color w:val="auto"/>
        </w:rPr>
      </w:pPr>
      <w:r>
        <w:rPr>
          <w:rFonts w:ascii="Courier New" w:cs="Courier New" w:eastAsia="Courier New" w:hAnsi="Courier New"/>
          <w:sz w:val="15"/>
          <w:szCs w:val="15"/>
          <w:color w:val="auto"/>
        </w:rPr>
        <w:t>"Redemption Date"), pursuant to Section 1205 of the Indenture dated as of</w:t>
      </w:r>
    </w:p>
    <w:p>
      <w:pPr>
        <w:spacing w:after="0"/>
        <w:rPr>
          <w:sz w:val="20"/>
          <w:szCs w:val="20"/>
          <w:color w:val="auto"/>
        </w:rPr>
      </w:pPr>
      <w:r>
        <w:rPr>
          <w:rFonts w:ascii="Courier New" w:cs="Courier New" w:eastAsia="Courier New" w:hAnsi="Courier New"/>
          <w:sz w:val="15"/>
          <w:szCs w:val="15"/>
          <w:color w:val="auto"/>
        </w:rPr>
        <w:t>September 1, 1992 (the "Indenture"), between USA Waste Services, Inc. (the</w:t>
      </w:r>
    </w:p>
    <w:p>
      <w:pPr>
        <w:spacing w:after="0" w:line="238" w:lineRule="auto"/>
        <w:rPr>
          <w:sz w:val="20"/>
          <w:szCs w:val="20"/>
          <w:color w:val="auto"/>
        </w:rPr>
      </w:pPr>
      <w:r>
        <w:rPr>
          <w:rFonts w:ascii="Courier New" w:cs="Courier New" w:eastAsia="Courier New" w:hAnsi="Courier New"/>
          <w:sz w:val="15"/>
          <w:szCs w:val="15"/>
          <w:color w:val="auto"/>
        </w:rPr>
        <w:t>"Company") and State Street Bank and Trust Company as successor to The First</w:t>
      </w:r>
    </w:p>
    <w:p>
      <w:pPr>
        <w:spacing w:after="0"/>
        <w:rPr>
          <w:sz w:val="20"/>
          <w:szCs w:val="20"/>
          <w:color w:val="auto"/>
        </w:rPr>
      </w:pPr>
      <w:r>
        <w:rPr>
          <w:rFonts w:ascii="Courier New" w:cs="Courier New" w:eastAsia="Courier New" w:hAnsi="Courier New"/>
          <w:sz w:val="15"/>
          <w:szCs w:val="15"/>
          <w:color w:val="auto"/>
        </w:rPr>
        <w:t>National Bank of Boston, as Trustee, the Company will redeem all of its</w:t>
      </w:r>
    </w:p>
    <w:p>
      <w:pPr>
        <w:spacing w:after="0"/>
        <w:rPr>
          <w:sz w:val="20"/>
          <w:szCs w:val="20"/>
          <w:color w:val="auto"/>
        </w:rPr>
      </w:pPr>
      <w:r>
        <w:rPr>
          <w:rFonts w:ascii="Courier New" w:cs="Courier New" w:eastAsia="Courier New" w:hAnsi="Courier New"/>
          <w:sz w:val="15"/>
          <w:szCs w:val="15"/>
          <w:color w:val="auto"/>
        </w:rPr>
        <w:t>outstanding 8- 1/2% Convertible Subordinated Debentures Due 2002 (the</w:t>
      </w:r>
    </w:p>
    <w:p>
      <w:pPr>
        <w:spacing w:after="0" w:line="238" w:lineRule="auto"/>
        <w:rPr>
          <w:sz w:val="20"/>
          <w:szCs w:val="20"/>
          <w:color w:val="auto"/>
        </w:rPr>
      </w:pPr>
      <w:r>
        <w:rPr>
          <w:rFonts w:ascii="Courier New" w:cs="Courier New" w:eastAsia="Courier New" w:hAnsi="Courier New"/>
          <w:sz w:val="15"/>
          <w:szCs w:val="15"/>
          <w:color w:val="auto"/>
        </w:rPr>
        <w:t>"Debentures"), at a redemption price of $1,056.67 plus accrued interest of</w:t>
      </w:r>
    </w:p>
    <w:p>
      <w:pPr>
        <w:spacing w:after="0"/>
        <w:rPr>
          <w:sz w:val="20"/>
          <w:szCs w:val="20"/>
          <w:color w:val="auto"/>
        </w:rPr>
      </w:pPr>
      <w:r>
        <w:rPr>
          <w:rFonts w:ascii="Courier New" w:cs="Courier New" w:eastAsia="Courier New" w:hAnsi="Courier New"/>
          <w:sz w:val="15"/>
          <w:szCs w:val="15"/>
          <w:color w:val="auto"/>
        </w:rPr>
        <w:t>$13.46 from October 15, 1995, to the Redemption Date, for a total of $1,070.16</w:t>
      </w:r>
    </w:p>
    <w:p>
      <w:pPr>
        <w:spacing w:after="0"/>
        <w:rPr>
          <w:sz w:val="20"/>
          <w:szCs w:val="20"/>
          <w:color w:val="auto"/>
        </w:rPr>
      </w:pPr>
      <w:r>
        <w:rPr>
          <w:rFonts w:ascii="Courier New" w:cs="Courier New" w:eastAsia="Courier New" w:hAnsi="Courier New"/>
          <w:sz w:val="15"/>
          <w:szCs w:val="15"/>
          <w:color w:val="auto"/>
        </w:rPr>
        <w:t>for each $1,000 principal amount of Debentures (the "Redemption Price"). The</w:t>
      </w:r>
    </w:p>
    <w:p>
      <w:pPr>
        <w:spacing w:after="0"/>
        <w:rPr>
          <w:sz w:val="20"/>
          <w:szCs w:val="20"/>
          <w:color w:val="auto"/>
        </w:rPr>
      </w:pPr>
      <w:r>
        <w:rPr>
          <w:rFonts w:ascii="Courier New" w:cs="Courier New" w:eastAsia="Courier New" w:hAnsi="Courier New"/>
          <w:sz w:val="15"/>
          <w:szCs w:val="15"/>
          <w:color w:val="auto"/>
        </w:rPr>
        <w:t>Redemption Price will be due and payable on each $1,000 principal amount of</w:t>
      </w:r>
    </w:p>
    <w:p>
      <w:pPr>
        <w:spacing w:after="0" w:line="238" w:lineRule="auto"/>
        <w:rPr>
          <w:sz w:val="20"/>
          <w:szCs w:val="20"/>
          <w:color w:val="auto"/>
        </w:rPr>
      </w:pPr>
      <w:r>
        <w:rPr>
          <w:rFonts w:ascii="Courier New" w:cs="Courier New" w:eastAsia="Courier New" w:hAnsi="Courier New"/>
          <w:sz w:val="15"/>
          <w:szCs w:val="15"/>
          <w:color w:val="auto"/>
        </w:rPr>
        <w:t>Debentures on the Redemption Date (unless the Debentures are converted as</w:t>
      </w:r>
    </w:p>
    <w:p>
      <w:pPr>
        <w:spacing w:after="0"/>
        <w:rPr>
          <w:sz w:val="20"/>
          <w:szCs w:val="20"/>
          <w:color w:val="auto"/>
        </w:rPr>
      </w:pPr>
      <w:r>
        <w:rPr>
          <w:rFonts w:ascii="Courier New" w:cs="Courier New" w:eastAsia="Courier New" w:hAnsi="Courier New"/>
          <w:sz w:val="15"/>
          <w:szCs w:val="15"/>
          <w:color w:val="auto"/>
        </w:rPr>
        <w:t>referred to below). From and after the Redemption Date, interest thereon shall</w:t>
      </w:r>
    </w:p>
    <w:p>
      <w:pPr>
        <w:spacing w:after="0"/>
        <w:rPr>
          <w:sz w:val="20"/>
          <w:szCs w:val="20"/>
          <w:color w:val="auto"/>
        </w:rPr>
      </w:pPr>
      <w:r>
        <w:rPr>
          <w:rFonts w:ascii="Courier New" w:cs="Courier New" w:eastAsia="Courier New" w:hAnsi="Courier New"/>
          <w:sz w:val="15"/>
          <w:szCs w:val="15"/>
          <w:color w:val="auto"/>
        </w:rPr>
        <w:t>cease to accrue, and holders of Debentures will not have any rights as such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other than the right to receive the Redemption Price, without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surrender of their Debentures.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ALTERNATIVES AVAILABLE TO HOLDERS OF DEBENTURES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 OF DEBENTURES HAVE THE FOLLOWING ALTERNATIVES:</w:t>
      </w:r>
    </w:p>
    <w:p>
      <w:pPr>
        <w:spacing w:after="0" w:line="175" w:lineRule="exact"/>
        <w:rPr>
          <w:sz w:val="20"/>
          <w:szCs w:val="20"/>
          <w:color w:val="auto"/>
        </w:rPr>
      </w:pPr>
    </w:p>
    <w:p>
      <w:pPr>
        <w:ind w:right="3179" w:firstLine="431"/>
        <w:spacing w:after="0" w:line="257" w:lineRule="auto"/>
        <w:tabs>
          <w:tab w:leader="none" w:pos="70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Prior to 5:00 p.m. (Eastern time) on December 1, 1995, to convert any or all of the Debentures into the Company's Common Stock at a conversion price of $13.25 per share (75.472 shares of Common Stock for each $1,000 principal amount of Debentures). Holder's will receive a cash payment in lieu of any fractional share. The method of delivery is at the option and risk of the holder but, if mail is used, it is recommended that registered mail with return receipt requested, properly insured, be used as a prevention against loss. If conversion is being requested, Debenture certificates should be mailed, together with a Letter of Transmittal, sufficiently in advance of December 1, 1995, to permit delivery to the Trustee on or before such date and time.</w:t>
      </w:r>
    </w:p>
    <w:p>
      <w:pPr>
        <w:spacing w:after="0" w:line="166" w:lineRule="exact"/>
        <w:rPr>
          <w:rFonts w:ascii="Courier New" w:cs="Courier New" w:eastAsia="Courier New" w:hAnsi="Courier New"/>
          <w:sz w:val="14"/>
          <w:szCs w:val="14"/>
          <w:color w:val="auto"/>
        </w:rPr>
      </w:pPr>
    </w:p>
    <w:p>
      <w:pPr>
        <w:ind w:right="3439" w:firstLine="431"/>
        <w:spacing w:after="0" w:line="265" w:lineRule="auto"/>
        <w:tabs>
          <w:tab w:leader="none" w:pos="70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To surrender Debentures for redemption at the total Redemption Price of $1,070.16 for each $1,000 principal amount of Debentures.</w:t>
      </w:r>
    </w:p>
    <w:p>
      <w:pPr>
        <w:spacing w:after="0" w:line="158" w:lineRule="exact"/>
        <w:rPr>
          <w:rFonts w:ascii="Courier New" w:cs="Courier New" w:eastAsia="Courier New" w:hAnsi="Courier New"/>
          <w:sz w:val="14"/>
          <w:szCs w:val="14"/>
          <w:color w:val="auto"/>
        </w:rPr>
      </w:pPr>
    </w:p>
    <w:p>
      <w:pPr>
        <w:ind w:right="3179" w:firstLine="431"/>
        <w:spacing w:after="0" w:line="238" w:lineRule="auto"/>
        <w:tabs>
          <w:tab w:leader="none" w:pos="70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Through Ordinary Brokerage Transactions. To sell the Debentures through open market brokerage transactions and, if made sufficiently in advance of December 1, 1995, buyers thereof may convert the Debentures into Common Stock in the manner described herein. After December 1, 1995, a holder of Debentures will not be entitled to convert such Debentures into Common Stock. This is expected to have an impact on the market for the Debentures. Holders of Debentures who wish to make sales should consult with their brokers concerning if and when such Debentures should be sold.</w:t>
      </w:r>
    </w:p>
    <w:p>
      <w:pPr>
        <w:spacing w:after="0" w:line="178"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Instructions on presentation of Debentures for conversion or redemption are given on the accompanying Letter of Transmittal.</w:t>
      </w:r>
    </w:p>
    <w:p>
      <w:pPr>
        <w:sectPr>
          <w:pgSz w:w="11900" w:h="16838" w:orient="portrait"/>
          <w:cols w:equalWidth="0" w:num="1">
            <w:col w:w="10219"/>
          </w:cols>
          <w:pgMar w:left="240" w:top="136"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order to be converted into Common Stock, the Debentures must be presented, surrendered and received before 5:00 p.m. (Eastern time) on December 1, 1995, to State Street Bank and Trust Company at one of the following addresses, where they may also be surrendered for redemption:</w:t>
      </w:r>
    </w:p>
    <w:p>
      <w:pPr>
        <w:spacing w:after="0" w:line="200" w:lineRule="exact"/>
        <w:rPr>
          <w:sz w:val="20"/>
          <w:szCs w:val="20"/>
          <w:color w:val="auto"/>
        </w:rPr>
      </w:pPr>
    </w:p>
    <w:p>
      <w:pPr>
        <w:spacing w:after="0" w:line="310"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740" w:type="dxa"/>
            <w:vAlign w:val="bottom"/>
            <w:gridSpan w:val="2"/>
          </w:tcPr>
          <w:p>
            <w:pPr>
              <w:jc w:val="center"/>
              <w:ind w:right="387"/>
              <w:spacing w:after="0"/>
              <w:rPr>
                <w:sz w:val="20"/>
                <w:szCs w:val="20"/>
                <w:color w:val="auto"/>
              </w:rPr>
            </w:pPr>
            <w:r>
              <w:rPr>
                <w:rFonts w:ascii="Courier New" w:cs="Courier New" w:eastAsia="Courier New" w:hAnsi="Courier New"/>
                <w:sz w:val="15"/>
                <w:szCs w:val="15"/>
                <w:color w:val="auto"/>
                <w:w w:val="98"/>
              </w:rPr>
              <w:t>By Mail or Overnight Courier:</w:t>
            </w:r>
          </w:p>
        </w:tc>
        <w:tc>
          <w:tcPr>
            <w:tcW w:w="1280" w:type="dxa"/>
            <w:vAlign w:val="bottom"/>
          </w:tcPr>
          <w:p>
            <w:pPr>
              <w:spacing w:after="0"/>
              <w:rPr>
                <w:sz w:val="14"/>
                <w:szCs w:val="14"/>
                <w:color w:val="auto"/>
              </w:rPr>
            </w:pP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By Hand:</w:t>
            </w:r>
          </w:p>
        </w:tc>
        <w:tc>
          <w:tcPr>
            <w:tcW w:w="840" w:type="dxa"/>
            <w:vAlign w:val="bottom"/>
          </w:tcPr>
          <w:p>
            <w:pPr>
              <w:spacing w:after="0"/>
              <w:rPr>
                <w:sz w:val="14"/>
                <w:szCs w:val="14"/>
                <w:color w:val="auto"/>
              </w:rPr>
            </w:pP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State</w:t>
            </w: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rPr>
              <w:t>Bank and Trust Company</w:t>
            </w:r>
          </w:p>
        </w:tc>
        <w:tc>
          <w:tcPr>
            <w:tcW w:w="128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w w:val="99"/>
              </w:rPr>
              <w:t>Chemical Bank</w:t>
            </w:r>
          </w:p>
        </w:tc>
        <w:tc>
          <w:tcPr>
            <w:tcW w:w="840" w:type="dxa"/>
            <w:vAlign w:val="bottom"/>
          </w:tcPr>
          <w:p>
            <w:pPr>
              <w:spacing w:after="0"/>
              <w:rPr>
                <w:sz w:val="14"/>
                <w:szCs w:val="14"/>
                <w:color w:val="auto"/>
              </w:rPr>
            </w:pPr>
          </w:p>
        </w:tc>
      </w:tr>
      <w:tr>
        <w:trPr>
          <w:trHeight w:val="170"/>
        </w:trPr>
        <w:tc>
          <w:tcPr>
            <w:tcW w:w="3740" w:type="dxa"/>
            <w:vAlign w:val="bottom"/>
            <w:gridSpan w:val="2"/>
          </w:tcPr>
          <w:p>
            <w:pPr>
              <w:jc w:val="center"/>
              <w:ind w:right="407"/>
              <w:spacing w:after="0"/>
              <w:rPr>
                <w:sz w:val="20"/>
                <w:szCs w:val="20"/>
                <w:color w:val="auto"/>
              </w:rPr>
            </w:pPr>
            <w:r>
              <w:rPr>
                <w:rFonts w:ascii="Courier New" w:cs="Courier New" w:eastAsia="Courier New" w:hAnsi="Courier New"/>
                <w:sz w:val="15"/>
                <w:szCs w:val="15"/>
                <w:color w:val="auto"/>
                <w:w w:val="97"/>
              </w:rPr>
              <w:t>Corporate Trust Department, 4th Floor</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A/C State</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w w:val="99"/>
              </w:rPr>
              <w:t>Street Bank &amp;</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Trust Co.</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Two</w:t>
            </w: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rPr>
              <w:t>International Plaza</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Ground</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w w:val="99"/>
              </w:rPr>
              <w:t>Floor/Receive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Window</w:t>
            </w:r>
          </w:p>
        </w:tc>
      </w:tr>
      <w:tr>
        <w:trPr>
          <w:trHeight w:val="170"/>
        </w:trPr>
        <w:tc>
          <w:tcPr>
            <w:tcW w:w="920" w:type="dxa"/>
            <w:vAlign w:val="bottom"/>
          </w:tcPr>
          <w:p>
            <w:pPr>
              <w:spacing w:after="0"/>
              <w:rPr>
                <w:sz w:val="14"/>
                <w:szCs w:val="14"/>
                <w:color w:val="auto"/>
              </w:rPr>
            </w:pPr>
          </w:p>
        </w:tc>
        <w:tc>
          <w:tcPr>
            <w:tcW w:w="2820" w:type="dxa"/>
            <w:vAlign w:val="bottom"/>
          </w:tcPr>
          <w:p>
            <w:pPr>
              <w:ind w:left="60"/>
              <w:spacing w:after="0"/>
              <w:rPr>
                <w:sz w:val="20"/>
                <w:szCs w:val="20"/>
                <w:color w:val="auto"/>
              </w:rPr>
            </w:pPr>
            <w:r>
              <w:rPr>
                <w:rFonts w:ascii="Courier New" w:cs="Courier New" w:eastAsia="Courier New" w:hAnsi="Courier New"/>
                <w:sz w:val="15"/>
                <w:szCs w:val="15"/>
                <w:color w:val="auto"/>
              </w:rPr>
              <w:t>Boston, MA 02110</w:t>
            </w:r>
          </w:p>
        </w:tc>
        <w:tc>
          <w:tcPr>
            <w:tcW w:w="1280" w:type="dxa"/>
            <w:vAlign w:val="bottom"/>
          </w:tcPr>
          <w:p>
            <w:pPr>
              <w:spacing w:after="0"/>
              <w:rPr>
                <w:sz w:val="14"/>
                <w:szCs w:val="14"/>
                <w:color w:val="auto"/>
              </w:rPr>
            </w:pPr>
          </w:p>
        </w:tc>
        <w:tc>
          <w:tcPr>
            <w:tcW w:w="2120" w:type="dxa"/>
            <w:vAlign w:val="bottom"/>
            <w:gridSpan w:val="2"/>
          </w:tcPr>
          <w:p>
            <w:pPr>
              <w:jc w:val="center"/>
              <w:ind w:right="627"/>
              <w:spacing w:after="0"/>
              <w:rPr>
                <w:sz w:val="20"/>
                <w:szCs w:val="20"/>
                <w:color w:val="auto"/>
              </w:rPr>
            </w:pPr>
            <w:r>
              <w:rPr>
                <w:rFonts w:ascii="Courier New" w:cs="Courier New" w:eastAsia="Courier New" w:hAnsi="Courier New"/>
                <w:sz w:val="15"/>
                <w:szCs w:val="15"/>
                <w:color w:val="auto"/>
                <w:w w:val="98"/>
              </w:rPr>
              <w:t>4 New York Plaza</w:t>
            </w:r>
          </w:p>
        </w:tc>
      </w:tr>
      <w:tr>
        <w:trPr>
          <w:trHeight w:val="170"/>
        </w:trPr>
        <w:tc>
          <w:tcPr>
            <w:tcW w:w="9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400" w:type="dxa"/>
            <w:vAlign w:val="bottom"/>
            <w:gridSpan w:val="3"/>
          </w:tcPr>
          <w:p>
            <w:pPr>
              <w:jc w:val="center"/>
              <w:ind w:left="507"/>
              <w:spacing w:after="0"/>
              <w:rPr>
                <w:sz w:val="20"/>
                <w:szCs w:val="20"/>
                <w:color w:val="auto"/>
              </w:rPr>
            </w:pPr>
            <w:r>
              <w:rPr>
                <w:rFonts w:ascii="Courier New" w:cs="Courier New" w:eastAsia="Courier New" w:hAnsi="Courier New"/>
                <w:sz w:val="15"/>
                <w:szCs w:val="15"/>
                <w:color w:val="auto"/>
                <w:w w:val="97"/>
              </w:rPr>
              <w:t>New York, NY 10004</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For the convenience of holders of Debentures, a form of Letter of Transmittal, which may be used for forwarding Debentures for conversion or for redemption by the Company, has been mailed to each record holder of Debentures and to nominees for holders of Debentures to be forwarded to each holder with a copy of this notice, together with a copy of a Prospectus relating to Common Stock issuable by the Company to Sanders Morris Mundy Inc., as standby purchaser in respect of Debentures not converted by the holders thereof into shares of Common Stock on or before December 1, 1995. Additional copies of the form of Letter of Transmittal and the Prospectus may be obtained from the Company, 5400 LBJ Freeway, Suite 300 -- Tower One, Dallas, Texas 75240, Attn: Ms. Kay Stockler, (214) 383-7900.</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LAST REPORTED SALE PRICE OF THE COMMON STOCK ON OCTOBER 30, 1995, WAS</w:t>
      </w:r>
    </w:p>
    <w:p>
      <w:pPr>
        <w:spacing w:after="0"/>
        <w:rPr>
          <w:sz w:val="20"/>
          <w:szCs w:val="20"/>
          <w:color w:val="auto"/>
        </w:rPr>
      </w:pPr>
      <w:r>
        <w:rPr>
          <w:rFonts w:ascii="Courier New" w:cs="Courier New" w:eastAsia="Courier New" w:hAnsi="Courier New"/>
          <w:sz w:val="15"/>
          <w:szCs w:val="15"/>
          <w:color w:val="auto"/>
        </w:rPr>
        <w:t>$20.75 PER SHARE. AT SUCH LAST REPORTED SALE PRICE PER SHARE, THE HOLDER OF</w:t>
      </w:r>
    </w:p>
    <w:p>
      <w:pPr>
        <w:spacing w:after="0"/>
        <w:rPr>
          <w:sz w:val="20"/>
          <w:szCs w:val="20"/>
          <w:color w:val="auto"/>
        </w:rPr>
      </w:pPr>
      <w:r>
        <w:rPr>
          <w:rFonts w:ascii="Courier New" w:cs="Courier New" w:eastAsia="Courier New" w:hAnsi="Courier New"/>
          <w:sz w:val="15"/>
          <w:szCs w:val="15"/>
          <w:color w:val="auto"/>
        </w:rPr>
        <w:t>$1,000 PRINCIPAL AMOUNT OF DEBENTURES WOULD RECEIVE, UPON CONVERSION, 75 SHARES</w:t>
      </w:r>
    </w:p>
    <w:p>
      <w:pPr>
        <w:spacing w:after="0" w:line="238" w:lineRule="auto"/>
        <w:rPr>
          <w:sz w:val="20"/>
          <w:szCs w:val="20"/>
          <w:color w:val="auto"/>
        </w:rPr>
      </w:pPr>
      <w:r>
        <w:rPr>
          <w:rFonts w:ascii="Courier New" w:cs="Courier New" w:eastAsia="Courier New" w:hAnsi="Courier New"/>
          <w:sz w:val="15"/>
          <w:szCs w:val="15"/>
          <w:color w:val="auto"/>
        </w:rPr>
        <w:t>OF COMMON STOCK AND CASH IN LIEU OF A FRACTIONAL SHARE HAVING AN AGGREGATE</w:t>
      </w:r>
    </w:p>
    <w:p>
      <w:pPr>
        <w:spacing w:after="0"/>
        <w:rPr>
          <w:sz w:val="20"/>
          <w:szCs w:val="20"/>
          <w:color w:val="auto"/>
        </w:rPr>
      </w:pPr>
      <w:r>
        <w:rPr>
          <w:rFonts w:ascii="Courier New" w:cs="Courier New" w:eastAsia="Courier New" w:hAnsi="Courier New"/>
          <w:sz w:val="15"/>
          <w:szCs w:val="15"/>
          <w:color w:val="auto"/>
        </w:rPr>
        <w:t>MARKET VALUE OF APPROXIMATELY $1,566.03. SUCH VALUE IS SUBJECT TO CHANGE</w:t>
      </w:r>
    </w:p>
    <w:p>
      <w:pPr>
        <w:spacing w:after="0"/>
        <w:rPr>
          <w:sz w:val="20"/>
          <w:szCs w:val="20"/>
          <w:color w:val="auto"/>
        </w:rPr>
      </w:pPr>
      <w:r>
        <w:rPr>
          <w:rFonts w:ascii="Courier New" w:cs="Courier New" w:eastAsia="Courier New" w:hAnsi="Courier New"/>
          <w:sz w:val="15"/>
          <w:szCs w:val="15"/>
          <w:color w:val="auto"/>
        </w:rPr>
        <w:t>DEPENDING ON CHANGES IN THE MARKET PRICE OF THE COMMON STOCK. SO LONG AS THE</w:t>
      </w:r>
    </w:p>
    <w:p>
      <w:pPr>
        <w:spacing w:after="0" w:line="238" w:lineRule="auto"/>
        <w:rPr>
          <w:sz w:val="20"/>
          <w:szCs w:val="20"/>
          <w:color w:val="auto"/>
        </w:rPr>
      </w:pPr>
      <w:r>
        <w:rPr>
          <w:rFonts w:ascii="Courier New" w:cs="Courier New" w:eastAsia="Courier New" w:hAnsi="Courier New"/>
          <w:sz w:val="15"/>
          <w:szCs w:val="15"/>
          <w:color w:val="auto"/>
        </w:rPr>
        <w:t>MARKET PRICE OF THE COMMON STOCK IS AT LEAST $14.18 PER SHARE, HOLDERS OF</w:t>
      </w:r>
    </w:p>
    <w:p>
      <w:pPr>
        <w:spacing w:after="0"/>
        <w:rPr>
          <w:sz w:val="20"/>
          <w:szCs w:val="20"/>
          <w:color w:val="auto"/>
        </w:rPr>
      </w:pPr>
      <w:r>
        <w:rPr>
          <w:rFonts w:ascii="Courier New" w:cs="Courier New" w:eastAsia="Courier New" w:hAnsi="Courier New"/>
          <w:sz w:val="15"/>
          <w:szCs w:val="15"/>
          <w:color w:val="auto"/>
        </w:rPr>
        <w:t>DEBENTURES WHO CONVERT THEIR DEBENTURES INTO COMMON STOCK WILL RECEIVE COMMON</w:t>
      </w:r>
    </w:p>
    <w:p>
      <w:pPr>
        <w:spacing w:after="0"/>
        <w:rPr>
          <w:sz w:val="20"/>
          <w:szCs w:val="20"/>
          <w:color w:val="auto"/>
        </w:rPr>
      </w:pPr>
      <w:r>
        <w:rPr>
          <w:rFonts w:ascii="Courier New" w:cs="Courier New" w:eastAsia="Courier New" w:hAnsi="Courier New"/>
          <w:sz w:val="15"/>
          <w:szCs w:val="15"/>
          <w:color w:val="auto"/>
        </w:rPr>
        <w:t>STOCK HAVING A GREATER MARKET VALUE (WITHOUT TAKING INTO CONSIDERATION SALES</w:t>
      </w:r>
    </w:p>
    <w:p>
      <w:pPr>
        <w:spacing w:after="0"/>
        <w:rPr>
          <w:sz w:val="20"/>
          <w:szCs w:val="20"/>
          <w:color w:val="auto"/>
        </w:rPr>
      </w:pPr>
      <w:r>
        <w:rPr>
          <w:rFonts w:ascii="Courier New" w:cs="Courier New" w:eastAsia="Courier New" w:hAnsi="Courier New"/>
          <w:sz w:val="15"/>
          <w:szCs w:val="15"/>
          <w:color w:val="auto"/>
        </w:rPr>
        <w:t>EXPENSE) THAN THE CASH WHICH THEY WOULD RECEIVE UPON REDEMPTION.</w:t>
      </w:r>
    </w:p>
    <w:p>
      <w:pPr>
        <w:spacing w:after="0" w:line="174" w:lineRule="exact"/>
        <w:rPr>
          <w:sz w:val="20"/>
          <w:szCs w:val="20"/>
          <w:color w:val="auto"/>
        </w:rPr>
      </w:pPr>
    </w:p>
    <w:p>
      <w:pPr>
        <w:ind w:right="3879" w:firstLine="441"/>
        <w:spacing w:after="0" w:line="235" w:lineRule="auto"/>
        <w:rPr>
          <w:sz w:val="20"/>
          <w:szCs w:val="20"/>
          <w:color w:val="auto"/>
        </w:rPr>
      </w:pPr>
      <w:r>
        <w:rPr>
          <w:rFonts w:ascii="Courier New" w:cs="Courier New" w:eastAsia="Courier New" w:hAnsi="Courier New"/>
          <w:sz w:val="15"/>
          <w:szCs w:val="15"/>
          <w:color w:val="auto"/>
        </w:rPr>
        <w:t>Please be sure to read and follow the instructions on the Letter of Transmittal.</w:t>
      </w:r>
    </w:p>
    <w:p>
      <w:pPr>
        <w:spacing w:after="0" w:line="176"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If there are any questions concerning this matter, please contact either State Street Bank and Trust Company (617) 664-5419 or USA Waste Services, Inc. at (214) 383-7900.</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3860"/>
        <w:spacing w:after="0"/>
        <w:tabs>
          <w:tab w:leader="none" w:pos="4380" w:val="left"/>
        </w:tabs>
        <w:rPr>
          <w:sz w:val="20"/>
          <w:szCs w:val="20"/>
          <w:color w:val="auto"/>
        </w:rPr>
      </w:pPr>
      <w:r>
        <w:rPr>
          <w:rFonts w:ascii="Courier New" w:cs="Courier New" w:eastAsia="Courier New" w:hAnsi="Courier New"/>
          <w:sz w:val="15"/>
          <w:szCs w:val="15"/>
          <w:color w:val="auto"/>
        </w:rPr>
        <w:t>By:</w:t>
        <w:tab/>
        <w:t>JOHN E. DRURY,</w:t>
      </w:r>
    </w:p>
    <w:p>
      <w:pPr>
        <w:ind w:left="4140"/>
        <w:spacing w:after="0"/>
        <w:rPr>
          <w:sz w:val="20"/>
          <w:szCs w:val="20"/>
          <w:color w:val="auto"/>
        </w:rPr>
      </w:pPr>
      <w:r>
        <w:rPr>
          <w:rFonts w:ascii="Courier New" w:cs="Courier New" w:eastAsia="Courier New" w:hAnsi="Courier New"/>
          <w:sz w:val="15"/>
          <w:szCs w:val="15"/>
          <w:color w:val="auto"/>
        </w:rPr>
        <w:t>Chairman of the Board and Chief</w:t>
      </w:r>
    </w:p>
    <w:p>
      <w:pPr>
        <w:ind w:left="4400"/>
        <w:spacing w:after="0"/>
        <w:rPr>
          <w:sz w:val="20"/>
          <w:szCs w:val="20"/>
          <w:color w:val="auto"/>
        </w:rPr>
      </w:pPr>
      <w:r>
        <w:rPr>
          <w:rFonts w:ascii="Courier New" w:cs="Courier New" w:eastAsia="Courier New" w:hAnsi="Courier New"/>
          <w:sz w:val="15"/>
          <w:szCs w:val="15"/>
          <w:color w:val="auto"/>
        </w:rPr>
        <w:t>Executive Officer</w:t>
      </w:r>
    </w:p>
    <w:sectPr>
      <w:pgSz w:w="11900" w:h="16838" w:orient="portrait"/>
      <w:cols w:equalWidth="0" w:num="1">
        <w:col w:w="10219"/>
      </w:cols>
      <w:pgMar w:left="240" w:top="2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2"/>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lvl w:ilvl="1">
      <w:lvlJc w:val="left"/>
      <w:lvlText w:val="(%2)"/>
      <w:numFmt w:val="lowerRoman"/>
      <w:start w:val="2"/>
    </w:lvl>
  </w:abstractNum>
  <w:abstractNum w:abstractNumId="10">
    <w:nsid w:val="614FD4A1"/>
    <w:multiLevelType w:val="hybridMultilevel"/>
    <w:lvl w:ilvl="0">
      <w:lvlJc w:val="left"/>
      <w:lvlText w:val="(%1)"/>
      <w:numFmt w:val="lowerRoman"/>
      <w:start w:val="3"/>
    </w:lvl>
  </w:abstractNum>
  <w:abstractNum w:abstractNumId="11">
    <w:nsid w:val="419AC241"/>
    <w:multiLevelType w:val="hybridMultilevel"/>
    <w:lvl w:ilvl="0">
      <w:lvlJc w:val="left"/>
      <w:lvlText w:val="(%1)"/>
      <w:numFmt w:val="lowerRoman"/>
      <w:start w:val="3"/>
    </w:lvl>
  </w:abstractNum>
  <w:abstractNum w:abstractNumId="12">
    <w:nsid w:val="5577F8E1"/>
    <w:multiLevelType w:val="hybridMultilevel"/>
    <w:lvl w:ilvl="0">
      <w:lvlJc w:val="left"/>
      <w:lvlText w:val="%1."/>
      <w:numFmt w:val="decimal"/>
      <w:start w:val="145"/>
    </w:lvl>
  </w:abstractNum>
  <w:abstractNum w:abstractNumId="13">
    <w:nsid w:val="440BADFC"/>
    <w:multiLevelType w:val="hybridMultilevel"/>
    <w:lvl w:ilvl="0">
      <w:lvlJc w:val="left"/>
      <w:lvlText w:val="(%1)"/>
      <w:numFmt w:val="lowerLetter"/>
      <w:start w:val="2"/>
    </w:lvl>
  </w:abstractNum>
  <w:abstractNum w:abstractNumId="14">
    <w:nsid w:val="5072367"/>
    <w:multiLevelType w:val="hybridMultilevel"/>
    <w:lvl w:ilvl="0">
      <w:lvlJc w:val="left"/>
      <w:lvlText w:val="(%1)"/>
      <w:numFmt w:val="lowerLetter"/>
      <w:start w:val="7"/>
    </w:lvl>
  </w:abstractNum>
  <w:abstractNum w:abstractNumId="15">
    <w:nsid w:val="3804823E"/>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6">
    <w:nsid w:val="77465F01"/>
    <w:multiLevelType w:val="hybridMultilevel"/>
    <w:lvl w:ilvl="0">
      <w:lvlJc w:val="left"/>
      <w:lvlText w:val="%1"/>
      <w:numFmt w:val="lowerLetter"/>
      <w:start w:val="1"/>
    </w:lvl>
    <w:lvl w:ilvl="1">
      <w:lvlJc w:val="left"/>
      <w:lvlText w:val="(%2)"/>
      <w:numFmt w:val="decimal"/>
      <w:start w:val="2"/>
    </w:lvl>
  </w:abstractNum>
  <w:abstractNum w:abstractNumId="17">
    <w:nsid w:val="7724C67E"/>
    <w:multiLevelType w:val="hybridMultilevel"/>
    <w:lvl w:ilvl="0">
      <w:lvlJc w:val="left"/>
      <w:lvlText w:val="(%1)"/>
      <w:numFmt w:val="lowerLetter"/>
      <w:start w:val="2"/>
    </w:lvl>
    <w:lvl w:ilvl="1">
      <w:lvlJc w:val="left"/>
      <w:lvlText w:val="%2"/>
      <w:numFmt w:val="decimal"/>
      <w:start w:val="1"/>
    </w:lvl>
  </w:abstractNum>
  <w:abstractNum w:abstractNumId="18">
    <w:nsid w:val="5C482A97"/>
    <w:multiLevelType w:val="hybridMultilevel"/>
    <w:lvl w:ilvl="0">
      <w:lvlJc w:val="left"/>
      <w:lvlText w:val="(%1)"/>
      <w:numFmt w:val="lowerLetter"/>
      <w:start w:val="5"/>
    </w:lvl>
  </w:abstractNum>
  <w:abstractNum w:abstractNumId="19">
    <w:nsid w:val="2463B9EA"/>
    <w:multiLevelType w:val="hybridMultilevel"/>
    <w:lvl w:ilvl="0">
      <w:lvlJc w:val="left"/>
      <w:lvlText w:val="(%1)"/>
      <w:numFmt w:val="lowerLetter"/>
      <w:start w:val="8"/>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lowerLetter"/>
      <w:start w:val="1"/>
    </w:lvl>
  </w:abstractNum>
  <w:abstractNum w:abstractNumId="27">
    <w:nsid w:val="6A2342EC"/>
    <w:multiLevelType w:val="hybridMultilevel"/>
    <w:lvl w:ilvl="0">
      <w:lvlJc w:val="left"/>
      <w:lvlText w:val="(%1)"/>
      <w:numFmt w:val="lowerLetter"/>
      <w:start w:val="4"/>
    </w:lvl>
  </w:abstractNum>
  <w:abstractNum w:abstractNumId="28">
    <w:nsid w:val="2A487CB0"/>
    <w:multiLevelType w:val="hybridMultilevel"/>
    <w:lvl w:ilvl="0">
      <w:lvlJc w:val="left"/>
      <w:lvlText w:val="(%1)"/>
      <w:numFmt w:val="lowerLetter"/>
      <w:start w:val="8"/>
    </w:lvl>
  </w:abstractNum>
  <w:abstractNum w:abstractNumId="29">
    <w:nsid w:val="1D4ED43B"/>
    <w:multiLevelType w:val="hybridMultilevel"/>
    <w:lvl w:ilvl="0">
      <w:lvlJc w:val="left"/>
      <w:lvlText w:val="(%1)"/>
      <w:numFmt w:val="lowerLetter"/>
      <w:start w:val="11"/>
    </w:lvl>
  </w:abstractNum>
  <w:abstractNum w:abstractNumId="30">
    <w:nsid w:val="725A06FB"/>
    <w:multiLevelType w:val="hybridMultilevel"/>
    <w:lvl w:ilvl="0">
      <w:lvlJc w:val="left"/>
      <w:lvlText w:val="%1."/>
      <w:numFmt w:val="decimal"/>
      <w:start w:val="2"/>
    </w:lvl>
  </w:abstractNum>
  <w:abstractNum w:abstractNumId="31">
    <w:nsid w:val="2CD89A32"/>
    <w:multiLevelType w:val="hybridMultilevel"/>
    <w:lvl w:ilvl="0">
      <w:lvlJc w:val="left"/>
      <w:lvlText w:val="(%1)"/>
      <w:numFmt w:val="lowerLetter"/>
      <w:start w:val="2"/>
    </w:lvl>
  </w:abstractNum>
  <w:abstractNum w:abstractNumId="32">
    <w:nsid w:val="57E4CCAF"/>
    <w:multiLevelType w:val="hybridMultilevel"/>
    <w:lvl w:ilvl="0">
      <w:lvlJc w:val="left"/>
      <w:lvlText w:val="%1"/>
      <w:numFmt w:val="lowerLetter"/>
      <w:start w:val="1"/>
    </w:lvl>
    <w:lvl w:ilvl="1">
      <w:lvlJc w:val="left"/>
      <w:lvlText w:val="(%2)"/>
      <w:numFmt w:val="lowerLetter"/>
      <w:start w:val="3"/>
    </w:lvl>
  </w:abstractNum>
  <w:abstractNum w:abstractNumId="33">
    <w:nsid w:val="7A6D8D3C"/>
    <w:multiLevelType w:val="hybridMultilevel"/>
    <w:lvl w:ilvl="0">
      <w:lvlJc w:val="left"/>
      <w:lvlText w:val="(%1)"/>
      <w:numFmt w:val="lowerLetter"/>
      <w:start w:val="9"/>
    </w:lvl>
    <w:lvl w:ilvl="1">
      <w:lvlJc w:val="left"/>
      <w:lvlText w:val="(%2)"/>
      <w:numFmt w:val="lowerLetter"/>
      <w:start w:val="5"/>
    </w:lvl>
  </w:abstractNum>
  <w:abstractNum w:abstractNumId="34">
    <w:nsid w:val="4B588F54"/>
    <w:multiLevelType w:val="hybridMultilevel"/>
    <w:lvl w:ilvl="0">
      <w:lvlJc w:val="left"/>
      <w:lvlText w:val="(%1)"/>
      <w:numFmt w:val="lowerLetter"/>
      <w:start w:val="6"/>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1)"/>
      <w:numFmt w:val="lowerLetter"/>
      <w:start w:val="4"/>
    </w:lvl>
  </w:abstractNum>
  <w:abstractNum w:abstractNumId="37">
    <w:nsid w:val="38437FDB"/>
    <w:multiLevelType w:val="hybridMultilevel"/>
    <w:lvl w:ilvl="0">
      <w:lvlJc w:val="left"/>
      <w:lvlText w:val="(%1)"/>
      <w:numFmt w:val="lowerLetter"/>
      <w:start w:val="10"/>
    </w:lvl>
  </w:abstractNum>
  <w:abstractNum w:abstractNumId="38">
    <w:nsid w:val="7644A45C"/>
    <w:multiLevelType w:val="hybridMultilevel"/>
    <w:lvl w:ilvl="0">
      <w:lvlJc w:val="left"/>
      <w:lvlText w:val="%1."/>
      <w:numFmt w:val="decimal"/>
      <w:start w:val="4"/>
    </w:lvl>
    <w:lvl w:ilvl="1">
      <w:lvlJc w:val="left"/>
      <w:lvlText w:val="(%2)"/>
      <w:numFmt w:val="lowerLetter"/>
      <w:start w:val="1"/>
    </w:lvl>
  </w:abstractNum>
  <w:abstractNum w:abstractNumId="39">
    <w:nsid w:val="32FFF902"/>
    <w:multiLevelType w:val="hybridMultilevel"/>
    <w:lvl w:ilvl="0">
      <w:lvlJc w:val="left"/>
      <w:lvlText w:val="(%1)"/>
      <w:numFmt w:val="lowerLetter"/>
      <w:start w:val="2"/>
    </w:lvl>
    <w:lvl w:ilvl="1">
      <w:lvlJc w:val="left"/>
      <w:lvlText w:val="(%2)"/>
      <w:numFmt w:val="lowerRoman"/>
      <w:start w:val="1"/>
    </w:lvl>
  </w:abstractNum>
  <w:abstractNum w:abstractNumId="40">
    <w:nsid w:val="684A481A"/>
    <w:multiLevelType w:val="hybridMultilevel"/>
    <w:lvl w:ilvl="0">
      <w:lvlJc w:val="left"/>
      <w:lvlText w:val="(%1)"/>
      <w:numFmt w:val="lowerRoman"/>
      <w:start w:val="5"/>
    </w:lvl>
  </w:abstractNum>
  <w:abstractNum w:abstractNumId="41">
    <w:nsid w:val="579478FE"/>
    <w:multiLevelType w:val="hybridMultilevel"/>
    <w:lvl w:ilvl="0">
      <w:lvlJc w:val="left"/>
      <w:lvlText w:val="(%1)"/>
      <w:numFmt w:val="lowerRoman"/>
      <w:start w:val="11"/>
    </w:lvl>
  </w:abstractNum>
  <w:abstractNum w:abstractNumId="42">
    <w:nsid w:val="749ABB43"/>
    <w:multiLevelType w:val="hybridMultilevel"/>
    <w:lvl w:ilvl="0">
      <w:lvlJc w:val="left"/>
      <w:lvlText w:val="%1"/>
      <w:numFmt w:val="lowerLetter"/>
      <w:start w:val="1"/>
    </w:lvl>
    <w:lvl w:ilvl="1">
      <w:lvlJc w:val="left"/>
      <w:lvlText w:val="(%2)"/>
      <w:numFmt w:val="lowerLetter"/>
      <w:start w:val="4"/>
    </w:lvl>
  </w:abstractNum>
  <w:abstractNum w:abstractNumId="43">
    <w:nsid w:val="3DC240FB"/>
    <w:multiLevelType w:val="hybridMultilevel"/>
    <w:lvl w:ilvl="0">
      <w:lvlJc w:val="left"/>
      <w:lvlText w:val="(%1)"/>
      <w:numFmt w:val="lowerLetter"/>
      <w:start w:val="35"/>
    </w:lvl>
    <w:lvl w:ilvl="1">
      <w:lvlJc w:val="left"/>
      <w:lvlText w:val="%2"/>
      <w:numFmt w:val="lowerLetter"/>
      <w:start w:val="1"/>
    </w:lvl>
  </w:abstractNum>
  <w:abstractNum w:abstractNumId="44">
    <w:nsid w:val="1BA026FA"/>
    <w:multiLevelType w:val="hybridMultilevel"/>
    <w:lvl w:ilvl="0">
      <w:lvlJc w:val="left"/>
      <w:lvlText w:val="%1"/>
      <w:numFmt w:val="lowerLetter"/>
      <w:start w:val="1"/>
    </w:lvl>
    <w:lvl w:ilvl="1">
      <w:lvlJc w:val="left"/>
      <w:lvlText w:val="(%2)"/>
      <w:numFmt w:val="lowerLetter"/>
      <w:start w:val="6"/>
    </w:lvl>
  </w:abstractNum>
  <w:abstractNum w:abstractNumId="45">
    <w:nsid w:val="79A1DEAA"/>
    <w:multiLevelType w:val="hybridMultilevel"/>
    <w:lvl w:ilvl="0">
      <w:lvlJc w:val="left"/>
      <w:lvlText w:val="(%1)"/>
      <w:numFmt w:val="lowerLetter"/>
      <w:start w:val="61"/>
    </w:lvl>
    <w:lvl w:ilvl="1">
      <w:lvlJc w:val="left"/>
      <w:lvlText w:val="(%2)"/>
      <w:numFmt w:val="lowerLetter"/>
      <w:start w:val="8"/>
    </w:lvl>
  </w:abstractNum>
  <w:abstractNum w:abstractNumId="46">
    <w:nsid w:val="75C6C33A"/>
    <w:multiLevelType w:val="hybridMultilevel"/>
    <w:lvl w:ilvl="0">
      <w:lvlJc w:val="left"/>
      <w:lvlText w:val="%1."/>
      <w:numFmt w:val="decimal"/>
      <w:start w:val="5"/>
    </w:lvl>
  </w:abstractNum>
  <w:abstractNum w:abstractNumId="47">
    <w:nsid w:val="12E685FB"/>
    <w:multiLevelType w:val="hybridMultilevel"/>
    <w:lvl w:ilvl="0">
      <w:lvlJc w:val="left"/>
      <w:lvlText w:val="(%1)"/>
      <w:numFmt w:val="lowerLetter"/>
      <w:start w:val="2"/>
    </w:lvl>
  </w:abstractNum>
  <w:abstractNum w:abstractNumId="48">
    <w:nsid w:val="70C6A529"/>
    <w:multiLevelType w:val="hybridMultilevel"/>
    <w:lvl w:ilvl="0">
      <w:lvlJc w:val="left"/>
      <w:lvlText w:val="%1"/>
      <w:numFmt w:val="lowerLetter"/>
      <w:start w:val="1"/>
    </w:lvl>
    <w:lvl w:ilvl="1">
      <w:lvlJc w:val="left"/>
      <w:lvlText w:val="(%2)"/>
      <w:numFmt w:val="lowerLetter"/>
      <w:start w:val="3"/>
    </w:lvl>
  </w:abstractNum>
  <w:abstractNum w:abstractNumId="49">
    <w:nsid w:val="520EEDD1"/>
    <w:multiLevelType w:val="hybridMultilevel"/>
    <w:lvl w:ilvl="0">
      <w:lvlJc w:val="left"/>
      <w:lvlText w:val="(%1)"/>
      <w:numFmt w:val="lowerLetter"/>
      <w:start w:val="1"/>
    </w:lvl>
    <w:lvl w:ilvl="1">
      <w:lvlJc w:val="left"/>
      <w:lvlText w:val="(%2)"/>
      <w:numFmt w:val="lowerLetter"/>
      <w:start w:val="4"/>
    </w:lvl>
  </w:abstractNum>
  <w:abstractNum w:abstractNumId="50">
    <w:nsid w:val="374A3FE6"/>
    <w:multiLevelType w:val="hybridMultilevel"/>
    <w:lvl w:ilvl="0">
      <w:lvlJc w:val="left"/>
      <w:lvlText w:val="(%1)"/>
      <w:numFmt w:val="lowerLetter"/>
      <w:start w:val="5"/>
    </w:lvl>
  </w:abstractNum>
  <w:abstractNum w:abstractNumId="51">
    <w:nsid w:val="4F4EF005"/>
    <w:multiLevelType w:val="hybridMultilevel"/>
    <w:lvl w:ilvl="0">
      <w:lvlJc w:val="left"/>
      <w:lvlText w:val="%1."/>
      <w:numFmt w:val="decimal"/>
      <w:start w:val="6"/>
    </w:lvl>
  </w:abstractNum>
  <w:abstractNum w:abstractNumId="52">
    <w:nsid w:val="23F9C13C"/>
    <w:multiLevelType w:val="hybridMultilevel"/>
    <w:lvl w:ilvl="0">
      <w:lvlJc w:val="left"/>
      <w:lvlText w:val="(%1)"/>
      <w:numFmt w:val="lowerLetter"/>
      <w:start w:val="2"/>
    </w:lvl>
  </w:abstractNum>
  <w:abstractNum w:abstractNumId="53">
    <w:nsid w:val="649BB77C"/>
    <w:multiLevelType w:val="hybridMultilevel"/>
    <w:lvl w:ilvl="0">
      <w:lvlJc w:val="left"/>
      <w:lvlText w:val="(%1)"/>
      <w:numFmt w:val="lowerLetter"/>
      <w:start w:val="4"/>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1)"/>
      <w:numFmt w:val="lowerRoman"/>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2019-12-20T04:55:56Z</dcterms:created>
  <dcterms:modified xsi:type="dcterms:W3CDTF">2019-12-20T04:55:56Z</dcterms:modified>
</cp:coreProperties>
</file>