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141" w:lineRule="exact"/>
        <w:rPr>
          <w:sz w:val="24"/>
          <w:szCs w:val="24"/>
          <w:color w:val="auto"/>
        </w:rPr>
      </w:pPr>
    </w:p>
    <w:p>
      <w:pPr>
        <w:jc w:val="center"/>
        <w:ind w:right="-20"/>
        <w:spacing w:after="0" w:line="368" w:lineRule="exact"/>
        <w:rPr>
          <w:sz w:val="20"/>
          <w:szCs w:val="20"/>
          <w:color w:val="auto"/>
        </w:rPr>
      </w:pPr>
      <w:r>
        <w:rPr>
          <w:rFonts w:ascii="Arial" w:cs="Arial" w:eastAsia="Arial" w:hAnsi="Arial"/>
          <w:sz w:val="32"/>
          <w:szCs w:val="32"/>
          <w:b w:val="1"/>
          <w:bCs w:val="1"/>
          <w:color w:val="auto"/>
        </w:rPr>
        <w:t>FORM 11</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5" w:lineRule="exact"/>
        <w:rPr>
          <w:sz w:val="24"/>
          <w:szCs w:val="24"/>
          <w:color w:val="auto"/>
        </w:rPr>
      </w:pPr>
    </w:p>
    <w:p>
      <w:pPr>
        <w:ind w:left="1280" w:right="1879" w:hanging="629"/>
        <w:spacing w:after="0" w:line="256" w:lineRule="auto"/>
        <w:tabs>
          <w:tab w:leader="none" w:pos="127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7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1280" w:right="79" w:hanging="629"/>
        <w:spacing w:after="0" w:line="256" w:lineRule="auto"/>
        <w:tabs>
          <w:tab w:leader="none" w:pos="127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72" w:lineRule="exact"/>
        <w:rPr>
          <w:sz w:val="24"/>
          <w:szCs w:val="24"/>
          <w:color w:val="auto"/>
        </w:rPr>
      </w:pPr>
    </w:p>
    <w:p>
      <w:pPr>
        <w:ind w:left="1300"/>
        <w:spacing w:after="0"/>
        <w:tabs>
          <w:tab w:leader="none" w:pos="4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-7620</wp:posOffset>
            </wp:positionV>
            <wp:extent cx="1238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205" w:lineRule="exact"/>
        <w:rPr>
          <w:sz w:val="24"/>
          <w:szCs w:val="24"/>
          <w:color w:val="auto"/>
        </w:rPr>
      </w:pPr>
    </w:p>
    <w:p>
      <w:pPr>
        <w:jc w:val="center"/>
        <w:ind w:right="-20"/>
        <w:spacing w:after="0" w:line="207" w:lineRule="exact"/>
        <w:rPr>
          <w:sz w:val="20"/>
          <w:szCs w:val="20"/>
          <w:color w:val="auto"/>
        </w:rPr>
      </w:pPr>
      <w:r>
        <w:rPr>
          <w:rFonts w:ascii="Arial" w:cs="Arial" w:eastAsia="Arial" w:hAnsi="Arial"/>
          <w:sz w:val="18"/>
          <w:szCs w:val="18"/>
          <w:b w:val="1"/>
          <w:bCs w:val="1"/>
          <w:color w:val="auto"/>
        </w:rPr>
        <w:t>Commission file number 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12154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WASTE MANAGEMENT RETIREMENT SAVINGS PLAN</w:t>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575437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1069340</wp:posOffset>
            </wp:positionV>
            <wp:extent cx="575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23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80" w:type="dxa"/>
            <w:vAlign w:val="bottom"/>
            <w:gridSpan w:val="1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880" w:type="dxa"/>
            <w:vAlign w:val="bottom"/>
          </w:tcPr>
          <w:p>
            <w:pPr>
              <w:spacing w:after="0"/>
              <w:rPr>
                <w:sz w:val="17"/>
                <w:szCs w:val="17"/>
                <w:color w:val="auto"/>
              </w:rPr>
            </w:pPr>
          </w:p>
        </w:tc>
      </w:tr>
      <w:tr>
        <w:trPr>
          <w:trHeight w:val="736"/>
        </w:trPr>
        <w:tc>
          <w:tcPr>
            <w:tcW w:w="140" w:type="dxa"/>
            <w:vAlign w:val="bottom"/>
            <w:tcBorders>
              <w:top w:val="single" w:sz="8" w:color="0563C1"/>
            </w:tcBorders>
          </w:tcPr>
          <w:p>
            <w:pPr>
              <w:spacing w:after="0"/>
              <w:rPr>
                <w:sz w:val="24"/>
                <w:szCs w:val="24"/>
                <w:color w:val="auto"/>
              </w:rPr>
            </w:pPr>
          </w:p>
        </w:tc>
        <w:tc>
          <w:tcPr>
            <w:tcW w:w="1140" w:type="dxa"/>
            <w:vAlign w:val="bottom"/>
            <w:tcBorders>
              <w:top w:val="single" w:sz="8" w:color="0563C1"/>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WASTE MANAGEMENT RETIREMENT SAVINGS PLAN</w:t>
            </w:r>
          </w:p>
        </w:tc>
        <w:tc>
          <w:tcPr>
            <w:tcW w:w="142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7"/>
              </w:rPr>
              <w:t>INDEX TO FINANCIAL STATEMENTS AND SUPPLEMENTAL SCHEDULE</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6"/>
        </w:trPr>
        <w:tc>
          <w:tcPr>
            <w:tcW w:w="81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Audited Financial Statements</w:t>
            </w:r>
          </w:p>
        </w:tc>
        <w:tc>
          <w:tcPr>
            <w:tcW w:w="396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r>
      <w:tr>
        <w:trPr>
          <w:trHeight w:val="392"/>
        </w:trPr>
        <w:tc>
          <w:tcPr>
            <w:tcW w:w="140" w:type="dxa"/>
            <w:vAlign w:val="bottom"/>
          </w:tcPr>
          <w:p>
            <w:pPr>
              <w:spacing w:after="0"/>
              <w:rPr>
                <w:sz w:val="24"/>
                <w:szCs w:val="24"/>
                <w:color w:val="auto"/>
              </w:rPr>
            </w:pPr>
          </w:p>
        </w:tc>
        <w:tc>
          <w:tcPr>
            <w:tcW w:w="804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2018 and 2017</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04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2018</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40" w:type="dxa"/>
            <w:vAlign w:val="bottom"/>
          </w:tcPr>
          <w:p>
            <w:pPr>
              <w:spacing w:after="0"/>
              <w:rPr>
                <w:sz w:val="17"/>
                <w:szCs w:val="17"/>
                <w:color w:val="auto"/>
              </w:rPr>
            </w:pPr>
          </w:p>
        </w:tc>
        <w:tc>
          <w:tcPr>
            <w:tcW w:w="70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98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4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8180" w:type="dxa"/>
            <w:vAlign w:val="bottom"/>
            <w:gridSpan w:val="12"/>
          </w:tcPr>
          <w:p>
            <w:pPr>
              <w:spacing w:after="0"/>
              <w:rPr>
                <w:sz w:val="20"/>
                <w:szCs w:val="20"/>
                <w:color w:val="auto"/>
              </w:rPr>
            </w:pPr>
            <w:r>
              <w:rPr>
                <w:rFonts w:ascii="Arial" w:cs="Arial" w:eastAsia="Arial" w:hAnsi="Arial"/>
                <w:sz w:val="18"/>
                <w:szCs w:val="18"/>
                <w:color w:val="auto"/>
              </w:rPr>
              <w:t>Supplemental Schedule</w:t>
            </w:r>
          </w:p>
        </w:tc>
        <w:tc>
          <w:tcPr>
            <w:tcW w:w="880" w:type="dxa"/>
            <w:vAlign w:val="bottom"/>
          </w:tcPr>
          <w:p>
            <w:pPr>
              <w:spacing w:after="0"/>
              <w:rPr>
                <w:sz w:val="24"/>
                <w:szCs w:val="24"/>
                <w:color w:val="auto"/>
              </w:rPr>
            </w:pPr>
          </w:p>
        </w:tc>
      </w:tr>
      <w:tr>
        <w:trPr>
          <w:trHeight w:val="392"/>
        </w:trPr>
        <w:tc>
          <w:tcPr>
            <w:tcW w:w="140" w:type="dxa"/>
            <w:vAlign w:val="bottom"/>
          </w:tcPr>
          <w:p>
            <w:pPr>
              <w:spacing w:after="0"/>
              <w:rPr>
                <w:sz w:val="24"/>
                <w:szCs w:val="24"/>
                <w:color w:val="auto"/>
              </w:rPr>
            </w:pPr>
          </w:p>
        </w:tc>
        <w:tc>
          <w:tcPr>
            <w:tcW w:w="8040" w:type="dxa"/>
            <w:vAlign w:val="bottom"/>
            <w:gridSpan w:val="1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H, Line 4(i) - Schedule of Assets (Held at End of Year)</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07"/>
        </w:trPr>
        <w:tc>
          <w:tcPr>
            <w:tcW w:w="140" w:type="dxa"/>
            <w:vAlign w:val="bottom"/>
            <w:tcBorders>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90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 Participants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(the Plan) as of December 31, 2018 and 2017, and the related statement of changes in net assets available for benefits for the year ended December 31, 2018, and the related notes and schedule (collectively referred to as the financial statements). In our opinion, the financial statements present fairly, in all material respects, the net assets available for benefits of the Plan as of December 31, 2018 and 2017, and the changes in net assets available for benefits for the year ended December 31, 2018,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Supplementary Information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supplementary information in the accompanying schedule of assets (held at end of year) as of December 31, 2018 has been subjected to audit procedures performed in conjunction with the audit of the Plan’s financial statements. The supplementary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supplementary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30,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INVESTMENTS: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 at fair value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1,961,647,448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2,044,574,761</w:t>
            </w:r>
          </w:p>
        </w:tc>
      </w:tr>
      <w:tr>
        <w:trPr>
          <w:trHeight w:val="216"/>
        </w:trPr>
        <w:tc>
          <w:tcPr>
            <w:tcW w:w="4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Investments at contract value</w:t>
            </w:r>
          </w:p>
        </w:tc>
        <w:tc>
          <w:tcPr>
            <w:tcW w:w="1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314,468,515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310,707,555</w:t>
            </w:r>
          </w:p>
        </w:tc>
      </w:tr>
      <w:tr>
        <w:trPr>
          <w:trHeight w:val="21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1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2,276,115,963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2,355,282,316</w:t>
            </w:r>
          </w:p>
        </w:tc>
      </w:tr>
      <w:tr>
        <w:trPr>
          <w:trHeight w:val="210"/>
        </w:trPr>
        <w:tc>
          <w:tcPr>
            <w:tcW w:w="4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Employee contributions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2,874,007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2,472,979</w:t>
            </w: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Employer contributions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1,872,488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1,607,899</w:t>
            </w: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Notes receivable from participants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75,642,812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70,337,814</w:t>
            </w: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Settlements pending</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w:t>
            </w:r>
          </w:p>
        </w:tc>
      </w:tr>
      <w:tr>
        <w:trPr>
          <w:trHeight w:val="216"/>
        </w:trPr>
        <w:tc>
          <w:tcPr>
            <w:tcW w:w="4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r>
      <w:tr>
        <w:trPr>
          <w:trHeight w:val="21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receivables</w:t>
            </w:r>
          </w:p>
        </w:tc>
        <w:tc>
          <w:tcPr>
            <w:tcW w:w="1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80,418,518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74,445,448</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2,356,534,481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2,429,727,764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80" w:type="dxa"/>
            <w:vAlign w:val="bottom"/>
            <w:tcBorders>
              <w:top w:val="single" w:sz="8" w:color="0563C1"/>
            </w:tcBorders>
          </w:tcPr>
          <w:p>
            <w:pPr>
              <w:spacing w:after="0"/>
              <w:rPr>
                <w:sz w:val="24"/>
                <w:szCs w:val="24"/>
                <w:color w:val="auto"/>
              </w:rPr>
            </w:pPr>
          </w:p>
        </w:tc>
        <w:tc>
          <w:tcPr>
            <w:tcW w:w="5900" w:type="dxa"/>
            <w:vAlign w:val="bottom"/>
          </w:tcPr>
          <w:p>
            <w:pPr>
              <w:jc w:val="center"/>
              <w:ind w:left="530"/>
              <w:spacing w:after="0"/>
              <w:rPr>
                <w:sz w:val="20"/>
                <w:szCs w:val="20"/>
                <w:color w:val="auto"/>
              </w:rPr>
            </w:pPr>
            <w:r>
              <w:rPr>
                <w:rFonts w:ascii="Arial" w:cs="Arial" w:eastAsia="Arial" w:hAnsi="Arial"/>
                <w:sz w:val="18"/>
                <w:szCs w:val="18"/>
                <w:color w:val="auto"/>
                <w:w w:val="88"/>
              </w:rPr>
              <w:t>Waste Management Retirement Savings Plan</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900" w:type="dxa"/>
            <w:vAlign w:val="bottom"/>
          </w:tcPr>
          <w:p>
            <w:pPr>
              <w:jc w:val="center"/>
              <w:ind w:left="51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900" w:type="dxa"/>
            <w:vAlign w:val="bottom"/>
          </w:tcPr>
          <w:p>
            <w:pPr>
              <w:jc w:val="center"/>
              <w:ind w:left="510"/>
              <w:spacing w:after="0"/>
              <w:rPr>
                <w:sz w:val="20"/>
                <w:szCs w:val="20"/>
                <w:color w:val="auto"/>
              </w:rPr>
            </w:pPr>
            <w:r>
              <w:rPr>
                <w:rFonts w:ascii="Arial" w:cs="Arial" w:eastAsia="Arial" w:hAnsi="Arial"/>
                <w:sz w:val="18"/>
                <w:szCs w:val="18"/>
                <w:color w:val="auto"/>
                <w:w w:val="89"/>
              </w:rPr>
              <w:t>Year Ended December 31, 2018</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120"/>
              <w:spacing w:after="0"/>
              <w:rPr>
                <w:sz w:val="20"/>
                <w:szCs w:val="20"/>
                <w:color w:val="auto"/>
              </w:rPr>
            </w:pPr>
            <w:r>
              <w:rPr>
                <w:rFonts w:ascii="Arial" w:cs="Arial" w:eastAsia="Arial" w:hAnsi="Arial"/>
                <w:sz w:val="18"/>
                <w:szCs w:val="18"/>
                <w:color w:val="auto"/>
              </w:rPr>
              <w:t>Contributions: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w:t>
            </w:r>
          </w:p>
        </w:tc>
        <w:tc>
          <w:tcPr>
            <w:tcW w:w="7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122,609,985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Employer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72,729,099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Rollover</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207,012,553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120"/>
              <w:spacing w:after="0"/>
              <w:rPr>
                <w:sz w:val="20"/>
                <w:szCs w:val="20"/>
                <w:color w:val="auto"/>
              </w:rPr>
            </w:pPr>
            <w:r>
              <w:rPr>
                <w:rFonts w:ascii="Arial" w:cs="Arial" w:eastAsia="Arial" w:hAnsi="Arial"/>
                <w:sz w:val="18"/>
                <w:szCs w:val="18"/>
                <w:color w:val="auto"/>
              </w:rPr>
              <w:t>Dividends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36,199,867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income on notes receivable from participants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income</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additions</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246,859,187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DEDUCTIONS FROM NET ASSETS AVAILABLE FOR BENEFITS: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120"/>
              <w:spacing w:after="0"/>
              <w:rPr>
                <w:sz w:val="20"/>
                <w:szCs w:val="20"/>
                <w:color w:val="auto"/>
              </w:rPr>
            </w:pPr>
            <w:r>
              <w:rPr>
                <w:rFonts w:ascii="Arial" w:cs="Arial" w:eastAsia="Arial" w:hAnsi="Arial"/>
                <w:sz w:val="18"/>
                <w:szCs w:val="18"/>
                <w:color w:val="auto"/>
              </w:rPr>
              <w:t>Benefits paid to participants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180,752,274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depreciation in Plan investments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137,602,548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Administrative expenses</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deductions</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320,052,470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(73,193,283)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Beginning of year</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2,429,727,764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End of year</w:t>
            </w: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2,356,534,481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is a defined contribution plan sponsored by Waste Management, Inc. (the “Company” or “WM”), and eligible affiliates (as defined in the Plan) (collectively “Waste Management”) for the benefit of eligible employees and their beneficiaries. The Plan is subject to the provisions of the Employee Retirement Income Security Act of 1974, as amended (“ERISA”).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Administrative Committee of the Waste Management Employee Benefit Plans (the “Administrative Committee”) has been named to serve as administrator and fiduciary of the Plan. Bank of America, N.A. (“Bank of America”) serves as trustee of the Plan pursuant to a Defined Contribution Plan Trust Agreement (the “Trust Agreement”) and Merrill Lynch, Pierce, Fenner &amp; Smith Incorporated (“BAML”) serves as the Plan’s third-party recordkeeper.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Employees (as defined by the Plan) are eligible to participate in the Plan following completion of a 90</w:t>
      </w:r>
      <w:r>
        <w:rPr>
          <w:rFonts w:ascii="MS PGothic" w:cs="MS PGothic" w:eastAsia="MS PGothic" w:hAnsi="MS PGothic"/>
          <w:sz w:val="18"/>
          <w:szCs w:val="18"/>
          <w:color w:val="auto"/>
        </w:rPr>
        <w:t>‑</w:t>
      </w:r>
      <w:r>
        <w:rPr>
          <w:rFonts w:ascii="Arial" w:cs="Arial" w:eastAsia="Arial" w:hAnsi="Arial"/>
          <w:sz w:val="18"/>
          <w:szCs w:val="18"/>
          <w:color w:val="auto"/>
        </w:rPr>
        <w:t>day period of service (as defined by the Plan).</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that does not provide for participation in the Plan for such individual;</w:t>
      </w:r>
    </w:p>
    <w:p>
      <w:pPr>
        <w:jc w:val="both"/>
        <w:ind w:firstLine="84"/>
        <w:spacing w:after="0" w:line="271" w:lineRule="auto"/>
        <w:tabs>
          <w:tab w:leader="none" w:pos="362"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individuals providing services to the Company and who are designated as independent contractors; (d) employees performing services on a seasonal or temporary basis; (e) any individual who is not regularly employed in, or a citizen of, the United States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Participants are permitted to contribute as much as 50% of their eligible annual compensation, as defined by the Plan, and 80% of their annual incentive plan bonus, subject to annual contribution limitations established by the Internal Revenue Service (“Employee Contribution”). In addition, participants that are age 50 or older are eligible to make pre-tax catch-up contributions not to exceed certain limits described in the Plan document. After-tax contributions are permitted by the Plan. Participants may also contribute amounts representing distributions from other qualified plans (“Rollover Contributions”).</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With respect to each participant whose employment is not governed by a collective bargaining agreement, Waste Management matches 100% of each participant’s Employee Contribution up to 3% of the participant’s eligible annual compensation, as defined by the Plan, plus 50% of the participant’s Employee Contribution on the next 3% of the participant’s eligible annual compensation. Any such employee who is hired on or after January 1, 2018 will be automatically enrolled in the Plan at a contribution rate of 3% of eligible compensation, unless changed by the employee.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respect to each participant whose employment relationship is covered by a collective bargaining agreement, the amount of contributions by Waste Management, if any, is provided for in the applicable collective bargaining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Plan offers participants diversified investment options. During 2018, the Plan offered (a) 12 common collective trust funds (including eight target retirement-date funds); (b) five mutual funds; (c) a WM common stock fund (which is an Employee Stock Ownership Plan); (d) a stable value fund, which includes direct investments in fully benefit-responsive contracts and investments in common collective trust funds, managed by Galliard Capital Management (“Galliard”) and (e) a self-directed brokerage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 participant invests in the WM common stock fund, the participant can elect to receive in cash any dividends paid on the common stock in the participant’s account. If a participant does not make such an election, dividends will automatically be reinvested in the WM common stock fund. Each participant who has invested in the WM common stock fund has the right to vote the shares of stock in his or her account with respect to any matter that comes before the shareholders for a vote.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the self-directed brokerage account, several restrictions apply and a minimum balance is required to participate. Additionally, if a participant invests in the self-directed brokerage account, the participant has the right to vote the shares of securities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w:t>
      </w:r>
      <w:r>
        <w:rPr>
          <w:rFonts w:ascii="MS PGothic" w:cs="MS PGothic" w:eastAsia="MS PGothic" w:hAnsi="MS PGothic"/>
          <w:sz w:val="16"/>
          <w:szCs w:val="16"/>
          <w:color w:val="auto"/>
        </w:rPr>
        <w:t>‑</w:t>
      </w:r>
      <w:r>
        <w:rPr>
          <w:rFonts w:ascii="Arial" w:cs="Arial" w:eastAsia="Arial" w:hAnsi="Arial"/>
          <w:sz w:val="16"/>
          <w:szCs w:val="16"/>
          <w:color w:val="auto"/>
        </w:rPr>
        <w:t>1/2 may withdraw from their accounts. Distributions are made by a single lump-sum payment or direct rollover. Distributions of accounts invested in WM common stock may be taken in whole shares of common stock or cash.</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2018 and 2017.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of a participant’s vested accounts (excluding any amounts invested in the self-directed brokerage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account) immediately preceding the loan grant date. In no event shall a loan exceed $50,000, reduced by the greater of (a) the highest outstanding balance of loans during the one-year period ending on the date before a new loan is made or modified or</w:t>
      </w:r>
    </w:p>
    <w:p>
      <w:pPr>
        <w:jc w:val="both"/>
        <w:ind w:firstLine="3"/>
        <w:spacing w:after="0" w:line="251" w:lineRule="auto"/>
        <w:tabs>
          <w:tab w:leader="none" w:pos="25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outstanding balance of loans on the date a new loan is made or modified. Not more than one loan shall be outstanding at any time, except for multiple loans which (a) result from a merger of another plan into this Plan or (b) result from a participant’s defaulting on a loan. Interest rates and repayment terms are established by the Administrative Committee. Such loans shall be repaid by payroll deduction or any other method approved by the Administrative Committee. The Administrative Committee requires that: (a) no more than one loan per year be taken by a participant; (b) repayments be made no less frequently than quarterly; (c) loans be repaid over a period not to exceed 54 months and (d)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Administrative expenses of the Plan are generally allocated among participants. Loan administration fees and certain other expenses are charged directly to the account balance of the applicable participant. In 2018, Waste Management elected to pay certain audit and legal fees of the Plan.</w:t>
      </w:r>
    </w:p>
    <w:p>
      <w:pPr>
        <w:spacing w:after="0" w:line="177" w:lineRule="exact"/>
        <w:rPr>
          <w:sz w:val="20"/>
          <w:szCs w:val="20"/>
          <w:color w:val="auto"/>
        </w:rPr>
      </w:pPr>
    </w:p>
    <w:p>
      <w:pPr>
        <w:ind w:right="6380" w:firstLine="3"/>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the Plan’s management to make estimates and assumptions that affect the reported amounts of net assets available for benefits as of the date of the financial statements and the changes in net assets available for benefits during the reporting period and, when applicable, disclosures of contingent assets and liabilities as of the date of the financial statements. Actual results could differ materially from the estimates and assumptions used in the preparation of the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Corporate stocks, mutual funds and publicly-traded partnership interests held by the Plan are stated at fair value based on quoted market prices as of the financial statement date. The fair values of the common collective trust funds held by the Plan are generally based on net asset values established by the issuer of the common collective trust funds based on fair values of the underlying assets. The investment options available within the Plan include a stable value fund that invests in fully benefit-responsive synthetic guaranteed investment contracts (“Synthetic GICs”). These investments held by the stable value fund are presented at contract value in the Statements of Net Assets Available for Benefits. See Note 3 for further discussion of Synthetic GICs. Short-term investments (included in amounts reported as common collective trust funds herein) are stated at cost, which approximates fair value.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records purchases and sales of securities on a trade-date basis and dividends on the ex-dividend date. Interest income is recorded on the accrual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could materially affect the amounts reported in the Statements of Net Assets Available for Benefits and participant account balances.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Pending Adoption</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August 2018, the Financial Accounting Standards Board (FASB) issued Accounting Standards Update (ASU) No. 2018</w:t>
      </w:r>
      <w:r>
        <w:rPr>
          <w:rFonts w:ascii="MS PGothic" w:cs="MS PGothic" w:eastAsia="MS PGothic" w:hAnsi="MS PGothic"/>
          <w:sz w:val="17"/>
          <w:szCs w:val="17"/>
          <w:color w:val="auto"/>
        </w:rPr>
        <w:t>‑</w:t>
      </w:r>
      <w:r>
        <w:rPr>
          <w:rFonts w:ascii="Arial" w:cs="Arial" w:eastAsia="Arial" w:hAnsi="Arial"/>
          <w:sz w:val="17"/>
          <w:szCs w:val="17"/>
          <w:color w:val="auto"/>
        </w:rPr>
        <w:t xml:space="preserve">13, </w:t>
      </w:r>
      <w:r>
        <w:rPr>
          <w:rFonts w:ascii="Arial" w:cs="Arial" w:eastAsia="Arial" w:hAnsi="Arial"/>
          <w:sz w:val="17"/>
          <w:szCs w:val="17"/>
          <w:i w:val="1"/>
          <w:iCs w:val="1"/>
          <w:color w:val="auto"/>
        </w:rPr>
        <w:t>Fair Value Measurement (Topic 820): Disclosure Framework – 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Fair Value Measurement. </w:t>
      </w:r>
      <w:r>
        <w:rPr>
          <w:rFonts w:ascii="Arial" w:cs="Arial" w:eastAsia="Arial" w:hAnsi="Arial"/>
          <w:sz w:val="17"/>
          <w:szCs w:val="17"/>
          <w:color w:val="auto"/>
        </w:rPr>
        <w:t>The ASU modifies the disclosure requirements of fair value measurements in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Codification (ASC) Topic 820. The ASU is effective for all reporting periods beginning after December 15, 2019, with early adoption permitted. An entity may elect to early adopt any removed or modified disclosures upon issuance of this Update and delay the adoption of the additional disclosures until the effective date. The Company is evaluating the impact of the adoption of this ASU on the Plan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When necessary, reclassifications are made to the prior year financial information to conform to the current year presentation.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Stable Value Fund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Plan includes a stable value fund that invests in fully benefit-responsive Synthetic GICs. Synthetic GICs are comprised of (a) individual assets or investments placed in a trust and (b) wrapper contracts that guarantee that participant transactions will be executed at contract value. The investment portfolio of a Synthetic GIC, when coupled with a wrapper contract, attempts to replicate the investment characteristics of traditional GICs, which provide a specified rate of return for a specific period of time. Contract value represents principal, plus accrued interest less withdrawals.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 crediting rates for Synthetic GICs are calculated on a quarterly basis using the contract value, market value, yield and duration of the underlying securities, but cannot be less than zero.</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certain events not initiated by the Plan participants that could limit the ability of the Plan to transact with the issuer at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fund also invests in a common collective trust fund, Wells Fargo/BlackRock Short Term Investment Fund S, which invests in highly liquid assets and is used for daily liquidity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prioritizes the inputs used to measure fair value into three levels and bases the categorization within the hierarchy upon the lowest level of input that is available and significant to the fair value measurement: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 active markets for identical assets and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or similar assets or liabilities in inactive markets, or other inputs that are observable or can be corroborated by observable market data for substantially the full term of the assets or liabilities.</w:t>
      </w:r>
    </w:p>
    <w:p>
      <w:pPr>
        <w:spacing w:after="0" w:line="181" w:lineRule="exact"/>
        <w:rPr>
          <w:sz w:val="20"/>
          <w:szCs w:val="20"/>
          <w:color w:val="auto"/>
        </w:rPr>
      </w:pPr>
    </w:p>
    <w:p>
      <w:pPr>
        <w:jc w:val="both"/>
        <w:ind w:left="260"/>
        <w:spacing w:after="0" w:line="342"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Inputs that are generally unobservable and typically reflect the Plan’s estimate of assumptions that market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would use in pricing the asset or liability. The Plan had no Level 3 assets as of December 31, 2018 or 2017.</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by level, within the fair value hierarchy, a summary of investments of the Plan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measured at fair value on a recurring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10"/>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Quoted Prices in Active Markets (Level 1):</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Mutual funds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804,437,381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892,825,400</w:t>
            </w:r>
          </w:p>
        </w:tc>
      </w:tr>
      <w:tr>
        <w:trPr>
          <w:trHeight w:val="216"/>
        </w:trPr>
        <w:tc>
          <w:tcPr>
            <w:tcW w:w="5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WM common stock</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198,709,256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196,936,724</w:t>
            </w:r>
          </w:p>
        </w:tc>
      </w:tr>
      <w:tr>
        <w:trPr>
          <w:trHeight w:val="216"/>
        </w:trPr>
        <w:tc>
          <w:tcPr>
            <w:tcW w:w="5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Self-directed brokerage accounts</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40,078,958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39,680,718</w:t>
            </w:r>
          </w:p>
        </w:tc>
      </w:tr>
      <w:tr>
        <w:trPr>
          <w:trHeight w:val="210"/>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Subtotal Level 1</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1,043,225,595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1,129,442,842</w:t>
            </w:r>
          </w:p>
        </w:tc>
      </w:tr>
      <w:tr>
        <w:trPr>
          <w:trHeight w:val="210"/>
        </w:trPr>
        <w:tc>
          <w:tcPr>
            <w:tcW w:w="2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Self-directed brokerage accounts — FedFund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7,508,532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7,566,260</w:t>
            </w:r>
          </w:p>
        </w:tc>
      </w:tr>
      <w:tr>
        <w:trPr>
          <w:trHeight w:val="216"/>
        </w:trPr>
        <w:tc>
          <w:tcPr>
            <w:tcW w:w="5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Stable Value fund — short-term investment fund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17,993,862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5,724,831</w:t>
            </w:r>
          </w:p>
        </w:tc>
      </w:tr>
      <w:tr>
        <w:trPr>
          <w:trHeight w:val="216"/>
        </w:trPr>
        <w:tc>
          <w:tcPr>
            <w:tcW w:w="5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FedFund</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523,781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1,452,977</w:t>
            </w:r>
          </w:p>
        </w:tc>
      </w:tr>
      <w:tr>
        <w:trPr>
          <w:trHeight w:val="210"/>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Subtotal Level 2</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26,026,175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14,744,068</w:t>
            </w:r>
          </w:p>
        </w:tc>
      </w:tr>
      <w:tr>
        <w:trPr>
          <w:trHeight w:val="210"/>
        </w:trPr>
        <w:tc>
          <w:tcPr>
            <w:tcW w:w="2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 Measured at Net Asset Value (a):</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Common collective trust funds</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892,395,678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900,387,851</w:t>
            </w:r>
          </w:p>
        </w:tc>
      </w:tr>
      <w:tr>
        <w:trPr>
          <w:trHeight w:val="210"/>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Subtotal Investments Measured at Net Asset Value</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892,395,678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900,387,851</w:t>
            </w:r>
          </w:p>
        </w:tc>
      </w:tr>
      <w:tr>
        <w:trPr>
          <w:trHeight w:val="217"/>
        </w:trPr>
        <w:tc>
          <w:tcPr>
            <w:tcW w:w="5240" w:type="dxa"/>
            <w:vAlign w:val="bottom"/>
            <w:gridSpan w:val="2"/>
          </w:tcPr>
          <w:p>
            <w:pPr>
              <w:ind w:left="660"/>
              <w:spacing w:after="0"/>
              <w:rPr>
                <w:sz w:val="20"/>
                <w:szCs w:val="20"/>
                <w:color w:val="auto"/>
              </w:rPr>
            </w:pPr>
            <w:r>
              <w:rPr>
                <w:rFonts w:ascii="Arial" w:cs="Arial" w:eastAsia="Arial" w:hAnsi="Arial"/>
                <w:sz w:val="18"/>
                <w:szCs w:val="18"/>
                <w:color w:val="auto"/>
              </w:rPr>
              <w:t>Total Investments at Fair Value</w:t>
            </w:r>
          </w:p>
        </w:tc>
        <w:tc>
          <w:tcPr>
            <w:tcW w:w="1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1,961,647,448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2,044,574,761</w:t>
            </w:r>
          </w:p>
        </w:tc>
      </w:tr>
      <w:tr>
        <w:trPr>
          <w:trHeight w:val="108"/>
        </w:trPr>
        <w:tc>
          <w:tcPr>
            <w:tcW w:w="228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9"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Statements of Net Assets Available for Benefits.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Plan has received a determination letter from the IRS dated April 30, 2015, stating that the Plan, as amended and restated as of January 1, 2015, was in compliance with the applicable requirements of the Internal Revenue Code (the "Code"), which were timely adopted by the Plan sponsor subsequent to receipt of the determination letter. The Plan sponsor has adopted a further amendment and restatement of the Plan and subsequent amendments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Internal Revenue Service. The Plan administrator has analyzed the tax positions taken by the Plan, and has concluded that as of December 31, 2018,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Reconciliation of Financial Statements to Form 5500</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2,356,534,481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2,429,727,764</w:t>
            </w: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Amounts pending distribution to participants</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(523,429)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(1,452,495)</w:t>
            </w:r>
          </w:p>
        </w:tc>
      </w:tr>
      <w:tr>
        <w:trPr>
          <w:trHeight w:val="217"/>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2,356,011,052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2,428,275,269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decrease in net assets available for benefits per the financial statements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5500 for the year ended December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per the financial statements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(73,193,283)</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Amounts pending distribution to participants as of December 31, 2017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1,452,495</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pending distribution to participants as of December 31, 2018</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(523,429)</w:t>
            </w:r>
          </w:p>
        </w:tc>
      </w:tr>
      <w:tr>
        <w:trPr>
          <w:trHeight w:val="217"/>
        </w:trPr>
        <w:tc>
          <w:tcPr>
            <w:tcW w:w="772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(72,264,217)</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Plan Termination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Related-Party Transactions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 of America serves as the trustee of the Plan and is an affiliate of BAML, which is the Plan’s third-party recordkeeper and provides securities brokerage services for the self-directed brokerage account.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WM common stock. As WM is the Plan sponsor, transactions involving WM common stock also qualify as party-in-interest transactions. The Plan sponsor believes that all of these transactions are exempt from the prohibited transactions rules.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ind w:left="20"/>
              <w:spacing w:after="0" w:line="207" w:lineRule="exact"/>
              <w:rPr>
                <w:sz w:val="20"/>
                <w:szCs w:val="20"/>
                <w:color w:val="auto"/>
              </w:rPr>
            </w:pPr>
            <w:r>
              <w:rPr>
                <w:rFonts w:ascii="Arial" w:cs="Arial" w:eastAsia="Arial" w:hAnsi="Arial"/>
                <w:sz w:val="18"/>
                <w:szCs w:val="18"/>
                <w:color w:val="auto"/>
                <w:w w:val="94"/>
              </w:rPr>
              <w:t>EIN: 73</w:t>
            </w:r>
            <w:r>
              <w:rPr>
                <w:rFonts w:ascii="MS PGothic" w:cs="MS PGothic" w:eastAsia="MS PGothic" w:hAnsi="MS PGothic"/>
                <w:sz w:val="18"/>
                <w:szCs w:val="18"/>
                <w:color w:val="auto"/>
                <w:w w:val="94"/>
              </w:rPr>
              <w:t>‑</w:t>
            </w:r>
            <w:r>
              <w:rPr>
                <w:rFonts w:ascii="Arial" w:cs="Arial" w:eastAsia="Arial" w:hAnsi="Arial"/>
                <w:sz w:val="18"/>
                <w:szCs w:val="18"/>
                <w:color w:val="auto"/>
                <w:w w:val="94"/>
              </w:rPr>
              <w:t>1309529</w:t>
            </w:r>
          </w:p>
        </w:tc>
        <w:tc>
          <w:tcPr>
            <w:tcW w:w="2940" w:type="dxa"/>
            <w:vAlign w:val="bottom"/>
          </w:tcPr>
          <w:p>
            <w:pPr>
              <w:ind w:left="280"/>
              <w:spacing w:after="0"/>
              <w:rPr>
                <w:sz w:val="20"/>
                <w:szCs w:val="20"/>
                <w:color w:val="auto"/>
              </w:rPr>
            </w:pPr>
            <w:r>
              <w:rPr>
                <w:rFonts w:ascii="Arial" w:cs="Arial" w:eastAsia="Arial" w:hAnsi="Arial"/>
                <w:sz w:val="18"/>
                <w:szCs w:val="18"/>
                <w:color w:val="auto"/>
              </w:rPr>
              <w:t>Plan: 001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2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2"/>
          </w:tcPr>
          <w:p>
            <w:pPr>
              <w:ind w:left="440"/>
              <w:spacing w:after="0"/>
              <w:rPr>
                <w:sz w:val="20"/>
                <w:szCs w:val="20"/>
                <w:color w:val="auto"/>
              </w:rPr>
            </w:pPr>
            <w:r>
              <w:rPr>
                <w:rFonts w:ascii="Arial" w:cs="Arial" w:eastAsia="Arial" w:hAnsi="Arial"/>
                <w:sz w:val="18"/>
                <w:szCs w:val="18"/>
                <w:color w:val="auto"/>
              </w:rPr>
              <w:t>December 31, 2018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3380" w:type="dxa"/>
            <w:vAlign w:val="bottom"/>
            <w:gridSpan w:val="3"/>
          </w:tcPr>
          <w:p>
            <w:pPr>
              <w:ind w:left="1120"/>
              <w:spacing w:after="0"/>
              <w:rPr>
                <w:sz w:val="20"/>
                <w:szCs w:val="20"/>
                <w:color w:val="auto"/>
              </w:rPr>
            </w:pPr>
            <w:r>
              <w:rPr>
                <w:rFonts w:ascii="Arial" w:cs="Arial" w:eastAsia="Arial" w:hAnsi="Arial"/>
                <w:sz w:val="14"/>
                <w:szCs w:val="14"/>
                <w:b w:val="1"/>
                <w:bCs w:val="1"/>
                <w:color w:val="auto"/>
              </w:rPr>
              <w:t>Identity of Issue</w:t>
            </w:r>
          </w:p>
        </w:tc>
        <w:tc>
          <w:tcPr>
            <w:tcW w:w="1320" w:type="dxa"/>
            <w:vAlign w:val="bottom"/>
          </w:tcPr>
          <w:p>
            <w:pPr>
              <w:spacing w:after="0"/>
              <w:rPr>
                <w:sz w:val="24"/>
                <w:szCs w:val="24"/>
                <w:color w:val="auto"/>
              </w:rPr>
            </w:pPr>
          </w:p>
        </w:tc>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Description of Investment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b w:val="1"/>
                <w:bCs w:val="1"/>
                <w:color w:val="auto"/>
              </w:rPr>
              <w:t>Current Value</w:t>
            </w:r>
          </w:p>
        </w:tc>
      </w:tr>
      <w:tr>
        <w:trPr>
          <w:trHeight w:val="210"/>
        </w:trPr>
        <w:tc>
          <w:tcPr>
            <w:tcW w:w="3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BlackRock</w:t>
            </w:r>
          </w:p>
        </w:tc>
        <w:tc>
          <w:tcPr>
            <w:tcW w:w="14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BlackRock Liquidity Fund - FedFund</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523,781</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 Waste Management, Inc.</w:t>
            </w:r>
          </w:p>
        </w:tc>
        <w:tc>
          <w:tcPr>
            <w:tcW w:w="1320" w:type="dxa"/>
            <w:vAlign w:val="bottom"/>
          </w:tcPr>
          <w:p>
            <w:pPr>
              <w:spacing w:after="0"/>
              <w:rPr>
                <w:sz w:val="20"/>
                <w:szCs w:val="20"/>
                <w:color w:val="auto"/>
              </w:rPr>
            </w:pPr>
            <w:r>
              <w:rPr>
                <w:rFonts w:ascii="Arial" w:cs="Arial" w:eastAsia="Arial" w:hAnsi="Arial"/>
                <w:sz w:val="18"/>
                <w:szCs w:val="18"/>
                <w:color w:val="auto"/>
              </w:rPr>
              <w:t>Common Stock</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198,709,256</w:t>
            </w:r>
          </w:p>
        </w:tc>
      </w:tr>
      <w:tr>
        <w:trPr>
          <w:trHeight w:val="216"/>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BlackRock</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Russell 1000 Value Index Fund 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78,842,197</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 T. Rowe Price Trust Company</w:t>
            </w:r>
          </w:p>
        </w:tc>
        <w:tc>
          <w:tcPr>
            <w:tcW w:w="4260" w:type="dxa"/>
            <w:vAlign w:val="bottom"/>
            <w:gridSpan w:val="2"/>
          </w:tcPr>
          <w:p>
            <w:pPr>
              <w:spacing w:after="0"/>
              <w:rPr>
                <w:sz w:val="20"/>
                <w:szCs w:val="20"/>
                <w:color w:val="auto"/>
              </w:rPr>
            </w:pPr>
            <w:r>
              <w:rPr>
                <w:rFonts w:ascii="Arial" w:cs="Arial" w:eastAsia="Arial" w:hAnsi="Arial"/>
                <w:sz w:val="18"/>
                <w:szCs w:val="18"/>
                <w:color w:val="auto"/>
              </w:rPr>
              <w:t>T. Rowe Price Blue Chip Growth Trust 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142,798,254</w:t>
            </w:r>
          </w:p>
        </w:tc>
      </w:tr>
      <w:tr>
        <w:trPr>
          <w:trHeight w:val="216"/>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JPMorgan Chase Bank, N.A.</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JPMCB SmartRetirement Income Fund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37,716,536</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 JPMorgan Chase Bank, N.A.</w:t>
            </w:r>
          </w:p>
        </w:tc>
        <w:tc>
          <w:tcPr>
            <w:tcW w:w="4260" w:type="dxa"/>
            <w:vAlign w:val="bottom"/>
            <w:gridSpan w:val="2"/>
          </w:tcPr>
          <w:p>
            <w:pPr>
              <w:spacing w:after="0"/>
              <w:rPr>
                <w:sz w:val="20"/>
                <w:szCs w:val="20"/>
                <w:color w:val="auto"/>
              </w:rPr>
            </w:pPr>
            <w:r>
              <w:rPr>
                <w:rFonts w:ascii="Arial" w:cs="Arial" w:eastAsia="Arial" w:hAnsi="Arial"/>
                <w:sz w:val="18"/>
                <w:szCs w:val="18"/>
                <w:color w:val="auto"/>
              </w:rPr>
              <w:t>JPMCB SmartRetirement 2020 Fund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138,628,506</w:t>
            </w:r>
          </w:p>
        </w:tc>
      </w:tr>
      <w:tr>
        <w:trPr>
          <w:trHeight w:val="216"/>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JPMorgan Chase Bank, N.A.</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JPMCB SmartRetirement 2025 Fund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39,142,974</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 JPMorgan Chase Bank, N.A.</w:t>
            </w:r>
          </w:p>
        </w:tc>
        <w:tc>
          <w:tcPr>
            <w:tcW w:w="4260" w:type="dxa"/>
            <w:vAlign w:val="bottom"/>
            <w:gridSpan w:val="2"/>
          </w:tcPr>
          <w:p>
            <w:pPr>
              <w:spacing w:after="0"/>
              <w:rPr>
                <w:sz w:val="20"/>
                <w:szCs w:val="20"/>
                <w:color w:val="auto"/>
              </w:rPr>
            </w:pPr>
            <w:r>
              <w:rPr>
                <w:rFonts w:ascii="Arial" w:cs="Arial" w:eastAsia="Arial" w:hAnsi="Arial"/>
                <w:sz w:val="18"/>
                <w:szCs w:val="18"/>
                <w:color w:val="auto"/>
              </w:rPr>
              <w:t>JPMCB SmartRetirement 2030 Fund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238,669,847</w:t>
            </w:r>
          </w:p>
        </w:tc>
      </w:tr>
      <w:tr>
        <w:trPr>
          <w:trHeight w:val="216"/>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JPMorgan Chase Bank, N.A.</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JPMCB SmartRetirement 2035 Fund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33,445,146</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 JPMorgan Chase Bank, N.A.</w:t>
            </w:r>
          </w:p>
        </w:tc>
        <w:tc>
          <w:tcPr>
            <w:tcW w:w="4260" w:type="dxa"/>
            <w:vAlign w:val="bottom"/>
            <w:gridSpan w:val="2"/>
          </w:tcPr>
          <w:p>
            <w:pPr>
              <w:spacing w:after="0"/>
              <w:rPr>
                <w:sz w:val="20"/>
                <w:szCs w:val="20"/>
                <w:color w:val="auto"/>
              </w:rPr>
            </w:pPr>
            <w:r>
              <w:rPr>
                <w:rFonts w:ascii="Arial" w:cs="Arial" w:eastAsia="Arial" w:hAnsi="Arial"/>
                <w:sz w:val="18"/>
                <w:szCs w:val="18"/>
                <w:color w:val="auto"/>
              </w:rPr>
              <w:t>JPMCB SmartRetirement 2040 Fund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113,154,904</w:t>
            </w:r>
          </w:p>
        </w:tc>
      </w:tr>
      <w:tr>
        <w:trPr>
          <w:trHeight w:val="216"/>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JPMorgan Chase Bank, N.A.</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JPMCB SmartRetirement 2045 Fund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26,746,980</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 JPMorgan Chase Bank, N.A.</w:t>
            </w:r>
          </w:p>
        </w:tc>
        <w:tc>
          <w:tcPr>
            <w:tcW w:w="4260" w:type="dxa"/>
            <w:vAlign w:val="bottom"/>
            <w:gridSpan w:val="2"/>
          </w:tcPr>
          <w:p>
            <w:pPr>
              <w:spacing w:after="0"/>
              <w:rPr>
                <w:sz w:val="20"/>
                <w:szCs w:val="20"/>
                <w:color w:val="auto"/>
              </w:rPr>
            </w:pPr>
            <w:r>
              <w:rPr>
                <w:rFonts w:ascii="Arial" w:cs="Arial" w:eastAsia="Arial" w:hAnsi="Arial"/>
                <w:sz w:val="18"/>
                <w:szCs w:val="18"/>
                <w:color w:val="auto"/>
              </w:rPr>
              <w:t>JPMCB SmartRetirement 2050 Fund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28,759,324</w:t>
            </w:r>
          </w:p>
        </w:tc>
      </w:tr>
      <w:tr>
        <w:trPr>
          <w:trHeight w:val="216"/>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JPMorgan Chase Bank, N.A.</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JPMCB SmartRetirement 2055 Fund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14,491,010</w:t>
            </w:r>
          </w:p>
        </w:tc>
      </w:tr>
      <w:tr>
        <w:trPr>
          <w:trHeight w:val="216"/>
        </w:trPr>
        <w:tc>
          <w:tcPr>
            <w:tcW w:w="3380" w:type="dxa"/>
            <w:vAlign w:val="bottom"/>
            <w:gridSpan w:val="3"/>
          </w:tcPr>
          <w:p>
            <w:pPr>
              <w:ind w:left="120"/>
              <w:spacing w:after="0"/>
              <w:rPr>
                <w:sz w:val="20"/>
                <w:szCs w:val="20"/>
                <w:color w:val="auto"/>
              </w:rPr>
            </w:pPr>
            <w:r>
              <w:rPr>
                <w:rFonts w:ascii="Arial" w:cs="Arial" w:eastAsia="Arial" w:hAnsi="Arial"/>
                <w:sz w:val="18"/>
                <w:szCs w:val="18"/>
                <w:color w:val="auto"/>
              </w:rPr>
              <w:t>The Vanguard Group, Inc.</w:t>
            </w:r>
          </w:p>
        </w:tc>
        <w:tc>
          <w:tcPr>
            <w:tcW w:w="4260" w:type="dxa"/>
            <w:vAlign w:val="bottom"/>
            <w:gridSpan w:val="2"/>
          </w:tcPr>
          <w:p>
            <w:pPr>
              <w:spacing w:after="0"/>
              <w:rPr>
                <w:sz w:val="20"/>
                <w:szCs w:val="20"/>
                <w:color w:val="auto"/>
              </w:rPr>
            </w:pPr>
            <w:r>
              <w:rPr>
                <w:rFonts w:ascii="Arial" w:cs="Arial" w:eastAsia="Arial" w:hAnsi="Arial"/>
                <w:sz w:val="18"/>
                <w:szCs w:val="18"/>
                <w:color w:val="auto"/>
              </w:rPr>
              <w:t>Vanguard Total Bond Market Index Fund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131,090,259</w:t>
            </w:r>
          </w:p>
        </w:tc>
      </w:tr>
      <w:tr>
        <w:trPr>
          <w:trHeight w:val="216"/>
        </w:trPr>
        <w:tc>
          <w:tcPr>
            <w:tcW w:w="3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The Vanguard Group, Inc.</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Vanguard Institutional Total Stock Market Index Fund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347,241,796</w:t>
            </w:r>
          </w:p>
        </w:tc>
      </w:tr>
      <w:tr>
        <w:trPr>
          <w:trHeight w:val="216"/>
        </w:trPr>
        <w:tc>
          <w:tcPr>
            <w:tcW w:w="3380" w:type="dxa"/>
            <w:vAlign w:val="bottom"/>
            <w:gridSpan w:val="3"/>
          </w:tcPr>
          <w:p>
            <w:pPr>
              <w:ind w:left="120"/>
              <w:spacing w:after="0"/>
              <w:rPr>
                <w:sz w:val="20"/>
                <w:szCs w:val="20"/>
                <w:color w:val="auto"/>
              </w:rPr>
            </w:pPr>
            <w:r>
              <w:rPr>
                <w:rFonts w:ascii="Arial" w:cs="Arial" w:eastAsia="Arial" w:hAnsi="Arial"/>
                <w:sz w:val="18"/>
                <w:szCs w:val="18"/>
                <w:color w:val="auto"/>
              </w:rPr>
              <w:t>The Vanguard Group, Inc.</w:t>
            </w:r>
          </w:p>
        </w:tc>
        <w:tc>
          <w:tcPr>
            <w:tcW w:w="4260" w:type="dxa"/>
            <w:vAlign w:val="bottom"/>
            <w:gridSpan w:val="2"/>
          </w:tcPr>
          <w:p>
            <w:pPr>
              <w:spacing w:after="0"/>
              <w:rPr>
                <w:sz w:val="20"/>
                <w:szCs w:val="20"/>
                <w:color w:val="auto"/>
              </w:rPr>
            </w:pPr>
            <w:r>
              <w:rPr>
                <w:rFonts w:ascii="Arial" w:cs="Arial" w:eastAsia="Arial" w:hAnsi="Arial"/>
                <w:sz w:val="18"/>
                <w:szCs w:val="18"/>
                <w:color w:val="auto"/>
              </w:rPr>
              <w:t>Vanguard S&amp;P Small-Cap 600 Index Fund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150,020,159</w:t>
            </w:r>
          </w:p>
        </w:tc>
      </w:tr>
      <w:tr>
        <w:trPr>
          <w:trHeight w:val="216"/>
        </w:trPr>
        <w:tc>
          <w:tcPr>
            <w:tcW w:w="3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American Funds</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Funds EuroPacific Growth Fund Class R6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135,168,245</w:t>
            </w:r>
          </w:p>
        </w:tc>
      </w:tr>
      <w:tr>
        <w:trPr>
          <w:trHeight w:val="216"/>
        </w:trPr>
        <w:tc>
          <w:tcPr>
            <w:tcW w:w="3380" w:type="dxa"/>
            <w:vAlign w:val="bottom"/>
            <w:gridSpan w:val="3"/>
          </w:tcPr>
          <w:p>
            <w:pPr>
              <w:ind w:left="120"/>
              <w:spacing w:after="0"/>
              <w:rPr>
                <w:sz w:val="20"/>
                <w:szCs w:val="20"/>
                <w:color w:val="auto"/>
              </w:rPr>
            </w:pPr>
            <w:r>
              <w:rPr>
                <w:rFonts w:ascii="Arial" w:cs="Arial" w:eastAsia="Arial" w:hAnsi="Arial"/>
                <w:sz w:val="18"/>
                <w:szCs w:val="18"/>
                <w:color w:val="auto"/>
              </w:rPr>
              <w:t>Dimensional Fund Advisors</w:t>
            </w:r>
          </w:p>
        </w:tc>
        <w:tc>
          <w:tcPr>
            <w:tcW w:w="4260" w:type="dxa"/>
            <w:vAlign w:val="bottom"/>
            <w:gridSpan w:val="2"/>
          </w:tcPr>
          <w:p>
            <w:pPr>
              <w:spacing w:after="0"/>
              <w:rPr>
                <w:sz w:val="20"/>
                <w:szCs w:val="20"/>
                <w:color w:val="auto"/>
              </w:rPr>
            </w:pPr>
            <w:r>
              <w:rPr>
                <w:rFonts w:ascii="Arial" w:cs="Arial" w:eastAsia="Arial" w:hAnsi="Arial"/>
                <w:sz w:val="18"/>
                <w:szCs w:val="18"/>
                <w:color w:val="auto"/>
              </w:rPr>
              <w:t>DFA Emerging Markets Core Equity Portfolio</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40,916,922</w:t>
            </w:r>
          </w:p>
        </w:tc>
      </w:tr>
      <w:tr>
        <w:trPr>
          <w:trHeight w:val="216"/>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Galliard Capital Management, Inc.</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w w:val="87"/>
              </w:rPr>
              <w:t>Stable Value Fund</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332,462,377</w:t>
            </w:r>
          </w:p>
        </w:tc>
      </w:tr>
      <w:tr>
        <w:trPr>
          <w:trHeight w:val="202"/>
        </w:trPr>
        <w:tc>
          <w:tcPr>
            <w:tcW w:w="3380" w:type="dxa"/>
            <w:vAlign w:val="bottom"/>
            <w:gridSpan w:val="3"/>
          </w:tcPr>
          <w:p>
            <w:pPr>
              <w:spacing w:after="0" w:line="201" w:lineRule="exact"/>
              <w:rPr>
                <w:sz w:val="20"/>
                <w:szCs w:val="20"/>
                <w:color w:val="auto"/>
              </w:rPr>
            </w:pPr>
            <w:r>
              <w:rPr>
                <w:rFonts w:ascii="Arial" w:cs="Arial" w:eastAsia="Arial" w:hAnsi="Arial"/>
                <w:sz w:val="18"/>
                <w:szCs w:val="18"/>
                <w:color w:val="auto"/>
              </w:rPr>
              <w:t>* Merrill Lynch, Pierce, Fenner &amp; Smith</w:t>
            </w:r>
          </w:p>
        </w:tc>
        <w:tc>
          <w:tcPr>
            <w:tcW w:w="13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380" w:type="dxa"/>
            <w:vAlign w:val="bottom"/>
            <w:tcBorders>
              <w:bottom w:val="single" w:sz="8" w:color="CCEEFF"/>
            </w:tcBorders>
            <w:gridSpan w:val="3"/>
          </w:tcPr>
          <w:p>
            <w:pPr>
              <w:ind w:left="260"/>
              <w:spacing w:after="0"/>
              <w:rPr>
                <w:sz w:val="20"/>
                <w:szCs w:val="20"/>
                <w:color w:val="auto"/>
              </w:rPr>
            </w:pPr>
            <w:r>
              <w:rPr>
                <w:rFonts w:ascii="Arial" w:cs="Arial" w:eastAsia="Arial" w:hAnsi="Arial"/>
                <w:sz w:val="18"/>
                <w:szCs w:val="18"/>
                <w:color w:val="auto"/>
              </w:rPr>
              <w:t>Incorporated</w:t>
            </w: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Self-Directed Brokerage Accounts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47,587,490</w:t>
            </w:r>
          </w:p>
        </w:tc>
      </w:tr>
      <w:tr>
        <w:trPr>
          <w:trHeight w:val="210"/>
        </w:trPr>
        <w:tc>
          <w:tcPr>
            <w:tcW w:w="3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Investments</w:t>
            </w:r>
          </w:p>
        </w:tc>
        <w:tc>
          <w:tcPr>
            <w:tcW w:w="13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2,276,115,963</w:t>
            </w:r>
          </w:p>
        </w:tc>
      </w:tr>
      <w:tr>
        <w:trPr>
          <w:trHeight w:val="202"/>
        </w:trPr>
        <w:tc>
          <w:tcPr>
            <w:tcW w:w="2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8"/>
              </w:rPr>
              <w:t>Various maturity dates with interest rates ranging from</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Notes receivable from participants</w:t>
            </w:r>
          </w:p>
        </w:tc>
        <w:tc>
          <w:tcPr>
            <w:tcW w:w="1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2"/>
              </w:rPr>
              <w:t>3.25% to 6.25%</w:t>
            </w:r>
          </w:p>
        </w:tc>
        <w:tc>
          <w:tcPr>
            <w:tcW w:w="2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75,642,812</w:t>
            </w: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2,351,758,775</w:t>
            </w:r>
          </w:p>
        </w:tc>
      </w:tr>
      <w:tr>
        <w:trPr>
          <w:trHeight w:val="108"/>
        </w:trPr>
        <w:tc>
          <w:tcPr>
            <w:tcW w:w="228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Party-in-interest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82"/>
        </w:trPr>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20" w:type="dxa"/>
            <w:vAlign w:val="bottom"/>
            <w:gridSpan w:val="2"/>
            <w:vMerge w:val="restart"/>
          </w:tcPr>
          <w:p>
            <w:pPr>
              <w:ind w:left="3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 w:type="dxa"/>
            <w:vAlign w:val="bottom"/>
          </w:tcPr>
          <w:p>
            <w:pPr>
              <w:jc w:val="center"/>
              <w:spacing w:after="0" w:line="170" w:lineRule="exact"/>
              <w:rPr>
                <w:sz w:val="20"/>
                <w:szCs w:val="20"/>
                <w:color w:val="auto"/>
              </w:rPr>
            </w:pPr>
            <w:r>
              <w:rPr>
                <w:rFonts w:ascii="Arial" w:cs="Arial" w:eastAsia="Arial" w:hAnsi="Arial"/>
                <w:sz w:val="18"/>
                <w:szCs w:val="18"/>
                <w:color w:val="auto"/>
                <w:w w:val="91"/>
              </w:rPr>
              <w:t>23.1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gridSpan w:val="2"/>
          </w:tcPr>
          <w:p>
            <w:pPr>
              <w:spacing w:after="0" w:line="170" w:lineRule="exact"/>
              <w:rPr>
                <w:sz w:val="20"/>
                <w:szCs w:val="20"/>
                <w:color w:val="auto"/>
              </w:rPr>
            </w:pPr>
            <w:r>
              <w:rPr>
                <w:rFonts w:ascii="Arial" w:cs="Arial" w:eastAsia="Arial" w:hAnsi="Arial"/>
                <w:sz w:val="18"/>
                <w:szCs w:val="18"/>
                <w:color w:val="0000EE"/>
              </w:rPr>
              <w:t>Consent of Independent Registered Public Accounting Firm</w:t>
            </w:r>
          </w:p>
        </w:tc>
        <w:tc>
          <w:tcPr>
            <w:tcW w:w="0" w:type="dxa"/>
            <w:vAlign w:val="bottom"/>
          </w:tcPr>
          <w:p>
            <w:pPr>
              <w:spacing w:after="0"/>
              <w:rPr>
                <w:sz w:val="1"/>
                <w:szCs w:val="1"/>
                <w:color w:val="auto"/>
              </w:rPr>
            </w:pPr>
          </w:p>
        </w:tc>
      </w:tr>
      <w:tr>
        <w:trPr>
          <w:trHeight w:val="898"/>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tcBorders>
              <w:top w:val="single" w:sz="8" w:color="0000EE"/>
            </w:tcBorders>
            <w:gridSpan w:val="2"/>
          </w:tcPr>
          <w:p>
            <w:pPr>
              <w:jc w:val="right"/>
              <w:ind w:right="436"/>
              <w:spacing w:after="0"/>
              <w:rPr>
                <w:sz w:val="20"/>
                <w:szCs w:val="20"/>
                <w:color w:val="auto"/>
              </w:rPr>
            </w:pPr>
            <w:r>
              <w:rPr>
                <w:rFonts w:ascii="Arial" w:cs="Arial" w:eastAsia="Arial" w:hAnsi="Arial"/>
                <w:sz w:val="18"/>
                <w:szCs w:val="18"/>
                <w:color w:val="auto"/>
              </w:rPr>
              <w:t>12</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this annual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6140" w:type="dxa"/>
            <w:vAlign w:val="bottom"/>
            <w:gridSpan w:val="2"/>
          </w:tcPr>
          <w:p>
            <w:pPr>
              <w:ind w:left="1460"/>
              <w:spacing w:after="0"/>
              <w:rPr>
                <w:sz w:val="20"/>
                <w:szCs w:val="20"/>
                <w:color w:val="auto"/>
              </w:rPr>
            </w:pPr>
            <w:r>
              <w:rPr>
                <w:rFonts w:ascii="Arial" w:cs="Arial" w:eastAsia="Arial" w:hAnsi="Arial"/>
                <w:sz w:val="18"/>
                <w:szCs w:val="18"/>
                <w:color w:val="auto"/>
              </w:rPr>
              <w:t>WASTE MANAGEMENT RETIREMENT SAVINGS PLAN</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Date: May 30, 2019</w:t>
            </w:r>
          </w:p>
        </w:tc>
        <w:tc>
          <w:tcPr>
            <w:tcW w:w="6140" w:type="dxa"/>
            <w:vAlign w:val="bottom"/>
            <w:gridSpan w:val="2"/>
          </w:tcPr>
          <w:p>
            <w:pPr>
              <w:ind w:left="1460"/>
              <w:spacing w:after="0"/>
              <w:rPr>
                <w:sz w:val="20"/>
                <w:szCs w:val="20"/>
                <w:color w:val="auto"/>
              </w:rPr>
            </w:pPr>
            <w:r>
              <w:rPr>
                <w:rFonts w:ascii="Arial" w:cs="Arial" w:eastAsia="Arial" w:hAnsi="Arial"/>
                <w:sz w:val="18"/>
                <w:szCs w:val="18"/>
                <w:color w:val="auto"/>
              </w:rPr>
              <w:t>By:   /s/ Gordon Blasius</w:t>
            </w:r>
          </w:p>
        </w:tc>
      </w:tr>
      <w:tr>
        <w:trPr>
          <w:trHeight w:val="195"/>
        </w:trPr>
        <w:tc>
          <w:tcPr>
            <w:tcW w:w="29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Gordon Blasius</w:t>
            </w:r>
          </w:p>
        </w:tc>
      </w:tr>
      <w:tr>
        <w:trPr>
          <w:trHeight w:val="216"/>
        </w:trPr>
        <w:tc>
          <w:tcPr>
            <w:tcW w:w="2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Member, Administrative Committee of the Waste</w:t>
            </w:r>
          </w:p>
        </w:tc>
      </w:tr>
      <w:tr>
        <w:trPr>
          <w:trHeight w:val="230"/>
        </w:trPr>
        <w:tc>
          <w:tcPr>
            <w:tcW w:w="2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Management Employee Benefit Plans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No. 333-184156 and Post-Effective Amendment No. 1 thereto) pertaining to the Waste Management Retirement Savings Plan of our report dated May 30, 2019, with respect to the financial statements and supplemental schedule of the Waste Management Retirement Savings Plan included in this Annual Report (Form 11-K)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2019-12-02T06:00:58Z</dcterms:created>
  <dcterms:modified xsi:type="dcterms:W3CDTF">2019-12-02T06:00:58Z</dcterms:modified>
</cp:coreProperties>
</file>