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71"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44405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10143619.53</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00" w:val="left"/>
          <w:tab w:leader="none" w:pos="5920" w:val="left"/>
          <w:tab w:leader="none" w:pos="652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360" w:val="left"/>
          <w:tab w:leader="none" w:pos="584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660"/>
            <w:col w:w="860" w:space="400"/>
            <w:col w:w="5460"/>
          </w:cols>
          <w:pgMar w:left="320" w:top="108" w:right="339" w:bottom="1440" w:gutter="0" w:footer="0" w:header="0"/>
        </w:sectPr>
      </w:pP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19"/>
          <w:szCs w:val="19"/>
          <w:color w:val="auto"/>
        </w:rPr>
        <w:t>WASTE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Common Stock 01/30/2025 performance share MANAGEMENT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44405</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01/30/2025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3">
            <w:col w:w="652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02/24/2025</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11/05/2024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2025-02-24T16:51:42Z</dcterms:created>
  <dcterms:modified xsi:type="dcterms:W3CDTF">2025-02-24T16:51:42Z</dcterms:modified>
</cp:coreProperties>
</file>