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8" w:lineRule="exact"/>
        <w:rPr>
          <w:sz w:val="20"/>
          <w:szCs w:val="20"/>
          <w:color w:val="auto"/>
        </w:rPr>
      </w:pPr>
    </w:p>
    <w:p>
      <w:pPr>
        <w:jc w:val="center"/>
        <w:ind w:right="-439"/>
        <w:spacing w:after="0"/>
        <w:rPr>
          <w:sz w:val="20"/>
          <w:szCs w:val="20"/>
          <w:color w:val="auto"/>
        </w:rPr>
      </w:pPr>
      <w:r>
        <w:rPr>
          <w:rFonts w:ascii="Arial" w:cs="Arial" w:eastAsia="Arial" w:hAnsi="Arial"/>
          <w:sz w:val="25"/>
          <w:szCs w:val="25"/>
          <w:b w:val="1"/>
          <w:bCs w:val="1"/>
          <w:color w:val="auto"/>
        </w:rPr>
        <w:t>WASHINGTON, DC 20549</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_________</w:t>
      </w:r>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_________</w:t>
      </w: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July 1, 2004</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80" w:top="859" w:right="719" w:bottom="1440" w:gutter="0" w:footer="0" w:header="0"/>
        </w:sectPr>
      </w:pP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00" w:space="720"/>
            <w:col w:w="2940" w:space="720"/>
            <w:col w:w="2620"/>
          </w:cols>
          <w:pgMar w:left="280" w:top="859" w:right="719" w:bottom="1440" w:gutter="0" w:footer="0" w:header="0"/>
          <w:type w:val="continuous"/>
        </w:sectPr>
      </w:pPr>
    </w:p>
    <w:p>
      <w:pPr>
        <w:spacing w:after="0" w:line="34" w:lineRule="exact"/>
        <w:rPr>
          <w:sz w:val="20"/>
          <w:szCs w:val="20"/>
          <w:color w:val="auto"/>
        </w:rPr>
      </w:pPr>
    </w:p>
    <w:p>
      <w:pPr>
        <w:ind w:left="1740" w:right="242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0900"/>
          </w:cols>
          <w:pgMar w:left="280" w:top="859" w:right="719" w:bottom="1440" w:gutter="0" w:footer="0" w:header="0"/>
          <w:type w:val="continuous"/>
        </w:sectPr>
      </w:pPr>
    </w:p>
    <w:p>
      <w:pPr>
        <w:spacing w:after="0" w:line="139"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141605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80" w:top="859" w:right="7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July 1, 2004, Waste Management, Inc. (the “Company”) filed a prospectus supplement pursuant to Rule 424 of the Securities Act of 1933, as amended, to its registration statement on Form S-3 (No. 333-97697) (the “Registration Statement”), to register the issuance of 2,347 shares of its common stock, par value $0.01 per share (the “Common Stock”), upon exercise of an outstanding warrant of the Company.</w:t>
      </w:r>
    </w:p>
    <w:p>
      <w:pPr>
        <w:spacing w:after="0" w:line="14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01"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6400" w:type="dxa"/>
            <w:vAlign w:val="bottom"/>
            <w:gridSpan w:val="2"/>
          </w:tcPr>
          <w:p>
            <w:pPr>
              <w:ind w:left="202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July 1, 2004</w:t>
            </w:r>
          </w:p>
        </w:tc>
        <w:tc>
          <w:tcPr>
            <w:tcW w:w="6400" w:type="dxa"/>
            <w:vAlign w:val="bottom"/>
            <w:gridSpan w:val="2"/>
          </w:tcPr>
          <w:p>
            <w:pPr>
              <w:ind w:left="202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834"/>
        </w:trPr>
        <w:tc>
          <w:tcPr>
            <w:tcW w:w="334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3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9079"/>
          </w:cols>
          <w:pgMar w:left="1380" w:top="93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 am Vice President and Assistant General Counsel – Corporate &amp; Securities of Waste Management, Inc., a Delaware corporation (the “Company”), and have acted in such capacity in connection with the sale of 2,347 shares of the Company’s common stock, par value $0.01 per share (the “Common Stock”), pursuant to the exercise of a warrant dated August 30, 1996 (the “Warrant”). The 2,347 shares of Common Stock are being issued under a registration statement on Form S-3 (No. 333-97697) filed under the Securities Act of 1933, as amended (the “Registration Statement”).</w:t>
      </w:r>
    </w:p>
    <w:p>
      <w:pPr>
        <w:spacing w:after="0" w:line="11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2019-12-20T03:57:32Z</dcterms:created>
  <dcterms:modified xsi:type="dcterms:W3CDTF">2019-12-20T03:57:32Z</dcterms:modified>
</cp:coreProperties>
</file>