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1,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197485</wp:posOffset>
            </wp:positionV>
            <wp:extent cx="3336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5.02 Departure of Directors or Certain Officers; Election of Directors; Appointment of Certain Officers;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Compensatory Arrangements of Certain Officers.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Employment Agreement - Jeff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0"/>
          </w:cols>
          <w:pgMar w:left="820" w:top="111"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December 1, 2006, Waste Management, Inc. (the “Company”) entered into an employment agreement with Jeff Harris, Senior Vice President — Midwest Group, effective as of March 30, 2006. The Company announced in March of this year that it had named Mr. Harris, who has been with the Company since 1999 and most recently served as Area Vice President in charge of the Michigan, SW Ontario and Greater Toronto Market Areas, as Senior Vice President — Midwest Group.</w:t>
      </w:r>
    </w:p>
    <w:p>
      <w:pPr>
        <w:spacing w:after="0" w:line="79"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Mr. Harris shall be paid a minimum base salary of $435,000 per year and shall be entitled to a bonus in accordance with the Company’s incentive compensation plan. Mr. Harris shall have a target annual bonus of 85% of his base salary, although his actual bonus may range from 0 — 170% of his base salary, depending on the achievement of certain personal and corporate performance goals. Additionally, Mr. Harris shall be entitled to certain perquisites, including an annual automobile allowance, financial planning services, social organization initiation fees and dues and an annual physical examination. Mr. Harris shall also be entitled to participate in or receive benefits under any and all plans and programs made available to executive employees of the Company generally.</w:t>
      </w:r>
    </w:p>
    <w:p>
      <w:pPr>
        <w:spacing w:after="0" w:line="57"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In the event of the termination of Mr. Harris’ employment by the Company, he will be entitled to certain severance payments. Specifically, if Mr. Harris is terminated without cause, in addition to the benefits all employees receive, including all accrued but unpaid base salary and payments under applicable Company plans, policies and arrangements, Mr. Harris generally is entitled to cash payments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Harris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accordance with the Company’s Executive Severance Policy, Mr. Harris’ agreement provides that if the present value of severance benefits payable under his agreement (excluding certain amounts, including the value of accelerated vesting or payment of outstanding equity awards, as described in his agreement) would exceed 2.99 times the sum of his then current base salary and bonus (the “maximum severance amount”), the payments to Mr. Harris will be reduced to an amount not to exceed the maximum severance amount. In the event</w:t>
      </w:r>
    </w:p>
    <w:p>
      <w:pPr>
        <w:spacing w:after="0" w:line="5" w:lineRule="exact"/>
        <w:rPr>
          <w:sz w:val="20"/>
          <w:szCs w:val="20"/>
          <w:color w:val="auto"/>
        </w:rPr>
      </w:pPr>
    </w:p>
    <w:p>
      <w:pPr>
        <w:jc w:val="both"/>
        <w:ind w:right="780"/>
        <w:spacing w:after="0" w:line="255" w:lineRule="auto"/>
        <w:rPr>
          <w:sz w:val="20"/>
          <w:szCs w:val="20"/>
          <w:color w:val="auto"/>
        </w:rPr>
      </w:pPr>
      <w:r>
        <w:rPr>
          <w:rFonts w:ascii="Arial" w:cs="Arial" w:eastAsia="Arial" w:hAnsi="Arial"/>
          <w:sz w:val="18"/>
          <w:szCs w:val="18"/>
          <w:color w:val="auto"/>
        </w:rPr>
        <w:t>Mr. Harris’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w:t>
      </w:r>
    </w:p>
    <w:p>
      <w:pPr>
        <w:spacing w:after="0" w:line="8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Mr. Harris’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terms “cause,” “good reason,” and “total disability” are all defined in Mr. Harris’ employment agreement, which is attached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Waste Management, Inc. and Jeff Harris dated December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December 6,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Employment Agreement between Waste Management, Inc, and Jeff Harris, dated December 1, 2006</w:t>
            </w:r>
          </w:p>
        </w:tc>
      </w:tr>
    </w:tbl>
    <w:p>
      <w:pPr>
        <w:sectPr>
          <w:pgSz w:w="11900" w:h="16838" w:orient="portrait"/>
          <w:cols w:equalWidth="0" w:num="1">
            <w:col w:w="11420"/>
          </w:cols>
          <w:pgMar w:left="240" w:top="419"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1st day of December, 2006, but as effective as of the date set forth herein, by and between Waste Management, Inc. (the “Company”), and Jeff Harris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Executive acknowledges and represents that, any and all prior employment agreements, including without limitation certain Employment Agreement between he and the Company dated November 3, 1999, is terminated, and that any and all obligations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March 30, 2006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right="300" w:firstLine="233"/>
        <w:spacing w:after="0" w:line="259"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Executive shall serve as the Senior Vice President, Midwest Group.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78" w:lineRule="exact"/>
        <w:rPr>
          <w:rFonts w:ascii="Arial" w:cs="Arial" w:eastAsia="Arial" w:hAnsi="Arial"/>
          <w:sz w:val="18"/>
          <w:szCs w:val="18"/>
          <w:b w:val="1"/>
          <w:bCs w:val="1"/>
          <w:color w:val="auto"/>
        </w:rPr>
      </w:pPr>
    </w:p>
    <w:p>
      <w:pPr>
        <w:ind w:right="20" w:firstLine="233"/>
        <w:spacing w:after="0" w:line="276" w:lineRule="auto"/>
        <w:tabs>
          <w:tab w:leader="none" w:pos="49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jc w:val="both"/>
        <w:ind w:firstLine="233"/>
        <w:spacing w:after="0" w:line="314" w:lineRule="auto"/>
        <w:tabs>
          <w:tab w:leader="none" w:pos="4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Four Hundred Thirty-Five Thousand</w:t>
      </w:r>
      <w:r>
        <w:rPr>
          <w:rFonts w:ascii="Arial" w:cs="Arial" w:eastAsia="Arial" w:hAnsi="Arial"/>
          <w:sz w:val="16"/>
          <w:szCs w:val="16"/>
          <w:b w:val="1"/>
          <w:bCs w:val="1"/>
          <w:color w:val="auto"/>
        </w:rPr>
        <w:t xml:space="preserve"> </w:t>
      </w:r>
      <w:r>
        <w:rPr>
          <w:rFonts w:ascii="Arial" w:cs="Arial" w:eastAsia="Arial" w:hAnsi="Arial"/>
          <w:sz w:val="16"/>
          <w:szCs w:val="16"/>
          <w:color w:val="auto"/>
        </w:rPr>
        <w:t>Four Dollars ($435,000.00)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4" w:lineRule="exact"/>
        <w:rPr>
          <w:rFonts w:ascii="Arial" w:cs="Arial" w:eastAsia="Arial" w:hAnsi="Arial"/>
          <w:sz w:val="16"/>
          <w:szCs w:val="16"/>
          <w:b w:val="1"/>
          <w:bCs w:val="1"/>
          <w:color w:val="auto"/>
        </w:rPr>
      </w:pPr>
    </w:p>
    <w:p>
      <w:pPr>
        <w:ind w:right="60" w:firstLine="233"/>
        <w:spacing w:after="0" w:line="270" w:lineRule="auto"/>
        <w:tabs>
          <w:tab w:leader="none" w:pos="4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During the Employment Period, Executive will be entitled to participate in an annual incentive compensation plan of the Company, as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Compensation Committee of the Board from time to time. Executive’s target annual bonus will be eighty-five percent (85%) of his Base Salary in effect for such year (the “Target Bonus”), and his actual annual bonus may range from 0% to 170% of Base Salary (</w:t>
      </w:r>
      <w:r>
        <w:rPr>
          <w:rFonts w:ascii="Arial" w:cs="Arial" w:eastAsia="Arial" w:hAnsi="Arial"/>
          <w:sz w:val="17"/>
          <w:szCs w:val="17"/>
          <w:i w:val="1"/>
          <w:iCs w:val="1"/>
          <w:color w:val="auto"/>
        </w:rPr>
        <w:t>i.e</w:t>
      </w:r>
      <w:r>
        <w:rPr>
          <w:rFonts w:ascii="Arial" w:cs="Arial" w:eastAsia="Arial" w:hAnsi="Arial"/>
          <w:sz w:val="17"/>
          <w:szCs w:val="17"/>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Executive’s annual bonus for calendar year 2006 will be prorated between the time he spent as Vice-President for the Michigan Market Area (using the applicable financial and operational performance objectives, salary, and target bonus) and the time he spent as Senior Vice President, Midwest Group. The annual bonus for calendar year 2006 will be paid in 2007, if earned, at the same time as similarly situated executive employees receive or would otherwise receive their bonuses, subject to the terms of the annual incentive program generally applicable to similarly situated employees.</w:t>
      </w:r>
    </w:p>
    <w:p>
      <w:pPr>
        <w:spacing w:after="0" w:line="69" w:lineRule="exact"/>
        <w:rPr>
          <w:rFonts w:ascii="Arial" w:cs="Arial" w:eastAsia="Arial" w:hAnsi="Arial"/>
          <w:sz w:val="17"/>
          <w:szCs w:val="17"/>
          <w:b w:val="1"/>
          <w:bCs w:val="1"/>
          <w:color w:val="auto"/>
        </w:rPr>
      </w:pPr>
    </w:p>
    <w:p>
      <w:pPr>
        <w:ind w:firstLine="233"/>
        <w:spacing w:after="0" w:line="258"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8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58" w:lineRule="exact"/>
        <w:rPr>
          <w:sz w:val="20"/>
          <w:szCs w:val="20"/>
          <w:color w:val="auto"/>
        </w:rPr>
      </w:pPr>
    </w:p>
    <w:p>
      <w:pPr>
        <w:ind w:right="20" w:firstLine="233"/>
        <w:spacing w:after="0" w:line="313" w:lineRule="auto"/>
        <w:tabs>
          <w:tab w:leader="none" w:pos="49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80" w:firstLine="233"/>
        <w:spacing w:after="0" w:line="282" w:lineRule="auto"/>
        <w:tabs>
          <w:tab w:leader="none" w:pos="4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 including the following: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 w:name="page10"/>
    <w:bookmarkEnd w:id="9"/>
    <w:p>
      <w:pPr>
        <w:ind w:left="640" w:right="36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113" w:lineRule="exact"/>
        <w:rPr>
          <w:rFonts w:ascii="Arial" w:cs="Arial" w:eastAsia="Arial" w:hAnsi="Arial"/>
          <w:sz w:val="18"/>
          <w:szCs w:val="18"/>
          <w:color w:val="auto"/>
        </w:rPr>
      </w:pPr>
    </w:p>
    <w:p>
      <w:pPr>
        <w:ind w:left="-20" w:firstLine="233"/>
        <w:spacing w:after="0" w:line="255" w:lineRule="auto"/>
        <w:tabs>
          <w:tab w:leader="none" w:pos="43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Promotional Equity Based Incentive Award. </w:t>
      </w:r>
      <w:r>
        <w:rPr>
          <w:rFonts w:ascii="Arial" w:cs="Arial" w:eastAsia="Arial" w:hAnsi="Arial"/>
          <w:sz w:val="18"/>
          <w:szCs w:val="18"/>
          <w:color w:val="auto"/>
        </w:rPr>
        <w:t>Subject to approval by the Compensation Committee of the Board, effective on or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Date, Executive shall be granted a one-time, promotional award of 7,000 Restricted Stock Units pursuant to the Waste Management, Inc. 2004 Stock Incentive Plan. Such Restricted Stock Units will be subject to the restrictions imposed by, and governed by the provisions of, the Stock Incentive Plan and the award agreement issued to Executive in connection thereto; provided, however, that, unless earlier vested or forfeited pursuant to such award agreement, the restrictions on this promotional award will lapse on certain anniversary dates of the grant date of the promotional award in accordance with the following schedule: first anniversary of the grant date — 25%; second anniversary of the grant date — 50%; third anniversary of the grant date — 75%; fourth anniversary of the grant date — 100%.</w:t>
      </w:r>
    </w:p>
    <w:p>
      <w:pPr>
        <w:spacing w:after="0" w:line="81" w:lineRule="exact"/>
        <w:rPr>
          <w:rFonts w:ascii="Arial" w:cs="Arial" w:eastAsia="Arial" w:hAnsi="Arial"/>
          <w:sz w:val="18"/>
          <w:szCs w:val="18"/>
          <w:b w:val="1"/>
          <w:bCs w:val="1"/>
          <w:color w:val="auto"/>
        </w:rPr>
      </w:pPr>
    </w:p>
    <w:p>
      <w:pPr>
        <w:ind w:left="-20" w:right="20" w:firstLine="233"/>
        <w:spacing w:after="0" w:line="281" w:lineRule="auto"/>
        <w:tabs>
          <w:tab w:leader="none" w:pos="46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Initial Office Location and Relocation. </w:t>
      </w:r>
      <w:r>
        <w:rPr>
          <w:rFonts w:ascii="Arial" w:cs="Arial" w:eastAsia="Arial" w:hAnsi="Arial"/>
          <w:sz w:val="17"/>
          <w:szCs w:val="17"/>
          <w:color w:val="auto"/>
        </w:rPr>
        <w:t>From the Employment Date until such time as Executive’s daughter graduates from high school,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will maintain his residence in Michigan. Following that time, Executive will plan to relocate his residence to the Chicago, Illinois area. Executive’s relocation of his residence from Michigan to the Chicago, Illinois area will be eligible for coverage under the Company’s relocation plan. Any apartment or other residence maintained by Executive in Chicago prior to his relocation will be at Executive’s sole expense.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 Termination of Employment.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60" w:hanging="247"/>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jc w:val="both"/>
        <w:ind w:left="-20" w:right="100" w:firstLine="233"/>
        <w:spacing w:after="0" w:line="266" w:lineRule="auto"/>
        <w:tabs>
          <w:tab w:leader="none" w:pos="46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Executive’s employment hereunder upon Executive becoming “Totally Disabled.”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shall be considered “Totally Disabled” if Executive has been physically or mentally incapacitated so as to render Executive incapable of performing the essential functions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0" w:name="page11"/>
    <w:bookmarkEnd w:id="10"/>
    <w:p>
      <w:pPr>
        <w:ind w:right="160"/>
        <w:spacing w:after="0" w:line="308" w:lineRule="auto"/>
        <w:rPr>
          <w:sz w:val="20"/>
          <w:szCs w:val="20"/>
          <w:color w:val="auto"/>
        </w:rPr>
      </w:pPr>
      <w:r>
        <w:rPr>
          <w:rFonts w:ascii="Arial" w:cs="Arial" w:eastAsia="Arial" w:hAnsi="Arial"/>
          <w:sz w:val="17"/>
          <w:szCs w:val="17"/>
          <w:color w:val="auto"/>
        </w:rPr>
        <w:t>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w:t>
      </w:r>
    </w:p>
    <w:p>
      <w:pPr>
        <w:spacing w:after="0" w:line="34" w:lineRule="exact"/>
        <w:rPr>
          <w:sz w:val="20"/>
          <w:szCs w:val="20"/>
          <w:color w:val="auto"/>
        </w:rPr>
      </w:pPr>
    </w:p>
    <w:p>
      <w:pPr>
        <w:ind w:right="80" w:firstLine="233"/>
        <w:spacing w:after="0" w:line="282" w:lineRule="auto"/>
        <w:tabs>
          <w:tab w:leader="none" w:pos="467"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60" w:hanging="436"/>
        <w:spacing w:after="0" w:line="271"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contendre </w:t>
      </w:r>
      <w:r>
        <w:rPr>
          <w:rFonts w:ascii="Arial" w:cs="Arial" w:eastAsia="Arial" w:hAnsi="Arial"/>
          <w:sz w:val="17"/>
          <w:szCs w:val="17"/>
          <w:color w:val="auto"/>
        </w:rPr>
        <w:t>to, any felony; (D) willfully or intentionally caused material injury to the Company, its property, or its assets; (E) disclosed to</w:t>
      </w:r>
      <w:r>
        <w:rPr>
          <w:rFonts w:ascii="Arial" w:cs="Arial" w:eastAsia="Arial" w:hAnsi="Arial"/>
          <w:sz w:val="17"/>
          <w:szCs w:val="17"/>
          <w:i w:val="1"/>
          <w:iCs w:val="1"/>
          <w:color w:val="auto"/>
        </w:rPr>
        <w:t xml:space="preserve"> </w:t>
      </w:r>
      <w:r>
        <w:rPr>
          <w:rFonts w:ascii="Arial" w:cs="Arial" w:eastAsia="Arial" w:hAnsi="Arial"/>
          <w:sz w:val="17"/>
          <w:szCs w:val="17"/>
          <w:color w:val="auto"/>
        </w:rPr>
        <w:t>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84" w:lineRule="exact"/>
        <w:rPr>
          <w:rFonts w:ascii="Arial" w:cs="Arial" w:eastAsia="Arial" w:hAnsi="Arial"/>
          <w:sz w:val="17"/>
          <w:szCs w:val="17"/>
          <w:color w:val="auto"/>
        </w:rPr>
      </w:pPr>
    </w:p>
    <w:p>
      <w:pPr>
        <w:ind w:left="660" w:right="40" w:hanging="436"/>
        <w:spacing w:after="0" w:line="264"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w:t>
      </w:r>
    </w:p>
    <w:p>
      <w:pPr>
        <w:spacing w:after="0" w:line="69" w:lineRule="exact"/>
        <w:rPr>
          <w:rFonts w:ascii="Arial" w:cs="Arial" w:eastAsia="Arial" w:hAnsi="Arial"/>
          <w:sz w:val="18"/>
          <w:szCs w:val="18"/>
          <w:color w:val="auto"/>
        </w:rPr>
      </w:pPr>
    </w:p>
    <w:p>
      <w:pPr>
        <w:ind w:right="280" w:firstLine="233"/>
        <w:spacing w:after="0" w:line="282" w:lineRule="auto"/>
        <w:tabs>
          <w:tab w:leader="none" w:pos="487"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8" w:lineRule="exact"/>
        <w:rPr>
          <w:sz w:val="20"/>
          <w:szCs w:val="20"/>
          <w:color w:val="auto"/>
        </w:rPr>
      </w:pPr>
    </w:p>
    <w:p>
      <w:pPr>
        <w:ind w:left="660" w:right="80" w:hanging="436"/>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660" w:right="80"/>
        <w:spacing w:after="0" w:line="255" w:lineRule="auto"/>
        <w:rPr>
          <w:sz w:val="20"/>
          <w:szCs w:val="20"/>
          <w:color w:val="auto"/>
        </w:rPr>
      </w:pPr>
      <w:r>
        <w:rPr>
          <w:rFonts w:ascii="Arial" w:cs="Arial" w:eastAsia="Arial" w:hAnsi="Arial"/>
          <w:sz w:val="18"/>
          <w:szCs w:val="18"/>
          <w:color w:val="auto"/>
        </w:rPr>
        <w:t>other absence); provided that if the Company becomes a fifty percent or more subsidiary of any other entity, Executive shall be deemed to have a substantial change in the core duties of his position unless he is also the equivalent of a Senior Vice-President of the Company or such other successor entity of the ultimate parent entity; (B) removal or the non-reelection of Executive from the officer position with the Company specified herein, or removal of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95" w:lineRule="exact"/>
        <w:rPr>
          <w:sz w:val="20"/>
          <w:szCs w:val="20"/>
          <w:color w:val="auto"/>
        </w:rPr>
      </w:pPr>
    </w:p>
    <w:p>
      <w:pPr>
        <w:ind w:left="660" w:hanging="436"/>
        <w:spacing w:after="0" w:line="27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66" w:lineRule="exact"/>
        <w:rPr>
          <w:sz w:val="20"/>
          <w:szCs w:val="20"/>
          <w:color w:val="auto"/>
        </w:rPr>
      </w:pPr>
    </w:p>
    <w:p>
      <w:pPr>
        <w:ind w:right="380" w:firstLine="233"/>
        <w:spacing w:after="0" w:line="282" w:lineRule="auto"/>
        <w:tabs>
          <w:tab w:leader="none" w:pos="46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23, as applicable to the form of termination:</w:t>
      </w:r>
    </w:p>
    <w:p>
      <w:pPr>
        <w:spacing w:after="0" w:line="69" w:lineRule="exact"/>
        <w:rPr>
          <w:sz w:val="20"/>
          <w:szCs w:val="20"/>
          <w:color w:val="auto"/>
        </w:rPr>
      </w:pPr>
    </w:p>
    <w:p>
      <w:pPr>
        <w:ind w:right="100" w:firstLine="233"/>
        <w:spacing w:after="0" w:line="282" w:lineRule="auto"/>
        <w:tabs>
          <w:tab w:leader="none" w:pos="47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left="640" w:right="40"/>
        <w:spacing w:after="0" w:line="312" w:lineRule="auto"/>
        <w:rPr>
          <w:sz w:val="20"/>
          <w:szCs w:val="20"/>
          <w:color w:val="auto"/>
        </w:rPr>
      </w:pPr>
      <w:r>
        <w:rPr>
          <w:rFonts w:ascii="Arial" w:cs="Arial" w:eastAsia="Arial" w:hAnsi="Arial"/>
          <w:sz w:val="16"/>
          <w:szCs w:val="16"/>
          <w:color w:val="auto"/>
        </w:rPr>
        <w:t>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52" w:lineRule="exact"/>
        <w:rPr>
          <w:sz w:val="20"/>
          <w:szCs w:val="20"/>
          <w:color w:val="auto"/>
        </w:rPr>
      </w:pPr>
    </w:p>
    <w:p>
      <w:pPr>
        <w:ind w:left="64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left="-20" w:right="200" w:firstLine="233"/>
        <w:spacing w:after="0" w:line="282" w:lineRule="auto"/>
        <w:tabs>
          <w:tab w:leader="none" w:pos="46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58" w:lineRule="exact"/>
        <w:rPr>
          <w:sz w:val="20"/>
          <w:szCs w:val="20"/>
          <w:color w:val="auto"/>
        </w:rPr>
      </w:pPr>
    </w:p>
    <w:p>
      <w:pPr>
        <w:jc w:val="both"/>
        <w:ind w:left="640" w:right="340" w:hanging="436"/>
        <w:spacing w:after="0" w:line="30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Executive.</w:t>
      </w:r>
    </w:p>
    <w:p>
      <w:pPr>
        <w:spacing w:after="0" w:line="59" w:lineRule="exact"/>
        <w:rPr>
          <w:rFonts w:ascii="Arial" w:cs="Arial" w:eastAsia="Arial" w:hAnsi="Arial"/>
          <w:sz w:val="16"/>
          <w:szCs w:val="16"/>
          <w:color w:val="auto"/>
        </w:rPr>
      </w:pPr>
    </w:p>
    <w:p>
      <w:pPr>
        <w:ind w:left="640" w:right="40" w:hanging="436"/>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shall be determined and paid in accordance with the terms of such plans, policies and arrangements.</w:t>
      </w:r>
    </w:p>
    <w:p>
      <w:pPr>
        <w:spacing w:after="0" w:line="58" w:lineRule="exact"/>
        <w:rPr>
          <w:sz w:val="20"/>
          <w:szCs w:val="20"/>
          <w:color w:val="auto"/>
        </w:rPr>
      </w:pPr>
    </w:p>
    <w:p>
      <w:pPr>
        <w:ind w:left="-20" w:right="400" w:firstLine="233"/>
        <w:spacing w:after="0" w:line="282" w:lineRule="auto"/>
        <w:tabs>
          <w:tab w:leader="none" w:pos="447"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40" w:right="340" w:hanging="436"/>
        <w:spacing w:after="0" w:line="342" w:lineRule="auto"/>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100" w:hanging="436"/>
        <w:spacing w:after="0" w:line="308"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left="-20" w:right="40" w:firstLine="233"/>
        <w:spacing w:after="0" w:line="282" w:lineRule="auto"/>
        <w:tabs>
          <w:tab w:leader="none" w:pos="467"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amounts to Executive:</w:t>
      </w:r>
    </w:p>
    <w:p>
      <w:pPr>
        <w:spacing w:after="0" w:line="117" w:lineRule="exact"/>
        <w:rPr>
          <w:sz w:val="20"/>
          <w:szCs w:val="20"/>
          <w:color w:val="auto"/>
        </w:rPr>
      </w:pPr>
    </w:p>
    <w:p>
      <w:pPr>
        <w:ind w:left="660" w:right="320" w:hanging="436"/>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60" w:right="80" w:hanging="43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right="180" w:firstLine="233"/>
        <w:spacing w:after="0" w:line="261" w:lineRule="auto"/>
        <w:tabs>
          <w:tab w:leader="none" w:pos="467"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76" w:lineRule="exact"/>
        <w:rPr>
          <w:sz w:val="20"/>
          <w:szCs w:val="20"/>
          <w:color w:val="auto"/>
        </w:rPr>
      </w:pPr>
    </w:p>
    <w:p>
      <w:pPr>
        <w:ind w:left="660" w:right="320" w:hanging="436"/>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60" w:right="700" w:hanging="43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jc w:val="both"/>
        <w:ind w:left="660" w:right="100" w:hanging="436"/>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59" w:lineRule="exact"/>
        <w:rPr>
          <w:rFonts w:ascii="Arial" w:cs="Arial" w:eastAsia="Arial" w:hAnsi="Arial"/>
          <w:sz w:val="16"/>
          <w:szCs w:val="16"/>
          <w:color w:val="auto"/>
        </w:rPr>
      </w:pPr>
    </w:p>
    <w:p>
      <w:pPr>
        <w:ind w:left="660" w:hanging="436"/>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left="640"/>
        <w:spacing w:after="0" w:line="259" w:lineRule="auto"/>
        <w:rPr>
          <w:sz w:val="20"/>
          <w:szCs w:val="20"/>
          <w:color w:val="auto"/>
        </w:rPr>
      </w:pPr>
      <w:r>
        <w:rPr>
          <w:rFonts w:ascii="Arial" w:cs="Arial" w:eastAsia="Arial" w:hAnsi="Arial"/>
          <w:sz w:val="18"/>
          <w:szCs w:val="18"/>
          <w:color w:val="auto"/>
        </w:rPr>
        <w:t>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92" w:lineRule="exact"/>
        <w:rPr>
          <w:sz w:val="20"/>
          <w:szCs w:val="20"/>
          <w:color w:val="auto"/>
        </w:rPr>
      </w:pPr>
    </w:p>
    <w:p>
      <w:pPr>
        <w:ind w:left="640" w:right="20" w:hanging="436"/>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Executive is terminated.</w:t>
      </w:r>
    </w:p>
    <w:p>
      <w:pPr>
        <w:spacing w:after="0" w:line="69" w:lineRule="exact"/>
        <w:rPr>
          <w:sz w:val="20"/>
          <w:szCs w:val="20"/>
          <w:color w:val="auto"/>
        </w:rPr>
      </w:pPr>
    </w:p>
    <w:p>
      <w:pPr>
        <w:ind w:left="-20" w:right="40" w:firstLine="233"/>
        <w:spacing w:after="0" w:line="266" w:lineRule="auto"/>
        <w:tabs>
          <w:tab w:leader="none" w:pos="43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640" w:hanging="436"/>
        <w:spacing w:after="0" w:line="277"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640" w:right="200" w:hanging="436"/>
        <w:spacing w:after="0" w:line="277"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 (iv) or 6(e)(v).</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left="-20" w:right="20" w:firstLine="233"/>
        <w:spacing w:after="0" w:line="281" w:lineRule="auto"/>
        <w:tabs>
          <w:tab w:leader="none" w:pos="460" w:val="left"/>
        </w:tabs>
        <w:numPr>
          <w:ilvl w:val="1"/>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Terminations During a Change in Control Period. </w:t>
      </w:r>
      <w:r>
        <w:rPr>
          <w:rFonts w:ascii="Arial" w:cs="Arial" w:eastAsia="Arial" w:hAnsi="Arial"/>
          <w:sz w:val="17"/>
          <w:szCs w:val="17"/>
          <w:color w:val="auto"/>
        </w:rPr>
        <w:t>Subject to potential reduction as may be required by Section 23, in the event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occurs and (x) Executive terminates his employment 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0" w:lineRule="exact"/>
        <w:rPr>
          <w:rFonts w:ascii="Arial" w:cs="Arial" w:eastAsia="Arial" w:hAnsi="Arial"/>
          <w:sz w:val="17"/>
          <w:szCs w:val="17"/>
          <w:b w:val="1"/>
          <w:bCs w:val="1"/>
          <w:color w:val="auto"/>
        </w:rPr>
      </w:pPr>
    </w:p>
    <w:p>
      <w:pPr>
        <w:ind w:left="640" w:right="660" w:hanging="436"/>
        <w:spacing w:after="0" w:line="264"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6" w:lineRule="exact"/>
        <w:rPr>
          <w:rFonts w:ascii="Arial" w:cs="Arial" w:eastAsia="Arial" w:hAnsi="Arial"/>
          <w:sz w:val="18"/>
          <w:szCs w:val="18"/>
          <w:color w:val="auto"/>
        </w:rPr>
      </w:pPr>
    </w:p>
    <w:p>
      <w:pPr>
        <w:ind w:left="640" w:right="20" w:hanging="436"/>
        <w:spacing w:after="0" w:line="264"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5" w:name="page16"/>
    <w:bookmarkEnd w:id="15"/>
    <w:p>
      <w:pPr>
        <w:ind w:left="440" w:right="80"/>
        <w:spacing w:after="0" w:line="312" w:lineRule="auto"/>
        <w:rPr>
          <w:sz w:val="20"/>
          <w:szCs w:val="20"/>
          <w:color w:val="auto"/>
        </w:rPr>
      </w:pPr>
      <w:r>
        <w:rPr>
          <w:rFonts w:ascii="Arial" w:cs="Arial" w:eastAsia="Arial" w:hAnsi="Arial"/>
          <w:sz w:val="16"/>
          <w:szCs w:val="16"/>
          <w:color w:val="auto"/>
        </w:rPr>
        <w:t>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35" w:lineRule="exact"/>
        <w:rPr>
          <w:sz w:val="20"/>
          <w:szCs w:val="20"/>
          <w:color w:val="auto"/>
        </w:rPr>
      </w:pPr>
    </w:p>
    <w:p>
      <w:pPr>
        <w:ind w:left="280" w:hanging="267"/>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rFonts w:ascii="Arial" w:cs="Arial" w:eastAsia="Arial" w:hAnsi="Arial"/>
          <w:sz w:val="18"/>
          <w:szCs w:val="18"/>
          <w:b w:val="1"/>
          <w:bCs w:val="1"/>
          <w:color w:val="auto"/>
        </w:rPr>
      </w:pPr>
    </w:p>
    <w:p>
      <w:pPr>
        <w:ind w:left="440" w:right="520" w:hanging="436"/>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480" w:right="180" w:hanging="7"/>
        <w:spacing w:after="0" w:line="277" w:lineRule="auto"/>
        <w:tabs>
          <w:tab w:leader="none" w:pos="775"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62" w:lineRule="exact"/>
        <w:rPr>
          <w:rFonts w:ascii="Arial" w:cs="Arial" w:eastAsia="Arial" w:hAnsi="Arial"/>
          <w:sz w:val="18"/>
          <w:szCs w:val="18"/>
          <w:color w:val="auto"/>
        </w:rPr>
      </w:pPr>
    </w:p>
    <w:p>
      <w:pPr>
        <w:ind w:left="480" w:right="20" w:hanging="7"/>
        <w:spacing w:after="0" w:line="273" w:lineRule="auto"/>
        <w:tabs>
          <w:tab w:leader="none" w:pos="765"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70" w:lineRule="exact"/>
        <w:rPr>
          <w:rFonts w:ascii="Arial" w:cs="Arial" w:eastAsia="Arial" w:hAnsi="Arial"/>
          <w:sz w:val="17"/>
          <w:szCs w:val="17"/>
          <w:color w:val="auto"/>
        </w:rPr>
      </w:pPr>
    </w:p>
    <w:p>
      <w:pPr>
        <w:ind w:left="480" w:right="40" w:hanging="7"/>
        <w:spacing w:after="0" w:line="273" w:lineRule="auto"/>
        <w:tabs>
          <w:tab w:leader="none" w:pos="765"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70" w:lineRule="exact"/>
        <w:rPr>
          <w:rFonts w:ascii="Arial" w:cs="Arial" w:eastAsia="Arial" w:hAnsi="Arial"/>
          <w:sz w:val="17"/>
          <w:szCs w:val="17"/>
          <w:color w:val="auto"/>
        </w:rPr>
      </w:pPr>
    </w:p>
    <w:p>
      <w:pPr>
        <w:ind w:left="480" w:hanging="7"/>
        <w:spacing w:after="0" w:line="259" w:lineRule="auto"/>
        <w:tabs>
          <w:tab w:leader="none" w:pos="775"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6" w:name="page17"/>
    <w:bookmarkEnd w:id="16"/>
    <w:p>
      <w:pPr>
        <w:ind w:left="580" w:right="220"/>
        <w:spacing w:after="0" w:line="277" w:lineRule="auto"/>
        <w:rPr>
          <w:sz w:val="20"/>
          <w:szCs w:val="20"/>
          <w:color w:val="auto"/>
        </w:rPr>
      </w:pPr>
      <w:r>
        <w:rPr>
          <w:rFonts w:ascii="Arial" w:cs="Arial" w:eastAsia="Arial" w:hAnsi="Arial"/>
          <w:sz w:val="18"/>
          <w:szCs w:val="18"/>
          <w:color w:val="auto"/>
        </w:rPr>
        <w:t>which are owned by stockholders of the Company in substantially the same proportions as their ownership of the Company immediately prior to such sale.</w:t>
      </w:r>
    </w:p>
    <w:p>
      <w:pPr>
        <w:spacing w:after="0" w:line="62" w:lineRule="exact"/>
        <w:rPr>
          <w:sz w:val="20"/>
          <w:szCs w:val="20"/>
          <w:color w:val="auto"/>
        </w:rPr>
      </w:pPr>
    </w:p>
    <w:p>
      <w:pPr>
        <w:ind w:left="540" w:hanging="43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30" w:lineRule="exact"/>
        <w:rPr>
          <w:rFonts w:ascii="Arial" w:cs="Arial" w:eastAsia="Arial" w:hAnsi="Arial"/>
          <w:sz w:val="18"/>
          <w:szCs w:val="18"/>
          <w:color w:val="auto"/>
        </w:rPr>
      </w:pPr>
    </w:p>
    <w:p>
      <w:pPr>
        <w:ind w:left="540" w:right="100" w:hanging="436"/>
        <w:spacing w:after="0" w:line="34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29" w:lineRule="exact"/>
        <w:rPr>
          <w:rFonts w:ascii="Arial" w:cs="Arial" w:eastAsia="Arial" w:hAnsi="Arial"/>
          <w:sz w:val="16"/>
          <w:szCs w:val="16"/>
          <w:color w:val="auto"/>
        </w:rPr>
      </w:pPr>
    </w:p>
    <w:p>
      <w:pPr>
        <w:ind w:left="540" w:hanging="43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30" w:lineRule="exact"/>
        <w:rPr>
          <w:rFonts w:ascii="Arial" w:cs="Arial" w:eastAsia="Arial" w:hAnsi="Arial"/>
          <w:sz w:val="18"/>
          <w:szCs w:val="18"/>
          <w:color w:val="auto"/>
        </w:rPr>
      </w:pPr>
    </w:p>
    <w:p>
      <w:pPr>
        <w:ind w:left="540" w:right="60" w:hanging="436"/>
        <w:spacing w:after="0" w:line="25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93" w:lineRule="exact"/>
        <w:rPr>
          <w:rFonts w:ascii="Arial" w:cs="Arial" w:eastAsia="Arial" w:hAnsi="Arial"/>
          <w:sz w:val="18"/>
          <w:szCs w:val="18"/>
          <w:color w:val="auto"/>
        </w:rPr>
      </w:pPr>
    </w:p>
    <w:p>
      <w:pPr>
        <w:ind w:left="540" w:right="140" w:hanging="436"/>
        <w:spacing w:after="0" w:line="276"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60" w:lineRule="exact"/>
        <w:rPr>
          <w:rFonts w:ascii="Arial" w:cs="Arial" w:eastAsia="Arial" w:hAnsi="Arial"/>
          <w:sz w:val="17"/>
          <w:szCs w:val="17"/>
          <w:color w:val="auto"/>
        </w:rPr>
      </w:pPr>
    </w:p>
    <w:p>
      <w:pPr>
        <w:jc w:val="both"/>
        <w:ind w:left="-120" w:firstLine="233"/>
        <w:spacing w:after="0" w:line="314" w:lineRule="auto"/>
        <w:tabs>
          <w:tab w:leader="none" w:pos="285"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60" w:top="935" w:right="339" w:bottom="1440" w:gutter="0" w:footer="0" w:header="0"/>
        </w:sectPr>
      </w:pPr>
    </w:p>
    <w:bookmarkStart w:id="17" w:name="page18"/>
    <w:bookmarkEnd w:id="17"/>
    <w:p>
      <w:pPr>
        <w:ind w:right="20" w:firstLine="233"/>
        <w:spacing w:after="0" w:line="258" w:lineRule="auto"/>
        <w:tabs>
          <w:tab w:leader="none" w:pos="40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Executive or others, except upon obtaining by the Company of a final non-appealable judgment against Executive.</w:t>
      </w:r>
    </w:p>
    <w:p>
      <w:pPr>
        <w:spacing w:after="0" w:line="75" w:lineRule="exact"/>
        <w:rPr>
          <w:rFonts w:ascii="Arial" w:cs="Arial" w:eastAsia="Arial" w:hAnsi="Arial"/>
          <w:sz w:val="18"/>
          <w:szCs w:val="18"/>
          <w:b w:val="1"/>
          <w:bCs w:val="1"/>
          <w:color w:val="auto"/>
        </w:rPr>
      </w:pPr>
    </w:p>
    <w:p>
      <w:pPr>
        <w:ind w:left="500" w:hanging="267"/>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right="120" w:firstLine="233"/>
        <w:spacing w:after="0" w:line="255" w:lineRule="auto"/>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77" w:lineRule="exact"/>
        <w:rPr>
          <w:rFonts w:ascii="Arial" w:cs="Arial" w:eastAsia="Arial" w:hAnsi="Arial"/>
          <w:sz w:val="18"/>
          <w:szCs w:val="18"/>
          <w:b w:val="1"/>
          <w:bCs w:val="1"/>
          <w:color w:val="auto"/>
        </w:rPr>
      </w:pPr>
    </w:p>
    <w:p>
      <w:pPr>
        <w:ind w:right="140" w:firstLine="233"/>
        <w:spacing w:after="0" w:line="347" w:lineRule="auto"/>
        <w:tabs>
          <w:tab w:leader="none" w:pos="49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provided and will continue to provide Executive with access to “Confidential Information” relating to the business of the Company and its affiliates.</w:t>
      </w:r>
    </w:p>
    <w:p>
      <w:pPr>
        <w:spacing w:after="0" w:line="1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8" w:name="page19"/>
    <w:bookmarkEnd w:id="18"/>
    <w:p>
      <w:pPr>
        <w:ind w:right="100"/>
        <w:spacing w:after="0" w:line="293" w:lineRule="auto"/>
        <w:rPr>
          <w:sz w:val="20"/>
          <w:szCs w:val="20"/>
          <w:color w:val="auto"/>
        </w:rPr>
      </w:pPr>
      <w:r>
        <w:rPr>
          <w:rFonts w:ascii="Arial" w:cs="Arial" w:eastAsia="Arial" w:hAnsi="Arial"/>
          <w:sz w:val="16"/>
          <w:szCs w:val="16"/>
          <w:color w:val="auto"/>
        </w:rPr>
        <w:t>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5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62"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75" w:lineRule="exact"/>
        <w:rPr>
          <w:sz w:val="20"/>
          <w:szCs w:val="20"/>
          <w:color w:val="auto"/>
        </w:rPr>
      </w:pPr>
    </w:p>
    <w:p>
      <w:pPr>
        <w:ind w:firstLine="233"/>
        <w:spacing w:after="0" w:line="292" w:lineRule="auto"/>
        <w:tabs>
          <w:tab w:leader="none" w:pos="47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The Company agrees to and shall provide Executive with immediate access to Confidential Information.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left="700" w:right="80"/>
        <w:spacing w:after="0" w:line="297"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79"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53" w:lineRule="exact"/>
        <w:rPr>
          <w:sz w:val="20"/>
          <w:szCs w:val="20"/>
          <w:color w:val="auto"/>
        </w:rPr>
      </w:pPr>
    </w:p>
    <w:p>
      <w:pPr>
        <w:jc w:val="both"/>
        <w:ind w:right="320" w:firstLine="233"/>
        <w:spacing w:after="0" w:line="261" w:lineRule="auto"/>
        <w:tabs>
          <w:tab w:leader="none" w:pos="49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71" w:lineRule="exact"/>
        <w:rPr>
          <w:rFonts w:ascii="Arial" w:cs="Arial" w:eastAsia="Arial" w:hAnsi="Arial"/>
          <w:sz w:val="18"/>
          <w:szCs w:val="18"/>
          <w:b w:val="1"/>
          <w:bCs w:val="1"/>
          <w:color w:val="auto"/>
        </w:rPr>
      </w:pPr>
    </w:p>
    <w:p>
      <w:pPr>
        <w:ind w:right="180" w:firstLine="233"/>
        <w:spacing w:after="0" w:line="261" w:lineRule="auto"/>
        <w:tabs>
          <w:tab w:leader="none" w:pos="4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60" w:firstLine="233"/>
        <w:spacing w:after="0" w:line="261" w:lineRule="auto"/>
        <w:tabs>
          <w:tab w:leader="none" w:pos="45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17" w:lineRule="exact"/>
        <w:rPr>
          <w:sz w:val="20"/>
          <w:szCs w:val="20"/>
          <w:color w:val="auto"/>
        </w:rPr>
      </w:pPr>
    </w:p>
    <w:p>
      <w:pPr>
        <w:ind w:right="40" w:firstLine="233"/>
        <w:spacing w:after="0" w:line="289" w:lineRule="auto"/>
        <w:tabs>
          <w:tab w:leader="none" w:pos="477"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50" w:lineRule="exact"/>
        <w:rPr>
          <w:rFonts w:ascii="Arial" w:cs="Arial" w:eastAsia="Arial" w:hAnsi="Arial"/>
          <w:sz w:val="17"/>
          <w:szCs w:val="17"/>
          <w:b w:val="1"/>
          <w:bCs w:val="1"/>
          <w:color w:val="auto"/>
        </w:rPr>
      </w:pPr>
    </w:p>
    <w:p>
      <w:pPr>
        <w:ind w:left="500" w:hanging="267"/>
        <w:spacing w:after="0"/>
        <w:tabs>
          <w:tab w:leader="none" w:pos="500"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120" w:firstLine="8"/>
        <w:spacing w:after="0" w:line="261"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71" w:lineRule="exact"/>
        <w:rPr>
          <w:rFonts w:ascii="Arial" w:cs="Arial" w:eastAsia="Arial" w:hAnsi="Arial"/>
          <w:sz w:val="18"/>
          <w:szCs w:val="18"/>
          <w:color w:val="auto"/>
        </w:rPr>
      </w:pPr>
    </w:p>
    <w:p>
      <w:pPr>
        <w:ind w:firstLine="233"/>
        <w:spacing w:after="0" w:line="290" w:lineRule="auto"/>
        <w:tabs>
          <w:tab w:leader="none" w:pos="470"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shall indemnify and hold harmless Executive to the fullest extent permitted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t>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Disputes and Payment of Attorney’s Fees.</w:t>
      </w:r>
    </w:p>
    <w:p>
      <w:pPr>
        <w:spacing w:after="0" w:line="12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Requirement of Timely Payments.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160" w:firstLine="225"/>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Source of Payments.</w:t>
      </w:r>
    </w:p>
    <w:p>
      <w:pPr>
        <w:spacing w:after="0" w:line="121"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Assignment.</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b w:val="1"/>
          <w:bCs w:val="1"/>
          <w:color w:val="auto"/>
        </w:rPr>
        <w:t>19. Entire Agreement; Amendment.</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Governing Law.</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Notices.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81" w:lineRule="exact"/>
        <w:rPr>
          <w:sz w:val="20"/>
          <w:szCs w:val="20"/>
          <w:color w:val="auto"/>
        </w:rPr>
      </w:pPr>
    </w:p>
    <w:p>
      <w:pPr>
        <w:ind w:left="1340"/>
        <w:spacing w:after="0"/>
        <w:tabs>
          <w:tab w:leader="none" w:pos="2780"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6"/>
          <w:szCs w:val="16"/>
          <w:color w:val="auto"/>
        </w:rPr>
        <w:t>Waste Management , Inc.</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ind w:left="1340"/>
        <w:spacing w:after="0"/>
        <w:tabs>
          <w:tab w:leader="none" w:pos="2780" w:val="left"/>
        </w:tabs>
        <w:rPr>
          <w:sz w:val="20"/>
          <w:szCs w:val="20"/>
          <w:color w:val="auto"/>
        </w:rPr>
      </w:pPr>
      <w:r>
        <w:rPr>
          <w:rFonts w:ascii="Arial" w:cs="Arial" w:eastAsia="Arial" w:hAnsi="Arial"/>
          <w:sz w:val="18"/>
          <w:szCs w:val="18"/>
          <w:color w:val="auto"/>
        </w:rPr>
        <w:t>To Executive:</w:t>
      </w:r>
      <w:r>
        <w:rPr>
          <w:sz w:val="20"/>
          <w:szCs w:val="20"/>
          <w:color w:val="auto"/>
        </w:rPr>
        <w:tab/>
      </w:r>
      <w:r>
        <w:rPr>
          <w:rFonts w:ascii="Arial" w:cs="Arial" w:eastAsia="Arial" w:hAnsi="Arial"/>
          <w:sz w:val="16"/>
          <w:szCs w:val="16"/>
          <w:color w:val="auto"/>
        </w:rPr>
        <w:t>At the address for Executive set forth below.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Miscellaneous.</w:t>
      </w:r>
    </w:p>
    <w:p>
      <w:pPr>
        <w:spacing w:after="0" w:line="117" w:lineRule="exact"/>
        <w:rPr>
          <w:sz w:val="20"/>
          <w:szCs w:val="20"/>
          <w:color w:val="auto"/>
        </w:rPr>
      </w:pPr>
    </w:p>
    <w:p>
      <w:pPr>
        <w:ind w:right="40" w:firstLine="233"/>
        <w:spacing w:after="0" w:line="282" w:lineRule="auto"/>
        <w:tabs>
          <w:tab w:leader="none" w:pos="47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right="200" w:firstLine="233"/>
        <w:spacing w:after="0" w:line="266" w:lineRule="auto"/>
        <w:tabs>
          <w:tab w:leader="none" w:pos="49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480" w:hanging="247"/>
        <w:spacing w:after="0"/>
        <w:tabs>
          <w:tab w:leader="none" w:pos="4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500" w:hanging="267"/>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left="480" w:hanging="247"/>
        <w:spacing w:after="0"/>
        <w:tabs>
          <w:tab w:leader="none" w:pos="4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each of which so executed shall be deemed to be an original, and such counterparts will together constitute but one Agreement.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 Potential Limitation on Severance Benefits.</w:t>
      </w:r>
    </w:p>
    <w:p>
      <w:pPr>
        <w:spacing w:after="0" w:line="117" w:lineRule="exact"/>
        <w:rPr>
          <w:sz w:val="20"/>
          <w:szCs w:val="20"/>
          <w:color w:val="auto"/>
        </w:rPr>
      </w:pPr>
    </w:p>
    <w:p>
      <w:pPr>
        <w:ind w:right="60" w:firstLine="233"/>
        <w:spacing w:after="0" w:line="255" w:lineRule="auto"/>
        <w:tabs>
          <w:tab w:leader="none" w:pos="48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Severance Amount. </w:t>
      </w:r>
      <w:r>
        <w:rPr>
          <w:rFonts w:ascii="Arial" w:cs="Arial" w:eastAsia="Arial" w:hAnsi="Arial"/>
          <w:sz w:val="18"/>
          <w:szCs w:val="18"/>
          <w:color w:val="auto"/>
        </w:rPr>
        <w:t>Notwithstanding any provision in this Agreement to the contrary, in the event of a qualifying termination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under Section 6(e) or Section 7 of this Agreement it is determined by the Company that the present value of payments or distributions by the Company, its subsidiaries or affiliated entities to or for the benefit of Executive (whether paid or provided pursuant to the terms of this Agreement or otherwise) (“Severance Benefits”) would exceed 2.99 times the sum of Executive’s then current base salary and target bonus (the “Maximum Severance Amount”), then the aggregate present value of the Severance Benefits provided to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81" w:lineRule="exact"/>
        <w:rPr>
          <w:rFonts w:ascii="Arial" w:cs="Arial" w:eastAsia="Arial" w:hAnsi="Arial"/>
          <w:sz w:val="18"/>
          <w:szCs w:val="18"/>
          <w:b w:val="1"/>
          <w:bCs w:val="1"/>
          <w:color w:val="auto"/>
        </w:rPr>
      </w:pPr>
    </w:p>
    <w:p>
      <w:pPr>
        <w:ind w:firstLine="233"/>
        <w:spacing w:after="0" w:line="284" w:lineRule="auto"/>
        <w:tabs>
          <w:tab w:leader="none" w:pos="490"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Maximum Severance Amount. </w:t>
      </w:r>
      <w:r>
        <w:rPr>
          <w:rFonts w:ascii="Arial" w:cs="Arial" w:eastAsia="Arial" w:hAnsi="Arial"/>
          <w:sz w:val="16"/>
          <w:szCs w:val="16"/>
          <w:color w:val="auto"/>
        </w:rPr>
        <w:t>For purposes of determining the Maximum Severance Amount under this Section 23,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calculation of the Maximum Severance Amount will include: (i) cash amounts payable by the Company in the event of termination of Executive’s employment; and (ii) the present value of benefits or perquisites provided for periods after termination of employment (but excluding benefits or perquisites provided to employees generally). The calculation of the Maximum Severance Amount will not include the following benefits: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w:t>
      </w:r>
    </w:p>
    <w:p>
      <w:pPr>
        <w:spacing w:after="0" w:line="3" w:lineRule="exact"/>
        <w:rPr>
          <w:rFonts w:ascii="Arial" w:cs="Arial" w:eastAsia="Arial" w:hAnsi="Arial"/>
          <w:sz w:val="16"/>
          <w:szCs w:val="16"/>
          <w:b w:val="1"/>
          <w:bCs w:val="1"/>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payment that the Board or any committee thereof determines in good faith to be a reasonable settlement of any claim made against the Company.</w:t>
      </w:r>
    </w:p>
    <w:p>
      <w:pPr>
        <w:spacing w:after="0" w:line="121" w:lineRule="exact"/>
        <w:rPr>
          <w:rFonts w:ascii="Arial" w:cs="Arial" w:eastAsia="Arial" w:hAnsi="Arial"/>
          <w:sz w:val="16"/>
          <w:szCs w:val="16"/>
          <w:color w:val="auto"/>
        </w:rPr>
      </w:pPr>
    </w:p>
    <w:p>
      <w:pPr>
        <w:ind w:right="60" w:firstLine="233"/>
        <w:spacing w:after="0" w:line="295" w:lineRule="auto"/>
        <w:tabs>
          <w:tab w:leader="none" w:pos="470"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Possible Further Reduction. </w:t>
      </w:r>
      <w:r>
        <w:rPr>
          <w:rFonts w:ascii="Arial" w:cs="Arial" w:eastAsia="Arial" w:hAnsi="Arial"/>
          <w:sz w:val="16"/>
          <w:szCs w:val="16"/>
          <w:color w:val="auto"/>
        </w:rPr>
        <w:t>Following application of Section 23(b), in the event that the payment of the remaining Severance Benefits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payment or benefit received in connection with a Change in Control or the termination of Executive’s employment), would be subject (in whole or part), to any excise tax imposed under section 4999 of the Code (the “Excise Tax”), then the cash portion of the Severance Benefits shall first be further reduced, and the non-cash Severance Benefits shall thereafter be further reduced, to the extent necessary so that no portion of the Severance Benefits is subject to the Excise Tax, but only if (i) the net amount of the Severance Benefits to be received by Executive, as so additionally reduced by this Section 23(c) (and after subtracting the net amount of federal, state and local income taxes on such additionally reduced Severance Benefits and after taking into</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account the phase out of itemized deductions and personal exemptions attributable to such additionally reduced Severance Benefits) is greater than or equal to</w:t>
      </w:r>
    </w:p>
    <w:p>
      <w:pPr>
        <w:spacing w:after="0" w:line="46" w:lineRule="exact"/>
        <w:rPr>
          <w:sz w:val="20"/>
          <w:szCs w:val="20"/>
          <w:color w:val="auto"/>
        </w:rPr>
      </w:pPr>
    </w:p>
    <w:p>
      <w:pPr>
        <w:ind w:right="60" w:firstLine="8"/>
        <w:spacing w:after="0" w:line="253"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net amount of the Severance Benefits to be received by Executive without such additional reduction (but after subtracting the net amount of federal, state and local income taxes on such Severance Benefits and the amount of Excise Tax to which Executive would be subject in respect of such unreduced Severance Benefits and after taking into account the phase out of itemized deductions and personal exemptions attributable to such unreduced Severance Benefits ); provided, however, that Executive may elect to have the non-cash portion of the Severance Benefits reduced (or eliminated) prior to any reduction of the cash portion of the Severance Benefits.</w:t>
      </w:r>
    </w:p>
    <w:p>
      <w:pPr>
        <w:spacing w:after="0" w:line="79" w:lineRule="exact"/>
        <w:rPr>
          <w:rFonts w:ascii="Arial" w:cs="Arial" w:eastAsia="Arial" w:hAnsi="Arial"/>
          <w:sz w:val="18"/>
          <w:szCs w:val="18"/>
          <w:color w:val="auto"/>
        </w:rPr>
      </w:pPr>
    </w:p>
    <w:p>
      <w:pPr>
        <w:ind w:right="40" w:firstLine="233"/>
        <w:spacing w:after="0" w:line="289" w:lineRule="auto"/>
        <w:tabs>
          <w:tab w:leader="none" w:pos="490"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Excise Tax. </w:t>
      </w:r>
      <w:r>
        <w:rPr>
          <w:rFonts w:ascii="Arial" w:cs="Arial" w:eastAsia="Arial" w:hAnsi="Arial"/>
          <w:sz w:val="16"/>
          <w:szCs w:val="16"/>
          <w:color w:val="auto"/>
        </w:rPr>
        <w:t>For purposes of determining whether and the extent to which portions of the Severance Benefits will be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(i) no portion of the Severance Benefits the receipt or enjoyment of which Executive shall have waived at such time and in such manner as not to constitute a “payment” within the meaning of section 280G(b) of the Code shall be taken into account, (ii) no portion of the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section 280G(b)(2) of the Code (including by reason of section 280G(b)(4)(A) of the Code) and, in calculating the Excise Tax, no portion of such Severance Benefits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Severance Benefits shall be determined by the Auditor in accordance with the principles of sections 280G(d)(3) and (4) of the Code.</w:t>
      </w:r>
    </w:p>
    <w:p>
      <w:pPr>
        <w:spacing w:after="0" w:line="53" w:lineRule="exact"/>
        <w:rPr>
          <w:rFonts w:ascii="Arial" w:cs="Arial" w:eastAsia="Arial" w:hAnsi="Arial"/>
          <w:sz w:val="16"/>
          <w:szCs w:val="16"/>
          <w:b w:val="1"/>
          <w:bCs w:val="1"/>
          <w:color w:val="auto"/>
        </w:rPr>
      </w:pPr>
    </w:p>
    <w:p>
      <w:pPr>
        <w:ind w:right="380" w:firstLine="233"/>
        <w:spacing w:after="0" w:line="282" w:lineRule="auto"/>
        <w:tabs>
          <w:tab w:leader="none" w:pos="47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Determination of Present Value. </w:t>
      </w:r>
      <w:r>
        <w:rPr>
          <w:rFonts w:ascii="Arial" w:cs="Arial" w:eastAsia="Arial" w:hAnsi="Arial"/>
          <w:sz w:val="18"/>
          <w:szCs w:val="18"/>
          <w:color w:val="auto"/>
        </w:rPr>
        <w:t>For purposes of this Section 23, the present value of Severance Benefits shall be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280G(d)(4) of the Code.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24. Code Section 409A.</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It is the intention of the Company and Executive that his Agreement not result in an unfavorable tax consequences to Executive under Section 409A of the Code (“Section 409A”). Executive consents to any amendment of this Agreement as the Company may reasonably make in furtherance of such intention, and the Company shall promptly provide, or make available to, Executive a copy of such amendment. Moreover, notwithstanding anything in this Agreement to the contrary, if Executive is deemed to be a “specified employee” for purposes of Section 409A, no severance payment or other payments pursuant to, or contemplated by, this Agreement that would otherwise result in excise taxes under Section 409A shall be made to Executive from the Company until the amount of time has elapsed that is necessary to avoid incurring excise taxes under Section 409A. Should this result in a delay of payments to Executive, on the first day any such payments may be made without Executive incurring an excise tax pursuant to Section 409A (the “409A Payment Date”), the Company shall begin to make such payments as described in this Agreement, provided that any amounts that would have been payable earlier but for the application of this Section 24, shall be paid in a lump-sum on the 409A Payment Date.”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Harris</w:t>
            </w:r>
          </w:p>
        </w:tc>
        <w:tc>
          <w:tcPr>
            <w:tcW w:w="6260" w:type="dxa"/>
            <w:vAlign w:val="bottom"/>
            <w:gridSpan w:val="2"/>
          </w:tcPr>
          <w:p>
            <w:pPr>
              <w:ind w:left="560"/>
              <w:spacing w:after="0"/>
              <w:rPr>
                <w:sz w:val="20"/>
                <w:szCs w:val="20"/>
                <w:color w:val="auto"/>
              </w:rPr>
            </w:pPr>
            <w:r>
              <w:rPr>
                <w:rFonts w:ascii="Arial" w:cs="Arial" w:eastAsia="Arial" w:hAnsi="Arial"/>
                <w:sz w:val="18"/>
                <w:szCs w:val="18"/>
                <w:b w:val="1"/>
                <w:bCs w:val="1"/>
                <w:color w:val="auto"/>
              </w:rPr>
              <w:t>WASTE MANAGEMENT, INC.</w:t>
            </w:r>
          </w:p>
        </w:tc>
      </w:tr>
      <w:tr>
        <w:trPr>
          <w:trHeight w:val="209"/>
        </w:trPr>
        <w:tc>
          <w:tcPr>
            <w:tcW w:w="5160" w:type="dxa"/>
            <w:vAlign w:val="bottom"/>
            <w:gridSpan w:val="2"/>
          </w:tcPr>
          <w:p>
            <w:pPr>
              <w:spacing w:after="0"/>
              <w:rPr>
                <w:sz w:val="20"/>
                <w:szCs w:val="20"/>
                <w:color w:val="auto"/>
              </w:rPr>
            </w:pPr>
            <w:r>
              <w:rPr>
                <w:rFonts w:ascii="Arial" w:cs="Arial" w:eastAsia="Arial" w:hAnsi="Arial"/>
                <w:sz w:val="18"/>
                <w:szCs w:val="18"/>
                <w:color w:val="auto"/>
              </w:rPr>
              <w:t>Jeff Harris</w:t>
            </w: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rPr>
              <w:t>(The “Company”)</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9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560"/>
              <w:spacing w:after="0"/>
              <w:rPr>
                <w:sz w:val="20"/>
                <w:szCs w:val="20"/>
                <w:color w:val="auto"/>
              </w:rPr>
            </w:pPr>
            <w:r>
              <w:rPr>
                <w:rFonts w:ascii="Arial" w:cs="Arial" w:eastAsia="Arial" w:hAnsi="Arial"/>
                <w:sz w:val="18"/>
                <w:szCs w:val="18"/>
                <w:color w:val="auto"/>
              </w:rPr>
              <w:t>By: /s/ Jimmy LaValley</w:t>
            </w:r>
          </w:p>
        </w:tc>
      </w:tr>
      <w:tr>
        <w:trPr>
          <w:trHeight w:val="209"/>
        </w:trPr>
        <w:tc>
          <w:tcPr>
            <w:tcW w:w="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Home Address</w:t>
            </w:r>
          </w:p>
        </w:tc>
        <w:tc>
          <w:tcPr>
            <w:tcW w:w="90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LaValley</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&amp; Chief People Officer</w:t>
            </w:r>
          </w:p>
        </w:tc>
      </w:tr>
      <w:tr>
        <w:trPr>
          <w:trHeight w:val="216"/>
        </w:trPr>
        <w:tc>
          <w:tcPr>
            <w:tcW w:w="51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City, State, ZIP Code</w:t>
            </w:r>
          </w:p>
        </w:tc>
        <w:tc>
          <w:tcPr>
            <w:tcW w:w="9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5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4"/>
    </w:lvl>
  </w:abstractNum>
  <w:abstractNum w:abstractNumId="4">
    <w:nsid w:val="79838CB2"/>
    <w:multiLevelType w:val="hybridMultilevel"/>
    <w:lvl w:ilvl="0">
      <w:lvlJc w:val="left"/>
      <w:lvlText w:val="(%1)"/>
      <w:numFmt w:val="lowerRoman"/>
      <w:start w:val="1"/>
    </w:lvl>
    <w:lvl w:ilvl="1">
      <w:lvlJc w:val="left"/>
      <w:lvlText w:val="(%2)"/>
      <w:numFmt w:val="lowerLetter"/>
      <w:start w:val="6"/>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Roman"/>
      <w:start w:val="1"/>
    </w:lvl>
    <w:lvl w:ilvl="1">
      <w:lvlJc w:val="left"/>
      <w:lvlText w:val="(%2)"/>
      <w:numFmt w:val="lowerLetter"/>
      <w:start w:val="3"/>
    </w:lvl>
  </w:abstractNum>
  <w:abstractNum w:abstractNumId="7">
    <w:nsid w:val="189A769B"/>
    <w:multiLevelType w:val="hybridMultilevel"/>
    <w:lvl w:ilvl="0">
      <w:lvlJc w:val="left"/>
      <w:lvlText w:val="%1"/>
      <w:numFmt w:val="lowerRoman"/>
      <w:start w:val="1"/>
    </w:lvl>
    <w:lvl w:ilvl="1">
      <w:lvlJc w:val="left"/>
      <w:lvlText w:val="(%2)"/>
      <w:numFmt w:val="lowerLetter"/>
      <w:start w:val="9"/>
    </w:lvl>
  </w:abstractNum>
  <w:abstractNum w:abstractNumId="8">
    <w:nsid w:val="54E49EB4"/>
    <w:multiLevelType w:val="hybridMultilevel"/>
    <w:lvl w:ilvl="0">
      <w:lvlJc w:val="left"/>
      <w:lvlText w:val="%1"/>
      <w:numFmt w:val="lowerRoman"/>
      <w:start w:val="1"/>
    </w:lvl>
    <w:lvl w:ilvl="1">
      <w:lvlJc w:val="left"/>
      <w:lvlText w:val="(%2)"/>
      <w:numFmt w:val="lowerLetter"/>
      <w:start w:val="35"/>
    </w:lvl>
  </w:abstractNum>
  <w:abstractNum w:abstractNumId="9">
    <w:nsid w:val="71F32454"/>
    <w:multiLevelType w:val="hybridMultilevel"/>
    <w:lvl w:ilvl="0">
      <w:lvlJc w:val="left"/>
      <w:lvlText w:val="%1"/>
      <w:numFmt w:val="lowerRoman"/>
      <w:start w:val="1"/>
    </w:lvl>
    <w:lvl w:ilvl="1">
      <w:lvlJc w:val="left"/>
      <w:lvlText w:val="(%2)"/>
      <w:numFmt w:val="lowerLetter"/>
      <w:start w:val="4"/>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lowerRoman"/>
      <w:start w:val="2"/>
    </w:lvl>
  </w:abstractNum>
  <w:abstractNum w:abstractNumId="12">
    <w:nsid w:val="2901D82"/>
    <w:multiLevelType w:val="hybridMultilevel"/>
    <w:lvl w:ilvl="0">
      <w:lvlJc w:val="left"/>
      <w:lvlText w:val="(%1)"/>
      <w:numFmt w:val="lowerLetter"/>
      <w:start w:val="5"/>
    </w:lvl>
  </w:abstractNum>
  <w:abstractNum w:abstractNumId="13">
    <w:nsid w:val="3A95F874"/>
    <w:multiLevelType w:val="hybridMultilevel"/>
    <w:lvl w:ilvl="0">
      <w:lvlJc w:val="left"/>
      <w:lvlText w:val="(%1)"/>
      <w:numFmt w:val="lowerLetter"/>
      <w:start w:val="1"/>
    </w:lvl>
    <w:lvl w:ilvl="1">
      <w:lvlJc w:val="left"/>
      <w:lvlText w:val="%2"/>
      <w:numFmt w:val="lowerLetter"/>
      <w:start w:val="1"/>
    </w:lvl>
  </w:abstractNum>
  <w:abstractNum w:abstractNumId="14">
    <w:nsid w:val="8138641"/>
    <w:multiLevelType w:val="hybridMultilevel"/>
    <w:lvl w:ilvl="0">
      <w:lvlJc w:val="left"/>
      <w:lvlText w:val="(%1)"/>
      <w:numFmt w:val="lowerLetter"/>
      <w:start w:val="9"/>
    </w:lvl>
    <w:lvl w:ilvl="1">
      <w:lvlJc w:val="left"/>
      <w:lvlText w:val="%2"/>
      <w:numFmt w:val="lowerLetter"/>
      <w:start w:val="1"/>
    </w:lvl>
  </w:abstractNum>
  <w:abstractNum w:abstractNumId="15">
    <w:nsid w:val="1E7FF521"/>
    <w:multiLevelType w:val="hybridMultilevel"/>
    <w:lvl w:ilvl="0">
      <w:lvlJc w:val="left"/>
      <w:lvlText w:val="(%1)"/>
      <w:numFmt w:val="lowerLetter"/>
      <w:start w:val="35"/>
    </w:lvl>
    <w:lvl w:ilvl="1">
      <w:lvlJc w:val="left"/>
      <w:lvlText w:val="%2"/>
      <w:numFmt w:val="lowerLetter"/>
      <w:start w:val="1"/>
    </w:lvl>
  </w:abstractNum>
  <w:abstractNum w:abstractNumId="16">
    <w:nsid w:val="7C3DBD3D"/>
    <w:multiLevelType w:val="hybridMultilevel"/>
    <w:lvl w:ilvl="0">
      <w:lvlJc w:val="left"/>
      <w:lvlText w:val="(%1)"/>
      <w:numFmt w:val="lowerLetter"/>
      <w:start w:val="2"/>
    </w:lvl>
    <w:lvl w:ilvl="1">
      <w:lvlJc w:val="left"/>
      <w:lvlText w:val="%2"/>
      <w:numFmt w:val="lowerLetter"/>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1"/>
      <w:numFmt w:val="lowerRoman"/>
      <w:start w:val="1"/>
    </w:lvl>
    <w:lvl w:ilvl="1">
      <w:lvlJc w:val="left"/>
      <w:lvlText w:val="(%2)"/>
      <w:numFmt w:val="lowerLetter"/>
      <w:start w:val="3"/>
    </w:lvl>
  </w:abstractNum>
  <w:abstractNum w:abstractNumId="19">
    <w:nsid w:val="22221A70"/>
    <w:multiLevelType w:val="hybridMultilevel"/>
    <w:lvl w:ilvl="0">
      <w:lvlJc w:val="left"/>
      <w:lvlText w:val="%1"/>
      <w:numFmt w:val="lowerRoman"/>
      <w:start w:val="1"/>
    </w:lvl>
    <w:lvl w:ilvl="1">
      <w:lvlJc w:val="left"/>
      <w:lvlText w:val="(%2)"/>
      <w:numFmt w:val="lowerLetter"/>
      <w:start w:val="9"/>
    </w:lvl>
  </w:abstractNum>
  <w:abstractNum w:abstractNumId="20">
    <w:nsid w:val="4516DDE9"/>
    <w:multiLevelType w:val="hybridMultilevel"/>
    <w:lvl w:ilvl="0">
      <w:lvlJc w:val="left"/>
      <w:lvlText w:val="%1"/>
      <w:numFmt w:val="lowerRoman"/>
      <w:start w:val="1"/>
    </w:lvl>
    <w:lvl w:ilvl="1">
      <w:lvlJc w:val="left"/>
      <w:lvlText w:val="(%2)"/>
      <w:numFmt w:val="lowerLetter"/>
      <w:start w:val="35"/>
    </w:lvl>
  </w:abstractNum>
  <w:abstractNum w:abstractNumId="21">
    <w:nsid w:val="3006C83E"/>
    <w:multiLevelType w:val="hybridMultilevel"/>
    <w:lvl w:ilvl="0">
      <w:lvlJc w:val="left"/>
      <w:lvlText w:val="%1"/>
      <w:numFmt w:val="lowerRoman"/>
      <w:start w:val="1"/>
    </w:lvl>
    <w:lvl w:ilvl="1">
      <w:lvlJc w:val="left"/>
      <w:lvlText w:val="(%2)"/>
      <w:numFmt w:val="lowerLetter"/>
      <w:start w:val="4"/>
    </w:lvl>
  </w:abstractNum>
  <w:abstractNum w:abstractNumId="22">
    <w:nsid w:val="614FD4A1"/>
    <w:multiLevelType w:val="hybridMultilevel"/>
    <w:lvl w:ilvl="0">
      <w:lvlJc w:val="left"/>
      <w:lvlText w:val="(%1)"/>
      <w:numFmt w:val="lowerRoman"/>
      <w:start w:val="1"/>
    </w:lvl>
    <w:lvl w:ilvl="1">
      <w:lvlJc w:val="left"/>
      <w:lvlText w:val="(%2)"/>
      <w:numFmt w:val="lowerLetter"/>
      <w:start w:val="5"/>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1)"/>
      <w:numFmt w:val="lowerRoman"/>
      <w:start w:val="5"/>
    </w:lvl>
  </w:abstractNum>
  <w:abstractNum w:abstractNumId="25">
    <w:nsid w:val="440BADFC"/>
    <w:multiLevelType w:val="hybridMultilevel"/>
    <w:lvl w:ilvl="0">
      <w:lvlJc w:val="left"/>
      <w:lvlText w:val="%1"/>
      <w:numFmt w:val="lowerRoman"/>
      <w:start w:val="1"/>
    </w:lvl>
    <w:lvl w:ilvl="1">
      <w:lvlJc w:val="left"/>
      <w:lvlText w:val="(%2)"/>
      <w:numFmt w:val="lowerLetter"/>
      <w:start w:val="6"/>
    </w:lvl>
  </w:abstractNum>
  <w:abstractNum w:abstractNumId="26">
    <w:nsid w:val="5072367"/>
    <w:multiLevelType w:val="hybridMultilevel"/>
    <w:lvl w:ilvl="0">
      <w:lvlJc w:val="left"/>
      <w:lvlText w:val="%1"/>
      <w:numFmt w:val="lowerRoman"/>
      <w:start w:val="1"/>
    </w:lvl>
    <w:lvl w:ilvl="1">
      <w:lvlJc w:val="left"/>
      <w:lvlText w:val="(%2)"/>
      <w:numFmt w:val="lowerLetter"/>
      <w:start w:val="9"/>
    </w:lvl>
  </w:abstractNum>
  <w:abstractNum w:abstractNumId="27">
    <w:nsid w:val="3804823E"/>
    <w:multiLevelType w:val="hybridMultilevel"/>
    <w:lvl w:ilvl="0">
      <w:lvlJc w:val="left"/>
      <w:lvlText w:val="%1"/>
      <w:numFmt w:val="lowerRoman"/>
      <w:start w:val="1"/>
    </w:lvl>
    <w:lvl w:ilvl="1">
      <w:lvlJc w:val="left"/>
      <w:lvlText w:val="(%2)"/>
      <w:numFmt w:val="lowerLetter"/>
      <w:start w:val="35"/>
    </w:lvl>
  </w:abstractNum>
  <w:abstractNum w:abstractNumId="28">
    <w:nsid w:val="77465F01"/>
    <w:multiLevelType w:val="hybridMultilevel"/>
    <w:lvl w:ilvl="0">
      <w:lvlJc w:val="left"/>
      <w:lvlText w:val="%1"/>
      <w:numFmt w:val="lowerRoman"/>
      <w:start w:val="1"/>
    </w:lvl>
    <w:lvl w:ilvl="1">
      <w:lvlJc w:val="left"/>
      <w:lvlText w:val="(%2)"/>
      <w:numFmt w:val="lowerLetter"/>
      <w:start w:val="1"/>
    </w:lvl>
  </w:abstractNum>
  <w:abstractNum w:abstractNumId="29">
    <w:nsid w:val="7724C67E"/>
    <w:multiLevelType w:val="hybridMultilevel"/>
    <w:lvl w:ilvl="0">
      <w:lvlJc w:val="left"/>
      <w:lvlText w:val="%1"/>
      <w:numFmt w:val="lowerRoman"/>
      <w:start w:val="1"/>
    </w:lvl>
    <w:lvl w:ilvl="1">
      <w:lvlJc w:val="left"/>
      <w:lvlText w:val="(%2)"/>
      <w:numFmt w:val="lowerLetter"/>
      <w:start w:val="9"/>
    </w:lvl>
  </w:abstractNum>
  <w:abstractNum w:abstractNumId="30">
    <w:nsid w:val="5C482A97"/>
    <w:multiLevelType w:val="hybridMultilevel"/>
    <w:lvl w:ilvl="0">
      <w:lvlJc w:val="left"/>
      <w:lvlText w:val="%1"/>
      <w:numFmt w:val="lowerRoman"/>
      <w:start w:val="1"/>
    </w:lvl>
    <w:lvl w:ilvl="1">
      <w:lvlJc w:val="left"/>
      <w:lvlText w:val="(%2)"/>
      <w:numFmt w:val="lowerLetter"/>
      <w:start w:val="35"/>
    </w:lvl>
  </w:abstractNum>
  <w:abstractNum w:abstractNumId="31">
    <w:nsid w:val="2463B9EA"/>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2">
    <w:nsid w:val="5E884ADC"/>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33">
    <w:nsid w:val="51EAD36B"/>
    <w:multiLevelType w:val="hybridMultilevel"/>
    <w:lvl w:ilvl="0">
      <w:lvlJc w:val="left"/>
      <w:lvlText w:val="(%1)"/>
      <w:numFmt w:val="lowerRoman"/>
      <w:start w:val="2"/>
    </w:lvl>
    <w:lvl w:ilvl="1">
      <w:lvlJc w:val="left"/>
      <w:lvlText w:val="%2."/>
      <w:numFmt w:val="decimal"/>
      <w:start w:val="8"/>
    </w:lvl>
  </w:abstractNum>
  <w:abstractNum w:abstractNumId="34">
    <w:nsid w:val="2D517796"/>
    <w:multiLevelType w:val="hybridMultilevel"/>
    <w:lvl w:ilvl="0">
      <w:lvlJc w:val="left"/>
      <w:lvlText w:val="%1."/>
      <w:numFmt w:val="decimal"/>
      <w:start w:val="9"/>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3"/>
    </w:lvl>
  </w:abstractNum>
  <w:abstractNum w:abstractNumId="37">
    <w:nsid w:val="3855585C"/>
    <w:multiLevelType w:val="hybridMultilevel"/>
    <w:lvl w:ilvl="0">
      <w:lvlJc w:val="left"/>
      <w:lvlText w:val="(%1)"/>
      <w:numFmt w:val="lowerLetter"/>
      <w:start w:val="4"/>
    </w:lvl>
  </w:abstractNum>
  <w:abstractNum w:abstractNumId="38">
    <w:nsid w:val="70A64E2A"/>
    <w:multiLevelType w:val="hybridMultilevel"/>
    <w:lvl w:ilvl="0">
      <w:lvlJc w:val="left"/>
      <w:lvlText w:val="(%1)"/>
      <w:numFmt w:val="lowerLetter"/>
      <w:start w:val="6"/>
    </w:lvl>
  </w:abstractNum>
  <w:abstractNum w:abstractNumId="39">
    <w:nsid w:val="6A2342EC"/>
    <w:multiLevelType w:val="hybridMultilevel"/>
    <w:lvl w:ilvl="0">
      <w:lvlJc w:val="left"/>
      <w:lvlText w:val="%1"/>
      <w:numFmt w:val="upperLetter"/>
      <w:start w:val="1"/>
    </w:lvl>
    <w:lvl w:ilvl="1">
      <w:lvlJc w:val="left"/>
      <w:lvlText w:val="(%2)"/>
      <w:numFmt w:val="lowerLetter"/>
      <w:start w:val="1"/>
    </w:lvl>
  </w:abstractNum>
  <w:abstractNum w:abstractNumId="40">
    <w:nsid w:val="2A487CB0"/>
    <w:multiLevelType w:val="hybridMultilevel"/>
    <w:lvl w:ilvl="0">
      <w:lvlJc w:val="left"/>
      <w:lvlText w:val="(%1)"/>
      <w:numFmt w:val="upperLetter"/>
      <w:start w:val="2"/>
    </w:lvl>
    <w:lvl w:ilvl="1">
      <w:lvlJc w:val="left"/>
      <w:lvlText w:val="(%2)"/>
      <w:numFmt w:val="lowerLetter"/>
      <w:start w:val="3"/>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Roman"/>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8"/>
    </w:lvl>
    <w:lvl w:ilvl="1">
      <w:lvlJc w:val="left"/>
      <w:lvlText w:val="(%2)"/>
      <w:numFmt w:val="lowerLetter"/>
      <w:start w:val="3"/>
    </w:lvl>
  </w:abstractNum>
  <w:abstractNum w:abstractNumId="44">
    <w:nsid w:val="57E4CCAF"/>
    <w:multiLevelType w:val="hybridMultilevel"/>
    <w:lvl w:ilvl="0">
      <w:lvlJc w:val="left"/>
      <w:lvlText w:val="(%1)"/>
      <w:numFmt w:val="lowerLetter"/>
      <w:start w:val="35"/>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2019-12-20T03:53:24Z</dcterms:created>
  <dcterms:modified xsi:type="dcterms:W3CDTF">2019-12-20T03:53:24Z</dcterms:modified>
</cp:coreProperties>
</file>