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Waste Management,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50" w:lineRule="exact"/>
        <w:rPr>
          <w:sz w:val="24"/>
          <w:szCs w:val="24"/>
          <w:color w:val="auto"/>
        </w:rPr>
      </w:pPr>
    </w:p>
    <w:p>
      <w:pPr>
        <w:sectPr>
          <w:pgSz w:w="11900" w:h="16838" w:orient="portrait"/>
          <w:cols w:equalWidth="0" w:num="3">
            <w:col w:w="4940" w:space="720"/>
            <w:col w:w="2840" w:space="720"/>
            <w:col w:w="2080"/>
          </w:cols>
          <w:pgMar w:left="240" w:top="449" w:right="359" w:bottom="1440" w:gutter="0" w:footer="0" w:header="0"/>
          <w:type w:val="continuous"/>
        </w:sectPr>
      </w:pPr>
    </w:p>
    <w:p>
      <w:pPr>
        <w:ind w:left="60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400" w:space="720"/>
            <w:col w:w="2780" w:space="720"/>
            <w:col w:w="2680"/>
          </w:cols>
          <w:pgMar w:left="240" w:top="449" w:right="359" w:bottom="1440" w:gutter="0" w:footer="0" w:header="0"/>
          <w:type w:val="continuous"/>
        </w:sectPr>
      </w:pPr>
    </w:p>
    <w:p>
      <w:pPr>
        <w:spacing w:after="0" w:line="24"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61" w:lineRule="exact"/>
        <w:rPr>
          <w:sz w:val="24"/>
          <w:szCs w:val="24"/>
          <w:color w:val="auto"/>
        </w:rPr>
      </w:pPr>
    </w:p>
    <w:p>
      <w:pPr>
        <w:sectPr>
          <w:pgSz w:w="11900" w:h="16838" w:orient="portrait"/>
          <w:cols w:equalWidth="0" w:num="2">
            <w:col w:w="7800" w:space="720"/>
            <w:col w:w="2780"/>
          </w:cols>
          <w:pgMar w:left="240" w:top="449" w:right="35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80" w:space="720"/>
            <w:col w:w="2900"/>
          </w:cols>
          <w:pgMar w:left="240" w:top="449"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ind w:left="1140" w:right="1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May 12, 2016, Mr. Don P. Carpenter gave notice of his decision to retire from his position as Vice President and Chief Accounting Officer of Waste Management, Inc. (the “Company”). The Company anticipates that Mr. Carpenter’s retirement from his current position will be effective October 28, 2016 (or, if later, the day after the Company shall file its Form 10-Q for the quarter ended September 30, 2016), after which date Mr. Carpenter will remain with the Company for such additional time as necessary to ensure an orderly transition of his responsibilities to his successor.</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At the Annual Meeting of the Company held on May 12, 2016, a total of 401,579,541 shares of the Company’s common stock, out of a total of 444,639,871 shares of common stock outstanding and entitled to vote, were present in person or represented by proxies. The proposals set forth below were voted on by the Company’s stockholders at the Annual Meeting. Each of the director nominees listed under proposal 1 were elected, and the Company’s stockholders approved each of proposals 2 and 3. The Company’s stockholders did not approve stockholder proposal 4.</w:t>
      </w:r>
    </w:p>
    <w:p>
      <w:pPr>
        <w:spacing w:after="0" w:line="7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ten director nominees: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w:t>
            </w: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8"/>
              </w:rPr>
              <w:t>Abstentions</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44"/>
        </w:trPr>
        <w:tc>
          <w:tcPr>
            <w:tcW w:w="5920" w:type="dxa"/>
            <w:vAlign w:val="bottom"/>
            <w:gridSpan w:val="2"/>
            <w:vMerge w:val="continue"/>
          </w:tcPr>
          <w:p>
            <w:pPr>
              <w:spacing w:after="0"/>
              <w:rPr>
                <w:sz w:val="12"/>
                <w:szCs w:val="12"/>
                <w:color w:val="auto"/>
              </w:rPr>
            </w:pPr>
          </w:p>
        </w:tc>
        <w:tc>
          <w:tcPr>
            <w:tcW w:w="1520" w:type="dxa"/>
            <w:vAlign w:val="bottom"/>
            <w:gridSpan w:val="2"/>
          </w:tcPr>
          <w:p>
            <w:pPr>
              <w:jc w:val="right"/>
              <w:ind w:right="420"/>
              <w:spacing w:after="0" w:line="125" w:lineRule="exact"/>
              <w:rPr>
                <w:sz w:val="20"/>
                <w:szCs w:val="20"/>
                <w:color w:val="auto"/>
              </w:rPr>
            </w:pPr>
            <w:r>
              <w:rPr>
                <w:rFonts w:ascii="Arial" w:cs="Arial" w:eastAsia="Arial" w:hAnsi="Arial"/>
                <w:sz w:val="14"/>
                <w:szCs w:val="14"/>
                <w:b w:val="1"/>
                <w:bCs w:val="1"/>
                <w:color w:val="auto"/>
                <w:w w:val="93"/>
              </w:rPr>
              <w:t>Affirmative Votes</w:t>
            </w:r>
          </w:p>
        </w:tc>
        <w:tc>
          <w:tcPr>
            <w:tcW w:w="146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89"/>
              </w:rPr>
              <w:t>Negative Votes</w:t>
            </w:r>
          </w:p>
        </w:tc>
        <w:tc>
          <w:tcPr>
            <w:tcW w:w="1300" w:type="dxa"/>
            <w:vAlign w:val="bottom"/>
            <w:gridSpan w:val="2"/>
            <w:vMerge w:val="continue"/>
          </w:tcPr>
          <w:p>
            <w:pPr>
              <w:spacing w:after="0"/>
              <w:rPr>
                <w:sz w:val="12"/>
                <w:szCs w:val="12"/>
                <w:color w:val="auto"/>
              </w:rPr>
            </w:pPr>
          </w:p>
        </w:tc>
        <w:tc>
          <w:tcPr>
            <w:tcW w:w="1220" w:type="dxa"/>
            <w:vAlign w:val="bottom"/>
            <w:gridSpan w:val="2"/>
          </w:tcPr>
          <w:p>
            <w:pPr>
              <w:jc w:val="right"/>
              <w:ind w:right="460"/>
              <w:spacing w:after="0" w:line="125"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Bradbury H. Anderson</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335,119,778</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1,757,058</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336,313</w:t>
            </w: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64,366,392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100" w:type="dxa"/>
            <w:vAlign w:val="bottom"/>
          </w:tcPr>
          <w:p>
            <w:pPr>
              <w:jc w:val="right"/>
              <w:spacing w:after="0"/>
              <w:rPr>
                <w:sz w:val="20"/>
                <w:szCs w:val="20"/>
                <w:color w:val="auto"/>
              </w:rPr>
            </w:pPr>
            <w:r>
              <w:rPr>
                <w:rFonts w:ascii="Arial" w:cs="Arial" w:eastAsia="Arial" w:hAnsi="Arial"/>
                <w:sz w:val="18"/>
                <w:szCs w:val="18"/>
                <w:color w:val="auto"/>
              </w:rPr>
              <w:t>330,690,894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6,185,216</w:t>
            </w:r>
          </w:p>
        </w:tc>
        <w:tc>
          <w:tcPr>
            <w:tcW w:w="5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337,039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Andrés R. Gluski</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329,556,495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7,298,027</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358,627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100" w:type="dxa"/>
            <w:vAlign w:val="bottom"/>
          </w:tcPr>
          <w:p>
            <w:pPr>
              <w:jc w:val="right"/>
              <w:spacing w:after="0"/>
              <w:rPr>
                <w:sz w:val="20"/>
                <w:szCs w:val="20"/>
                <w:color w:val="auto"/>
              </w:rPr>
            </w:pPr>
            <w:r>
              <w:rPr>
                <w:rFonts w:ascii="Arial" w:cs="Arial" w:eastAsia="Arial" w:hAnsi="Arial"/>
                <w:sz w:val="18"/>
                <w:szCs w:val="18"/>
                <w:color w:val="auto"/>
              </w:rPr>
              <w:t>301,233,867</w:t>
            </w:r>
          </w:p>
        </w:tc>
        <w:tc>
          <w:tcPr>
            <w:tcW w:w="4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35,639,589</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339,693</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334,201,773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2,676,280</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335,096</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Kathleen M. Mazzarella</w:t>
            </w:r>
          </w:p>
        </w:tc>
        <w:tc>
          <w:tcPr>
            <w:tcW w:w="1100" w:type="dxa"/>
            <w:vAlign w:val="bottom"/>
          </w:tcPr>
          <w:p>
            <w:pPr>
              <w:jc w:val="right"/>
              <w:spacing w:after="0"/>
              <w:rPr>
                <w:sz w:val="20"/>
                <w:szCs w:val="20"/>
                <w:color w:val="auto"/>
              </w:rPr>
            </w:pPr>
            <w:r>
              <w:rPr>
                <w:rFonts w:ascii="Arial" w:cs="Arial" w:eastAsia="Arial" w:hAnsi="Arial"/>
                <w:sz w:val="18"/>
                <w:szCs w:val="18"/>
                <w:color w:val="auto"/>
              </w:rPr>
              <w:t>334,793,581</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2,084,693</w:t>
            </w:r>
          </w:p>
        </w:tc>
        <w:tc>
          <w:tcPr>
            <w:tcW w:w="5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334,875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331,180,729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5,701,983</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330,437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100" w:type="dxa"/>
            <w:vAlign w:val="bottom"/>
          </w:tcPr>
          <w:p>
            <w:pPr>
              <w:jc w:val="right"/>
              <w:spacing w:after="0"/>
              <w:rPr>
                <w:sz w:val="20"/>
                <w:szCs w:val="20"/>
                <w:color w:val="auto"/>
              </w:rPr>
            </w:pPr>
            <w:r>
              <w:rPr>
                <w:rFonts w:ascii="Arial" w:cs="Arial" w:eastAsia="Arial" w:hAnsi="Arial"/>
                <w:sz w:val="18"/>
                <w:szCs w:val="18"/>
                <w:color w:val="auto"/>
              </w:rPr>
              <w:t>329,884,874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6,994,051</w:t>
            </w:r>
          </w:p>
        </w:tc>
        <w:tc>
          <w:tcPr>
            <w:tcW w:w="5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334,224</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334,724,556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2,158,719</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329,874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100" w:type="dxa"/>
            <w:vAlign w:val="bottom"/>
          </w:tcPr>
          <w:p>
            <w:pPr>
              <w:jc w:val="right"/>
              <w:spacing w:after="0"/>
              <w:rPr>
                <w:sz w:val="20"/>
                <w:szCs w:val="20"/>
                <w:color w:val="auto"/>
              </w:rPr>
            </w:pPr>
            <w:r>
              <w:rPr>
                <w:rFonts w:ascii="Arial" w:cs="Arial" w:eastAsia="Arial" w:hAnsi="Arial"/>
                <w:sz w:val="18"/>
                <w:szCs w:val="18"/>
                <w:color w:val="auto"/>
              </w:rPr>
              <w:t>334,397,519</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2,490,187</w:t>
            </w:r>
          </w:p>
        </w:tc>
        <w:tc>
          <w:tcPr>
            <w:tcW w:w="54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325,443</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64,366,392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00" w:right="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Against</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r>
      <w:tr>
        <w:trPr>
          <w:trHeight w:val="230"/>
        </w:trPr>
        <w:tc>
          <w:tcPr>
            <w:tcW w:w="280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398,300,699</w:t>
            </w:r>
          </w:p>
        </w:tc>
        <w:tc>
          <w:tcPr>
            <w:tcW w:w="120" w:type="dxa"/>
            <w:vAlign w:val="bottom"/>
          </w:tcPr>
          <w:p>
            <w:pPr>
              <w:spacing w:after="0"/>
              <w:rPr>
                <w:sz w:val="20"/>
                <w:szCs w:val="20"/>
                <w:color w:val="auto"/>
              </w:rPr>
            </w:pPr>
          </w:p>
        </w:tc>
        <w:tc>
          <w:tcPr>
            <w:tcW w:w="27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2,772,975</w:t>
            </w:r>
          </w:p>
        </w:tc>
        <w:tc>
          <w:tcPr>
            <w:tcW w:w="120" w:type="dxa"/>
            <w:vAlign w:val="bottom"/>
          </w:tcPr>
          <w:p>
            <w:pPr>
              <w:spacing w:after="0"/>
              <w:rPr>
                <w:sz w:val="20"/>
                <w:szCs w:val="20"/>
                <w:color w:val="auto"/>
              </w:rPr>
            </w:pPr>
          </w:p>
        </w:tc>
        <w:tc>
          <w:tcPr>
            <w:tcW w:w="280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505,867</w:t>
            </w:r>
          </w:p>
        </w:tc>
      </w:tr>
    </w:tbl>
    <w:p>
      <w:pPr>
        <w:spacing w:after="0" w:line="93"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2016 proxy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Against</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8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324,313,634</w:t>
            </w:r>
          </w:p>
        </w:tc>
        <w:tc>
          <w:tcPr>
            <w:tcW w:w="340" w:type="dxa"/>
            <w:vAlign w:val="bottom"/>
          </w:tcPr>
          <w:p>
            <w:pPr>
              <w:spacing w:after="0"/>
              <w:rPr>
                <w:sz w:val="20"/>
                <w:szCs w:val="20"/>
                <w:color w:val="auto"/>
              </w:rPr>
            </w:pPr>
          </w:p>
        </w:tc>
        <w:tc>
          <w:tcPr>
            <w:tcW w:w="26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11,751,991</w:t>
            </w:r>
          </w:p>
        </w:tc>
        <w:tc>
          <w:tcPr>
            <w:tcW w:w="220" w:type="dxa"/>
            <w:vAlign w:val="bottom"/>
          </w:tcPr>
          <w:p>
            <w:pPr>
              <w:spacing w:after="0"/>
              <w:rPr>
                <w:sz w:val="20"/>
                <w:szCs w:val="20"/>
                <w:color w:val="auto"/>
              </w:rPr>
            </w:pPr>
          </w:p>
        </w:tc>
        <w:tc>
          <w:tcPr>
            <w:tcW w:w="262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1,147,524</w:t>
            </w:r>
          </w:p>
        </w:tc>
        <w:tc>
          <w:tcPr>
            <w:tcW w:w="220" w:type="dxa"/>
            <w:vAlign w:val="bottom"/>
          </w:tcPr>
          <w:p>
            <w:pPr>
              <w:spacing w:after="0"/>
              <w:rPr>
                <w:sz w:val="20"/>
                <w:szCs w:val="20"/>
                <w:color w:val="auto"/>
              </w:rPr>
            </w:pPr>
          </w:p>
        </w:tc>
        <w:tc>
          <w:tcPr>
            <w:tcW w:w="25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64,366,392</w:t>
            </w:r>
          </w:p>
        </w:tc>
      </w:tr>
    </w:tbl>
    <w:p>
      <w:pPr>
        <w:spacing w:after="0" w:line="9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 proposal regarding a policy on accelerated vesting of equity awards in the event of a change in control.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For</w:t>
            </w:r>
          </w:p>
        </w:tc>
        <w:tc>
          <w:tcPr>
            <w:tcW w:w="210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Against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Abstentions</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8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137,905,796</w:t>
            </w:r>
          </w:p>
        </w:tc>
        <w:tc>
          <w:tcPr>
            <w:tcW w:w="340" w:type="dxa"/>
            <w:vAlign w:val="bottom"/>
          </w:tcPr>
          <w:p>
            <w:pPr>
              <w:spacing w:after="0"/>
              <w:rPr>
                <w:sz w:val="20"/>
                <w:szCs w:val="20"/>
                <w:color w:val="auto"/>
              </w:rPr>
            </w:pPr>
          </w:p>
        </w:tc>
        <w:tc>
          <w:tcPr>
            <w:tcW w:w="2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197,677,146</w:t>
            </w: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1,630,207</w:t>
            </w:r>
          </w:p>
        </w:tc>
        <w:tc>
          <w:tcPr>
            <w:tcW w:w="220" w:type="dxa"/>
            <w:vAlign w:val="bottom"/>
          </w:tcPr>
          <w:p>
            <w:pPr>
              <w:spacing w:after="0"/>
              <w:rPr>
                <w:sz w:val="20"/>
                <w:szCs w:val="20"/>
                <w:color w:val="auto"/>
              </w:rPr>
            </w:pPr>
          </w:p>
        </w:tc>
        <w:tc>
          <w:tcPr>
            <w:tcW w:w="25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64,366,392</w:t>
            </w:r>
          </w:p>
        </w:tc>
      </w:tr>
      <w:tr>
        <w:trPr>
          <w:trHeight w:val="350"/>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2016</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5715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Corporate Affairs &amp; 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2019-12-05T20:42:06Z</dcterms:created>
  <dcterms:modified xsi:type="dcterms:W3CDTF">2019-12-05T20:42:06Z</dcterms:modified>
</cp:coreProperties>
</file>