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4"/>
          <w:szCs w:val="24"/>
          <w:color w:val="auto"/>
        </w:rPr>
      </w:pPr>
    </w:p>
    <w:p>
      <w:pPr>
        <w:sectPr>
          <w:pgSz w:w="11900" w:h="16838" w:orient="portrait"/>
          <w:cols w:equalWidth="1" w:num="1" w:space="0"/>
          <w:pgMar w:left="1440" w:top="1440" w:right="1440" w:bottom="875" w:gutter="0" w:footer="0" w:header="0"/>
        </w:sectPr>
      </w:pPr>
    </w:p>
    <w:bookmarkStart w:id="1" w:name="page2"/>
    <w:bookmarkEnd w:id="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160655</wp:posOffset>
            </wp:positionV>
            <wp:extent cx="7250430"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0"/>
          <w:szCs w:val="20"/>
          <w:color w:val="auto"/>
        </w:rPr>
      </w:pPr>
    </w:p>
    <w:p>
      <w:pPr>
        <w:spacing w:after="0" w:line="311" w:lineRule="exact"/>
        <w:rPr>
          <w:sz w:val="20"/>
          <w:szCs w:val="20"/>
          <w:color w:val="auto"/>
        </w:rPr>
      </w:pPr>
    </w:p>
    <w:p>
      <w:pPr>
        <w:jc w:val="center"/>
        <w:ind w:right="-479"/>
        <w:spacing w:after="0"/>
        <w:rPr>
          <w:sz w:val="20"/>
          <w:szCs w:val="20"/>
          <w:color w:val="auto"/>
        </w:rPr>
      </w:pPr>
      <w:r>
        <w:rPr>
          <w:rFonts w:ascii="Arial" w:cs="Arial" w:eastAsia="Arial" w:hAnsi="Arial"/>
          <w:sz w:val="25"/>
          <w:szCs w:val="25"/>
          <w:b w:val="1"/>
          <w:bCs w:val="1"/>
          <w:color w:val="auto"/>
        </w:rPr>
        <w:t>SECURITIES AND EXCHANGE COMMISSION</w:t>
      </w:r>
    </w:p>
    <w:p>
      <w:pPr>
        <w:spacing w:after="0" w:line="248" w:lineRule="exact"/>
        <w:rPr>
          <w:sz w:val="20"/>
          <w:szCs w:val="20"/>
          <w:color w:val="auto"/>
        </w:rPr>
      </w:pPr>
    </w:p>
    <w:p>
      <w:pPr>
        <w:ind w:left="4460"/>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2715260</wp:posOffset>
            </wp:positionH>
            <wp:positionV relativeFrom="paragraph">
              <wp:posOffset>148590</wp:posOffset>
            </wp:positionV>
            <wp:extent cx="182689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310" w:lineRule="exact"/>
        <w:rPr>
          <w:sz w:val="20"/>
          <w:szCs w:val="20"/>
          <w:color w:val="auto"/>
        </w:rPr>
      </w:pPr>
    </w:p>
    <w:p>
      <w:pPr>
        <w:jc w:val="center"/>
        <w:ind w:right="-47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2715260</wp:posOffset>
            </wp:positionH>
            <wp:positionV relativeFrom="paragraph">
              <wp:posOffset>229870</wp:posOffset>
            </wp:positionV>
            <wp:extent cx="182689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344" w:lineRule="exact"/>
        <w:rPr>
          <w:sz w:val="20"/>
          <w:szCs w:val="20"/>
          <w:color w:val="auto"/>
        </w:rPr>
      </w:pPr>
    </w:p>
    <w:p>
      <w:pPr>
        <w:jc w:val="center"/>
        <w:ind w:right="-479"/>
        <w:spacing w:after="0"/>
        <w:rPr>
          <w:sz w:val="20"/>
          <w:szCs w:val="20"/>
          <w:color w:val="auto"/>
        </w:rPr>
      </w:pPr>
      <w:r>
        <w:rPr>
          <w:rFonts w:ascii="Arial" w:cs="Arial" w:eastAsia="Arial" w:hAnsi="Arial"/>
          <w:sz w:val="22"/>
          <w:szCs w:val="22"/>
          <w:b w:val="1"/>
          <w:bCs w:val="1"/>
          <w:color w:val="auto"/>
        </w:rPr>
        <w:t>CURRENT REPORT</w:t>
      </w:r>
    </w:p>
    <w:p>
      <w:pPr>
        <w:spacing w:after="0" w:line="206" w:lineRule="exact"/>
        <w:rPr>
          <w:sz w:val="20"/>
          <w:szCs w:val="20"/>
          <w:color w:val="auto"/>
        </w:rPr>
      </w:pPr>
    </w:p>
    <w:p>
      <w:pPr>
        <w:jc w:val="center"/>
        <w:ind w:right="-479"/>
        <w:spacing w:after="0"/>
        <w:rPr>
          <w:sz w:val="20"/>
          <w:szCs w:val="20"/>
          <w:color w:val="auto"/>
        </w:rPr>
      </w:pPr>
      <w:r>
        <w:rPr>
          <w:rFonts w:ascii="Arial" w:cs="Arial" w:eastAsia="Arial" w:hAnsi="Arial"/>
          <w:sz w:val="19"/>
          <w:szCs w:val="19"/>
          <w:b w:val="1"/>
          <w:bCs w:val="1"/>
          <w:color w:val="auto"/>
        </w:rPr>
        <w:t>Pursuant to Section 13 or 15(d) of the Securities Exchange Act of 1934</w:t>
      </w:r>
    </w:p>
    <w:p>
      <w:pPr>
        <w:spacing w:after="0" w:line="250" w:lineRule="exact"/>
        <w:rPr>
          <w:sz w:val="20"/>
          <w:szCs w:val="20"/>
          <w:color w:val="auto"/>
        </w:rPr>
      </w:pPr>
    </w:p>
    <w:p>
      <w:pPr>
        <w:ind w:left="3320"/>
        <w:spacing w:after="0"/>
        <w:rPr>
          <w:sz w:val="20"/>
          <w:szCs w:val="20"/>
          <w:color w:val="auto"/>
        </w:rPr>
      </w:pPr>
      <w:r>
        <w:rPr>
          <w:rFonts w:ascii="Arial" w:cs="Arial" w:eastAsia="Arial" w:hAnsi="Arial"/>
          <w:sz w:val="18"/>
          <w:szCs w:val="18"/>
          <w:b w:val="1"/>
          <w:bCs w:val="1"/>
          <w:color w:val="auto"/>
        </w:rPr>
        <w:t xml:space="preserve">Date of Report (Date of earliest event reported): </w:t>
      </w:r>
      <w:r>
        <w:rPr>
          <w:rFonts w:ascii="Arial" w:cs="Arial" w:eastAsia="Arial" w:hAnsi="Arial"/>
          <w:sz w:val="18"/>
          <w:szCs w:val="18"/>
          <w:color w:val="auto"/>
        </w:rPr>
        <w:t>April 26, 2004</w:t>
      </w:r>
    </w:p>
    <w:p>
      <w:pPr>
        <w:spacing w:after="0" w:line="200" w:lineRule="exact"/>
        <w:rPr>
          <w:sz w:val="20"/>
          <w:szCs w:val="20"/>
          <w:color w:val="auto"/>
        </w:rPr>
      </w:pPr>
    </w:p>
    <w:p>
      <w:pPr>
        <w:spacing w:after="0" w:line="216" w:lineRule="exact"/>
        <w:rPr>
          <w:sz w:val="20"/>
          <w:szCs w:val="20"/>
          <w:color w:val="auto"/>
        </w:rPr>
      </w:pPr>
    </w:p>
    <w:p>
      <w:pPr>
        <w:ind w:left="3420"/>
        <w:spacing w:after="0"/>
        <w:rPr>
          <w:sz w:val="20"/>
          <w:szCs w:val="20"/>
          <w:color w:val="auto"/>
        </w:rPr>
      </w:pPr>
      <w:r>
        <w:rPr>
          <w:rFonts w:ascii="Arial" w:cs="Arial" w:eastAsia="Arial" w:hAnsi="Arial"/>
          <w:sz w:val="43"/>
          <w:szCs w:val="43"/>
          <w:b w:val="1"/>
          <w:bCs w:val="1"/>
          <w:color w:val="auto"/>
        </w:rPr>
        <w:t>Waste Management, Inc.</w:t>
      </w:r>
    </w:p>
    <w:p>
      <w:pPr>
        <w:spacing w:after="0" w:line="200" w:lineRule="exact"/>
        <w:rPr>
          <w:sz w:val="20"/>
          <w:szCs w:val="20"/>
          <w:color w:val="auto"/>
        </w:rPr>
      </w:pPr>
    </w:p>
    <w:p>
      <w:pPr>
        <w:spacing w:after="0" w:line="262" w:lineRule="exact"/>
        <w:rPr>
          <w:sz w:val="20"/>
          <w:szCs w:val="20"/>
          <w:color w:val="auto"/>
        </w:rPr>
      </w:pPr>
    </w:p>
    <w:p>
      <w:pPr>
        <w:ind w:left="3760"/>
        <w:spacing w:after="0"/>
        <w:rPr>
          <w:sz w:val="20"/>
          <w:szCs w:val="20"/>
          <w:color w:val="auto"/>
        </w:rPr>
      </w:pPr>
      <w:r>
        <w:rPr>
          <w:rFonts w:ascii="Arial" w:cs="Arial" w:eastAsia="Arial" w:hAnsi="Arial"/>
          <w:sz w:val="18"/>
          <w:szCs w:val="18"/>
          <w:b w:val="1"/>
          <w:bCs w:val="1"/>
          <w:color w:val="auto"/>
        </w:rPr>
        <w:t>(Exact Name of Registrant as Specified in Charter)</w:t>
      </w:r>
    </w:p>
    <w:p>
      <w:pPr>
        <w:sectPr>
          <w:pgSz w:w="11900" w:h="16838" w:orient="portrait"/>
          <w:cols w:equalWidth="0" w:num="1">
            <w:col w:w="10940"/>
          </w:cols>
          <w:pgMar w:left="240" w:top="122" w:right="719" w:bottom="1440" w:gutter="0" w:footer="0" w:header="0"/>
        </w:sectPr>
      </w:pPr>
    </w:p>
    <w:p>
      <w:pPr>
        <w:spacing w:after="0" w:line="229" w:lineRule="exact"/>
        <w:rPr>
          <w:sz w:val="20"/>
          <w:szCs w:val="20"/>
          <w:color w:val="auto"/>
        </w:rPr>
      </w:pPr>
    </w:p>
    <w:p>
      <w:pPr>
        <w:jc w:val="center"/>
        <w:ind w:right="360"/>
        <w:spacing w:after="0"/>
        <w:rPr>
          <w:sz w:val="20"/>
          <w:szCs w:val="20"/>
          <w:color w:val="auto"/>
        </w:rPr>
      </w:pPr>
      <w:r>
        <w:rPr>
          <w:rFonts w:ascii="Arial" w:cs="Arial" w:eastAsia="Arial" w:hAnsi="Arial"/>
          <w:sz w:val="18"/>
          <w:szCs w:val="18"/>
          <w:color w:val="auto"/>
        </w:rPr>
        <w:t>Delaware</w:t>
      </w:r>
    </w:p>
    <w:p>
      <w:pPr>
        <w:spacing w:after="0" w:line="23" w:lineRule="exact"/>
        <w:rPr>
          <w:sz w:val="20"/>
          <w:szCs w:val="20"/>
          <w:color w:val="auto"/>
        </w:rPr>
      </w:pPr>
    </w:p>
    <w:p>
      <w:pPr>
        <w:jc w:val="center"/>
        <w:ind w:right="360"/>
        <w:spacing w:after="0"/>
        <w:rPr>
          <w:sz w:val="20"/>
          <w:szCs w:val="20"/>
          <w:color w:val="auto"/>
        </w:rPr>
      </w:pPr>
      <w:r>
        <w:rPr>
          <w:rFonts w:ascii="Arial" w:cs="Arial" w:eastAsia="Arial" w:hAnsi="Arial"/>
          <w:sz w:val="16"/>
          <w:szCs w:val="16"/>
          <w:b w:val="1"/>
          <w:bCs w:val="1"/>
          <w:color w:val="auto"/>
        </w:rPr>
        <w:t>(State or Other Jurisdiction of Incorporation)</w:t>
      </w:r>
    </w:p>
    <w:p>
      <w:pPr>
        <w:spacing w:after="0" w:line="20" w:lineRule="exact"/>
        <w:rPr>
          <w:sz w:val="20"/>
          <w:szCs w:val="20"/>
          <w:color w:val="auto"/>
        </w:rPr>
      </w:pPr>
      <w:r>
        <w:rPr>
          <w:sz w:val="20"/>
          <w:szCs w:val="20"/>
          <w:color w:val="auto"/>
        </w:rPr>
        <w:br w:type="column"/>
      </w:r>
    </w:p>
    <w:p>
      <w:pPr>
        <w:spacing w:after="0" w:line="209" w:lineRule="exact"/>
        <w:rPr>
          <w:sz w:val="20"/>
          <w:szCs w:val="20"/>
          <w:color w:val="auto"/>
        </w:rPr>
      </w:pPr>
    </w:p>
    <w:p>
      <w:pPr>
        <w:jc w:val="center"/>
        <w:ind w:right="860"/>
        <w:spacing w:after="0"/>
        <w:rPr>
          <w:sz w:val="20"/>
          <w:szCs w:val="20"/>
          <w:color w:val="auto"/>
        </w:rPr>
      </w:pPr>
      <w:r>
        <w:rPr>
          <w:rFonts w:ascii="Arial" w:cs="Arial" w:eastAsia="Arial" w:hAnsi="Arial"/>
          <w:sz w:val="18"/>
          <w:szCs w:val="18"/>
          <w:color w:val="auto"/>
        </w:rPr>
        <w:t>1-12154</w:t>
      </w:r>
    </w:p>
    <w:p>
      <w:pPr>
        <w:spacing w:after="0" w:line="23" w:lineRule="exact"/>
        <w:rPr>
          <w:sz w:val="20"/>
          <w:szCs w:val="20"/>
          <w:color w:val="auto"/>
        </w:rPr>
      </w:pPr>
    </w:p>
    <w:p>
      <w:pPr>
        <w:jc w:val="center"/>
        <w:ind w:right="860"/>
        <w:spacing w:after="0"/>
        <w:rPr>
          <w:sz w:val="20"/>
          <w:szCs w:val="20"/>
          <w:color w:val="auto"/>
        </w:rPr>
      </w:pPr>
      <w:r>
        <w:rPr>
          <w:rFonts w:ascii="Arial" w:cs="Arial" w:eastAsia="Arial" w:hAnsi="Arial"/>
          <w:sz w:val="16"/>
          <w:szCs w:val="16"/>
          <w:b w:val="1"/>
          <w:bCs w:val="1"/>
          <w:color w:val="auto"/>
        </w:rPr>
        <w:t>(Commission File Number)</w:t>
      </w:r>
    </w:p>
    <w:p>
      <w:pPr>
        <w:spacing w:after="0" w:line="20" w:lineRule="exact"/>
        <w:rPr>
          <w:sz w:val="20"/>
          <w:szCs w:val="20"/>
          <w:color w:val="auto"/>
        </w:rPr>
      </w:pPr>
      <w:r>
        <w:rPr>
          <w:sz w:val="20"/>
          <w:szCs w:val="20"/>
          <w:color w:val="auto"/>
        </w:rPr>
        <w:br w:type="column"/>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73-1309529</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(IRS Employer Identification No.)</w:t>
      </w:r>
    </w:p>
    <w:p>
      <w:pPr>
        <w:spacing w:after="0" w:line="200" w:lineRule="exact"/>
        <w:rPr>
          <w:sz w:val="20"/>
          <w:szCs w:val="20"/>
          <w:color w:val="auto"/>
        </w:rPr>
      </w:pPr>
    </w:p>
    <w:p>
      <w:pPr>
        <w:sectPr>
          <w:pgSz w:w="11900" w:h="16838" w:orient="portrait"/>
          <w:cols w:equalWidth="0" w:num="3">
            <w:col w:w="3940" w:space="720"/>
            <w:col w:w="2940" w:space="720"/>
            <w:col w:w="2620"/>
          </w:cols>
          <w:pgMar w:left="240" w:top="122" w:right="719" w:bottom="1440" w:gutter="0" w:footer="0" w:header="0"/>
          <w:type w:val="continuous"/>
        </w:sectPr>
      </w:pPr>
    </w:p>
    <w:p>
      <w:pPr>
        <w:spacing w:after="0" w:line="34" w:lineRule="exact"/>
        <w:rPr>
          <w:sz w:val="20"/>
          <w:szCs w:val="20"/>
          <w:color w:val="auto"/>
        </w:rPr>
      </w:pPr>
    </w:p>
    <w:p>
      <w:pPr>
        <w:ind w:left="1180" w:right="1820" w:firstLine="72"/>
        <w:spacing w:after="0" w:line="277" w:lineRule="auto"/>
        <w:rPr>
          <w:sz w:val="20"/>
          <w:szCs w:val="20"/>
          <w:color w:val="auto"/>
        </w:rPr>
      </w:pPr>
      <w:r>
        <w:rPr>
          <w:rFonts w:ascii="Arial" w:cs="Arial" w:eastAsia="Arial" w:hAnsi="Arial"/>
          <w:sz w:val="18"/>
          <w:szCs w:val="18"/>
          <w:color w:val="auto"/>
        </w:rPr>
        <w:t xml:space="preserve">1001 Fannin, Suite 4000 Houston, Texas 77002 </w:t>
      </w:r>
      <w:r>
        <w:rPr>
          <w:rFonts w:ascii="Arial" w:cs="Arial" w:eastAsia="Arial" w:hAnsi="Arial"/>
          <w:sz w:val="18"/>
          <w:szCs w:val="18"/>
          <w:b w:val="1"/>
          <w:bCs w:val="1"/>
          <w:color w:val="auto"/>
        </w:rPr>
        <w:t>(Address of Principal Executive Offices) (Zip Code)</w:t>
      </w:r>
    </w:p>
    <w:p>
      <w:pPr>
        <w:sectPr>
          <w:pgSz w:w="11900" w:h="16838" w:orient="portrait"/>
          <w:cols w:equalWidth="0" w:num="1">
            <w:col w:w="10940"/>
          </w:cols>
          <w:pgMar w:left="240" w:top="122" w:right="719" w:bottom="1440" w:gutter="0" w:footer="0" w:header="0"/>
          <w:type w:val="continuous"/>
        </w:sectPr>
      </w:pPr>
    </w:p>
    <w:p>
      <w:pPr>
        <w:spacing w:after="0" w:line="139" w:lineRule="exact"/>
        <w:rPr>
          <w:sz w:val="20"/>
          <w:szCs w:val="20"/>
          <w:color w:val="auto"/>
        </w:rPr>
      </w:pPr>
    </w:p>
    <w:p>
      <w:pPr>
        <w:ind w:left="3100"/>
        <w:spacing w:after="0"/>
        <w:rPr>
          <w:sz w:val="20"/>
          <w:szCs w:val="20"/>
          <w:color w:val="auto"/>
        </w:rPr>
      </w:pPr>
      <w:r>
        <w:rPr>
          <w:rFonts w:ascii="Arial" w:cs="Arial" w:eastAsia="Arial" w:hAnsi="Arial"/>
          <w:sz w:val="16"/>
          <w:szCs w:val="16"/>
          <w:b w:val="1"/>
          <w:bCs w:val="1"/>
          <w:color w:val="auto"/>
        </w:rPr>
        <w:t xml:space="preserve">Registrant’s Telephone number, including area code: </w:t>
      </w:r>
      <w:r>
        <w:rPr>
          <w:rFonts w:ascii="Arial" w:cs="Arial" w:eastAsia="Arial" w:hAnsi="Arial"/>
          <w:sz w:val="16"/>
          <w:szCs w:val="16"/>
          <w:color w:val="auto"/>
        </w:rPr>
        <w:t>(713) 512-6200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2354580</wp:posOffset>
            </wp:positionH>
            <wp:positionV relativeFrom="paragraph">
              <wp:posOffset>143510</wp:posOffset>
            </wp:positionV>
            <wp:extent cx="254698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546985" cy="8890"/>
                    </a:xfrm>
                    <a:prstGeom prst="rect">
                      <a:avLst/>
                    </a:prstGeom>
                    <a:noFill/>
                  </pic:spPr>
                </pic:pic>
              </a:graphicData>
            </a:graphic>
          </wp:anchor>
        </w:drawing>
      </w:r>
    </w:p>
    <w:p>
      <w:pPr>
        <w:spacing w:after="0" w:line="309" w:lineRule="exact"/>
        <w:rPr>
          <w:sz w:val="20"/>
          <w:szCs w:val="20"/>
          <w:color w:val="auto"/>
        </w:rPr>
      </w:pPr>
    </w:p>
    <w:p>
      <w:pPr>
        <w:ind w:left="3180"/>
        <w:spacing w:after="0"/>
        <w:rPr>
          <w:sz w:val="20"/>
          <w:szCs w:val="20"/>
          <w:color w:val="auto"/>
        </w:rPr>
      </w:pPr>
      <w:r>
        <w:rPr>
          <w:rFonts w:ascii="Arial" w:cs="Arial" w:eastAsia="Arial" w:hAnsi="Arial"/>
          <w:sz w:val="16"/>
          <w:szCs w:val="16"/>
          <w:b w:val="1"/>
          <w:bCs w:val="1"/>
          <w:color w:val="auto"/>
        </w:rPr>
        <w:t>(Former Name or Former Address, if Changed Since Last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141605</wp:posOffset>
            </wp:positionV>
            <wp:extent cx="7250430" cy="387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3873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561975</wp:posOffset>
            </wp:positionV>
            <wp:extent cx="7250430"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940"/>
          </w:cols>
          <w:pgMar w:left="240" w:top="122" w:right="719" w:bottom="1440" w:gutter="0" w:footer="0" w:header="0"/>
          <w:type w:val="continuous"/>
        </w:sectPr>
      </w:pPr>
    </w:p>
    <w:bookmarkStart w:id="2" w:name="page3"/>
    <w:bookmarkEnd w:id="2"/>
    <w:p>
      <w:pPr>
        <w:ind w:left="3980"/>
        <w:spacing w:after="0"/>
        <w:rPr>
          <w:sz w:val="20"/>
          <w:szCs w:val="20"/>
          <w:color w:val="auto"/>
        </w:rPr>
      </w:pPr>
      <w:r>
        <w:rPr>
          <w:rFonts w:ascii="Arial" w:cs="Arial" w:eastAsia="Arial" w:hAnsi="Arial"/>
          <w:sz w:val="22"/>
          <w:szCs w:val="22"/>
          <w:b w:val="1"/>
          <w:bCs w:val="1"/>
          <w:u w:val="single" w:color="auto"/>
          <w:color w:val="auto"/>
        </w:rPr>
        <w:t>TABLE OF CONTENTS</w:t>
      </w:r>
    </w:p>
    <w:p>
      <w:pPr>
        <w:spacing w:after="0" w:line="213" w:lineRule="exact"/>
        <w:rPr>
          <w:sz w:val="20"/>
          <w:szCs w:val="20"/>
          <w:color w:val="auto"/>
        </w:rPr>
      </w:pPr>
    </w:p>
    <w:p>
      <w:pPr>
        <w:ind w:left="320"/>
        <w:spacing w:after="0"/>
        <w:rPr>
          <w:rFonts w:ascii="Arial" w:cs="Arial" w:eastAsia="Arial" w:hAnsi="Arial"/>
          <w:sz w:val="22"/>
          <w:szCs w:val="22"/>
          <w:u w:val="single" w:color="auto"/>
          <w:color w:val="0000EE"/>
        </w:rPr>
      </w:pPr>
      <w:hyperlink w:anchor="page4">
        <w:r>
          <w:rPr>
            <w:rFonts w:ascii="Arial" w:cs="Arial" w:eastAsia="Arial" w:hAnsi="Arial"/>
            <w:sz w:val="22"/>
            <w:szCs w:val="22"/>
            <w:u w:val="single" w:color="auto"/>
            <w:color w:val="0000EE"/>
          </w:rPr>
          <w:t>Item 5. Other Events</w:t>
        </w:r>
      </w:hyperlink>
    </w:p>
    <w:p>
      <w:pPr>
        <w:spacing w:after="0" w:line="8" w:lineRule="exact"/>
        <w:rPr>
          <w:sz w:val="20"/>
          <w:szCs w:val="20"/>
          <w:color w:val="auto"/>
        </w:rPr>
      </w:pPr>
    </w:p>
    <w:p>
      <w:pPr>
        <w:ind w:left="320"/>
        <w:spacing w:after="0"/>
        <w:rPr>
          <w:rFonts w:ascii="Arial" w:cs="Arial" w:eastAsia="Arial" w:hAnsi="Arial"/>
          <w:sz w:val="19"/>
          <w:szCs w:val="19"/>
          <w:u w:val="single" w:color="auto"/>
          <w:color w:val="0000EE"/>
        </w:rPr>
      </w:pPr>
      <w:hyperlink w:anchor="page4">
        <w:r>
          <w:rPr>
            <w:rFonts w:ascii="Arial" w:cs="Arial" w:eastAsia="Arial" w:hAnsi="Arial"/>
            <w:sz w:val="19"/>
            <w:szCs w:val="19"/>
            <w:u w:val="single" w:color="auto"/>
            <w:color w:val="0000EE"/>
          </w:rPr>
          <w:t>Item 7. Financial Statements, Pro Forma Financial Information and Exhibits</w:t>
        </w:r>
      </w:hyperlink>
    </w:p>
    <w:p>
      <w:pPr>
        <w:spacing w:after="0" w:line="15" w:lineRule="exact"/>
        <w:rPr>
          <w:sz w:val="20"/>
          <w:szCs w:val="20"/>
          <w:color w:val="auto"/>
        </w:rPr>
      </w:pPr>
    </w:p>
    <w:p>
      <w:pPr>
        <w:spacing w:after="0"/>
        <w:rPr>
          <w:rFonts w:ascii="Arial" w:cs="Arial" w:eastAsia="Arial" w:hAnsi="Arial"/>
          <w:sz w:val="22"/>
          <w:szCs w:val="22"/>
          <w:u w:val="single" w:color="auto"/>
          <w:color w:val="0000EE"/>
        </w:rPr>
      </w:pPr>
      <w:hyperlink w:anchor="page5">
        <w:r>
          <w:rPr>
            <w:rFonts w:ascii="Arial" w:cs="Arial" w:eastAsia="Arial" w:hAnsi="Arial"/>
            <w:sz w:val="22"/>
            <w:szCs w:val="22"/>
            <w:u w:val="single" w:color="auto"/>
            <w:color w:val="0000EE"/>
          </w:rPr>
          <w:t>SIGNATURES</w:t>
        </w:r>
      </w:hyperlink>
    </w:p>
    <w:p>
      <w:pPr>
        <w:spacing w:after="0" w:line="230" w:lineRule="auto"/>
        <w:rPr>
          <w:rFonts w:ascii="Arial" w:cs="Arial" w:eastAsia="Arial" w:hAnsi="Arial"/>
          <w:sz w:val="22"/>
          <w:szCs w:val="22"/>
          <w:u w:val="single" w:color="auto"/>
          <w:color w:val="0000EE"/>
        </w:rPr>
      </w:pPr>
      <w:hyperlink w:anchor="page6">
        <w:r>
          <w:rPr>
            <w:rFonts w:ascii="Arial" w:cs="Arial" w:eastAsia="Arial" w:hAnsi="Arial"/>
            <w:sz w:val="22"/>
            <w:szCs w:val="22"/>
            <w:u w:val="single" w:color="auto"/>
            <w:color w:val="0000EE"/>
          </w:rPr>
          <w:t>Exhibit Index</w:t>
        </w:r>
      </w:hyperlink>
    </w:p>
    <w:p>
      <w:pPr>
        <w:spacing w:after="0" w:line="1" w:lineRule="exact"/>
        <w:rPr>
          <w:sz w:val="20"/>
          <w:szCs w:val="20"/>
          <w:color w:val="auto"/>
        </w:rPr>
      </w:pPr>
    </w:p>
    <w:p>
      <w:pPr>
        <w:spacing w:after="0"/>
        <w:rPr>
          <w:sz w:val="20"/>
          <w:szCs w:val="20"/>
          <w:color w:val="auto"/>
        </w:rPr>
      </w:pPr>
      <w:r>
        <w:rPr>
          <w:rFonts w:ascii="Arial" w:cs="Arial" w:eastAsia="Arial" w:hAnsi="Arial"/>
          <w:sz w:val="22"/>
          <w:szCs w:val="22"/>
          <w:u w:val="single" w:color="auto"/>
          <w:color w:val="0000EE"/>
        </w:rPr>
        <w:t>Opinion of John S. Tsai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130810</wp:posOffset>
            </wp:positionV>
            <wp:extent cx="7250430"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639"/>
          </w:cols>
          <w:pgMar w:left="820" w:top="111" w:right="1440"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Events</w:t>
      </w:r>
    </w:p>
    <w:p>
      <w:pPr>
        <w:spacing w:after="0" w:line="202" w:lineRule="exact"/>
        <w:rPr>
          <w:sz w:val="20"/>
          <w:szCs w:val="20"/>
          <w:color w:val="auto"/>
        </w:rPr>
      </w:pPr>
    </w:p>
    <w:p>
      <w:pPr>
        <w:ind w:firstLine="225"/>
        <w:spacing w:after="0" w:line="286" w:lineRule="auto"/>
        <w:rPr>
          <w:sz w:val="20"/>
          <w:szCs w:val="20"/>
          <w:color w:val="auto"/>
        </w:rPr>
      </w:pPr>
      <w:r>
        <w:rPr>
          <w:rFonts w:ascii="Arial" w:cs="Arial" w:eastAsia="Arial" w:hAnsi="Arial"/>
          <w:sz w:val="17"/>
          <w:szCs w:val="17"/>
          <w:color w:val="auto"/>
        </w:rPr>
        <w:t>On April 26, 2004, Waste Management, Inc. (the “Company”) filed a prospectus supplement pursuant to Rule 424 of the Securities Act of 1933, as amended, to its registration statement on Form S-3 (No. 333-97697) (the “Registration Statement”), to register the issuance of 19,942 shares of its common stock, par value $0.01 per share (the “Common Stock”), upon exercise of outstanding warrants of the Company.</w:t>
      </w:r>
    </w:p>
    <w:p>
      <w:pPr>
        <w:spacing w:after="0" w:line="125" w:lineRule="exact"/>
        <w:rPr>
          <w:sz w:val="20"/>
          <w:szCs w:val="20"/>
          <w:color w:val="auto"/>
        </w:rPr>
      </w:pPr>
    </w:p>
    <w:p>
      <w:pPr>
        <w:ind w:right="20" w:firstLine="222"/>
        <w:spacing w:after="0" w:line="277" w:lineRule="auto"/>
        <w:rPr>
          <w:sz w:val="20"/>
          <w:szCs w:val="20"/>
          <w:color w:val="auto"/>
        </w:rPr>
      </w:pPr>
      <w:r>
        <w:rPr>
          <w:rFonts w:ascii="Arial" w:cs="Arial" w:eastAsia="Arial" w:hAnsi="Arial"/>
          <w:sz w:val="18"/>
          <w:szCs w:val="18"/>
          <w:color w:val="auto"/>
        </w:rPr>
        <w:t>The Company is filing a legal opinion issued in connection with the issuance of its shares of Common Stock as exhibit 5.1 hereof, to be incorporated by reference into the Registration Statement.</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 Financial Statements, Pro Forma Financial Information and Exhibits</w:t>
      </w:r>
    </w:p>
    <w:p>
      <w:pPr>
        <w:spacing w:after="0" w:line="202" w:lineRule="exact"/>
        <w:rPr>
          <w:sz w:val="20"/>
          <w:szCs w:val="20"/>
          <w:color w:val="auto"/>
        </w:rPr>
      </w:pPr>
    </w:p>
    <w:p>
      <w:pPr>
        <w:ind w:left="240"/>
        <w:spacing w:after="0"/>
        <w:rPr>
          <w:sz w:val="20"/>
          <w:szCs w:val="20"/>
          <w:color w:val="auto"/>
        </w:rPr>
      </w:pPr>
      <w:r>
        <w:rPr>
          <w:rFonts w:ascii="Arial" w:cs="Arial" w:eastAsia="Arial" w:hAnsi="Arial"/>
          <w:sz w:val="18"/>
          <w:szCs w:val="18"/>
          <w:color w:val="auto"/>
        </w:rPr>
        <w:t>(c) Exhibits.</w:t>
      </w:r>
    </w:p>
    <w:p>
      <w:pPr>
        <w:spacing w:after="0" w:line="225" w:lineRule="exact"/>
        <w:rPr>
          <w:sz w:val="20"/>
          <w:szCs w:val="20"/>
          <w:color w:val="auto"/>
        </w:rPr>
      </w:pPr>
    </w:p>
    <w:p>
      <w:pPr>
        <w:ind w:left="680"/>
        <w:spacing w:after="0"/>
        <w:tabs>
          <w:tab w:leader="none" w:pos="1100" w:val="left"/>
        </w:tabs>
        <w:rPr>
          <w:sz w:val="20"/>
          <w:szCs w:val="20"/>
          <w:color w:val="auto"/>
        </w:rPr>
      </w:pPr>
      <w:r>
        <w:rPr>
          <w:rFonts w:ascii="Arial" w:cs="Arial" w:eastAsia="Arial" w:hAnsi="Arial"/>
          <w:sz w:val="18"/>
          <w:szCs w:val="18"/>
          <w:color w:val="auto"/>
        </w:rPr>
        <w:t>5.1</w:t>
      </w:r>
      <w:r>
        <w:rPr>
          <w:sz w:val="20"/>
          <w:szCs w:val="20"/>
          <w:color w:val="auto"/>
        </w:rPr>
        <w:tab/>
      </w:r>
      <w:r>
        <w:rPr>
          <w:rFonts w:ascii="Arial" w:cs="Arial" w:eastAsia="Arial" w:hAnsi="Arial"/>
          <w:sz w:val="16"/>
          <w:szCs w:val="16"/>
          <w:color w:val="auto"/>
        </w:rPr>
        <w:t>Opinion of John S. Tsai.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424180</wp:posOffset>
            </wp:positionV>
            <wp:extent cx="7250430"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00"/>
          </w:cols>
          <w:pgMar w:left="240" w:top="419" w:right="45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202" w:lineRule="exact"/>
        <w:rPr>
          <w:sz w:val="20"/>
          <w:szCs w:val="20"/>
          <w:color w:val="auto"/>
        </w:rPr>
      </w:pPr>
    </w:p>
    <w:p>
      <w:pPr>
        <w:ind w:right="300" w:firstLine="225"/>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caused this report to be signed on its behalf by the undersigned, hereunto duly authorized.</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420" w:type="dxa"/>
            <w:vAlign w:val="bottom"/>
          </w:tcPr>
          <w:p>
            <w:pPr>
              <w:spacing w:after="0"/>
              <w:rPr>
                <w:sz w:val="20"/>
                <w:szCs w:val="20"/>
                <w:color w:val="auto"/>
              </w:rPr>
            </w:pPr>
          </w:p>
        </w:tc>
        <w:tc>
          <w:tcPr>
            <w:tcW w:w="6320" w:type="dxa"/>
            <w:vAlign w:val="bottom"/>
            <w:gridSpan w:val="2"/>
          </w:tcPr>
          <w:p>
            <w:pPr>
              <w:ind w:left="1940"/>
              <w:spacing w:after="0"/>
              <w:rPr>
                <w:sz w:val="20"/>
                <w:szCs w:val="20"/>
                <w:color w:val="auto"/>
              </w:rPr>
            </w:pPr>
            <w:r>
              <w:rPr>
                <w:rFonts w:ascii="Arial" w:cs="Arial" w:eastAsia="Arial" w:hAnsi="Arial"/>
                <w:sz w:val="18"/>
                <w:szCs w:val="18"/>
                <w:color w:val="auto"/>
              </w:rPr>
              <w:t>WASTE MANAGEMENT, INC.</w:t>
            </w:r>
          </w:p>
        </w:tc>
        <w:tc>
          <w:tcPr>
            <w:tcW w:w="1680" w:type="dxa"/>
            <w:vAlign w:val="bottom"/>
          </w:tcPr>
          <w:p>
            <w:pPr>
              <w:spacing w:after="0"/>
              <w:rPr>
                <w:sz w:val="20"/>
                <w:szCs w:val="20"/>
                <w:color w:val="auto"/>
              </w:rPr>
            </w:pPr>
          </w:p>
        </w:tc>
      </w:tr>
      <w:tr>
        <w:trPr>
          <w:trHeight w:val="432"/>
        </w:trPr>
        <w:tc>
          <w:tcPr>
            <w:tcW w:w="3420" w:type="dxa"/>
            <w:vAlign w:val="bottom"/>
          </w:tcPr>
          <w:p>
            <w:pPr>
              <w:spacing w:after="0"/>
              <w:rPr>
                <w:sz w:val="20"/>
                <w:szCs w:val="20"/>
                <w:color w:val="auto"/>
              </w:rPr>
            </w:pPr>
            <w:r>
              <w:rPr>
                <w:rFonts w:ascii="Arial" w:cs="Arial" w:eastAsia="Arial" w:hAnsi="Arial"/>
                <w:sz w:val="18"/>
                <w:szCs w:val="18"/>
                <w:color w:val="auto"/>
              </w:rPr>
              <w:t>Date: April 26, 2004</w:t>
            </w:r>
          </w:p>
        </w:tc>
        <w:tc>
          <w:tcPr>
            <w:tcW w:w="6320" w:type="dxa"/>
            <w:vAlign w:val="bottom"/>
            <w:gridSpan w:val="2"/>
          </w:tcPr>
          <w:p>
            <w:pPr>
              <w:ind w:left="1940"/>
              <w:spacing w:after="0"/>
              <w:rPr>
                <w:sz w:val="20"/>
                <w:szCs w:val="20"/>
                <w:color w:val="auto"/>
              </w:rPr>
            </w:pPr>
            <w:r>
              <w:rPr>
                <w:rFonts w:ascii="Arial" w:cs="Arial" w:eastAsia="Arial" w:hAnsi="Arial"/>
                <w:sz w:val="18"/>
                <w:szCs w:val="18"/>
                <w:color w:val="auto"/>
              </w:rPr>
              <w:t>By: /s/ Rick L Wittenbraker</w:t>
            </w:r>
          </w:p>
        </w:tc>
        <w:tc>
          <w:tcPr>
            <w:tcW w:w="1680" w:type="dxa"/>
            <w:vAlign w:val="bottom"/>
          </w:tcPr>
          <w:p>
            <w:pPr>
              <w:spacing w:after="0"/>
              <w:rPr>
                <w:sz w:val="24"/>
                <w:szCs w:val="24"/>
                <w:color w:val="auto"/>
              </w:rPr>
            </w:pPr>
          </w:p>
        </w:tc>
      </w:tr>
      <w:tr>
        <w:trPr>
          <w:trHeight w:val="195"/>
        </w:trPr>
        <w:tc>
          <w:tcPr>
            <w:tcW w:w="3420" w:type="dxa"/>
            <w:vAlign w:val="bottom"/>
          </w:tcPr>
          <w:p>
            <w:pPr>
              <w:spacing w:after="0"/>
              <w:rPr>
                <w:sz w:val="16"/>
                <w:szCs w:val="16"/>
                <w:color w:val="auto"/>
              </w:rPr>
            </w:pPr>
          </w:p>
        </w:tc>
        <w:tc>
          <w:tcPr>
            <w:tcW w:w="2280" w:type="dxa"/>
            <w:vAlign w:val="bottom"/>
          </w:tcPr>
          <w:p>
            <w:pPr>
              <w:spacing w:after="0"/>
              <w:rPr>
                <w:sz w:val="16"/>
                <w:szCs w:val="16"/>
                <w:color w:val="auto"/>
              </w:rPr>
            </w:pPr>
          </w:p>
        </w:tc>
        <w:tc>
          <w:tcPr>
            <w:tcW w:w="404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Rick L Wittenbraker</w:t>
            </w:r>
          </w:p>
        </w:tc>
        <w:tc>
          <w:tcPr>
            <w:tcW w:w="1680" w:type="dxa"/>
            <w:vAlign w:val="bottom"/>
          </w:tcPr>
          <w:p>
            <w:pPr>
              <w:spacing w:after="0"/>
              <w:rPr>
                <w:sz w:val="16"/>
                <w:szCs w:val="16"/>
                <w:color w:val="auto"/>
              </w:rPr>
            </w:pPr>
          </w:p>
        </w:tc>
      </w:tr>
      <w:tr>
        <w:trPr>
          <w:trHeight w:val="216"/>
        </w:trPr>
        <w:tc>
          <w:tcPr>
            <w:tcW w:w="342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4040" w:type="dxa"/>
            <w:vAlign w:val="bottom"/>
          </w:tcPr>
          <w:p>
            <w:pPr>
              <w:spacing w:after="0"/>
              <w:rPr>
                <w:sz w:val="20"/>
                <w:szCs w:val="20"/>
                <w:color w:val="auto"/>
              </w:rPr>
            </w:pPr>
            <w:r>
              <w:rPr>
                <w:rFonts w:ascii="Arial" w:cs="Arial" w:eastAsia="Arial" w:hAnsi="Arial"/>
                <w:sz w:val="18"/>
                <w:szCs w:val="18"/>
                <w:i w:val="1"/>
                <w:iCs w:val="1"/>
                <w:color w:val="auto"/>
                <w:w w:val="93"/>
              </w:rPr>
              <w:t>Senior Vice President, General Counsel and Assistant</w:t>
            </w:r>
          </w:p>
        </w:tc>
        <w:tc>
          <w:tcPr>
            <w:tcW w:w="1680" w:type="dxa"/>
            <w:vAlign w:val="bottom"/>
          </w:tcPr>
          <w:p>
            <w:pPr>
              <w:spacing w:after="0"/>
              <w:rPr>
                <w:sz w:val="18"/>
                <w:szCs w:val="18"/>
                <w:color w:val="auto"/>
              </w:rPr>
            </w:pPr>
          </w:p>
        </w:tc>
      </w:tr>
      <w:tr>
        <w:trPr>
          <w:trHeight w:val="230"/>
        </w:trPr>
        <w:tc>
          <w:tcPr>
            <w:tcW w:w="3420" w:type="dxa"/>
            <w:vAlign w:val="bottom"/>
          </w:tcPr>
          <w:p>
            <w:pPr>
              <w:spacing w:after="0"/>
              <w:rPr>
                <w:sz w:val="20"/>
                <w:szCs w:val="20"/>
                <w:color w:val="auto"/>
              </w:rPr>
            </w:pPr>
          </w:p>
        </w:tc>
        <w:tc>
          <w:tcPr>
            <w:tcW w:w="2280" w:type="dxa"/>
            <w:vAlign w:val="bottom"/>
          </w:tcPr>
          <w:p>
            <w:pPr>
              <w:spacing w:after="0"/>
              <w:rPr>
                <w:sz w:val="20"/>
                <w:szCs w:val="20"/>
                <w:color w:val="auto"/>
              </w:rPr>
            </w:pPr>
          </w:p>
        </w:tc>
        <w:tc>
          <w:tcPr>
            <w:tcW w:w="4040" w:type="dxa"/>
            <w:vAlign w:val="bottom"/>
          </w:tcPr>
          <w:p>
            <w:pPr>
              <w:spacing w:after="0"/>
              <w:rPr>
                <w:sz w:val="20"/>
                <w:szCs w:val="20"/>
                <w:color w:val="auto"/>
              </w:rPr>
            </w:pPr>
            <w:r>
              <w:rPr>
                <w:rFonts w:ascii="Arial" w:cs="Arial" w:eastAsia="Arial" w:hAnsi="Arial"/>
                <w:sz w:val="18"/>
                <w:szCs w:val="18"/>
                <w:i w:val="1"/>
                <w:iCs w:val="1"/>
                <w:color w:val="auto"/>
              </w:rPr>
              <w:t>Secretary</w:t>
            </w:r>
          </w:p>
        </w:tc>
        <w:tc>
          <w:tcPr>
            <w:tcW w:w="1680" w:type="dxa"/>
            <w:vAlign w:val="bottom"/>
          </w:tcPr>
          <w:p>
            <w:pPr>
              <w:spacing w:after="0"/>
              <w:rPr>
                <w:sz w:val="20"/>
                <w:szCs w:val="20"/>
                <w:color w:val="auto"/>
              </w:rPr>
            </w:pPr>
          </w:p>
        </w:tc>
      </w:tr>
      <w:tr>
        <w:trPr>
          <w:trHeight w:val="834"/>
        </w:trPr>
        <w:tc>
          <w:tcPr>
            <w:tcW w:w="3420" w:type="dxa"/>
            <w:vAlign w:val="bottom"/>
            <w:tcBorders>
              <w:bottom w:val="single" w:sz="8" w:color="808080"/>
            </w:tcBorders>
          </w:tcPr>
          <w:p>
            <w:pPr>
              <w:spacing w:after="0"/>
              <w:rPr>
                <w:sz w:val="24"/>
                <w:szCs w:val="24"/>
                <w:color w:val="auto"/>
              </w:rPr>
            </w:pPr>
          </w:p>
        </w:tc>
        <w:tc>
          <w:tcPr>
            <w:tcW w:w="2280" w:type="dxa"/>
            <w:vAlign w:val="bottom"/>
            <w:tcBorders>
              <w:bottom w:val="single" w:sz="8" w:color="808080"/>
            </w:tcBorders>
          </w:tcPr>
          <w:p>
            <w:pPr>
              <w:spacing w:after="0"/>
              <w:rPr>
                <w:sz w:val="24"/>
                <w:szCs w:val="24"/>
                <w:color w:val="auto"/>
              </w:rPr>
            </w:pPr>
          </w:p>
        </w:tc>
        <w:tc>
          <w:tcPr>
            <w:tcW w:w="4040" w:type="dxa"/>
            <w:vAlign w:val="bottom"/>
            <w:tcBorders>
              <w:bottom w:val="single" w:sz="8" w:color="808080"/>
            </w:tcBorders>
          </w:tcPr>
          <w:p>
            <w:pPr>
              <w:spacing w:after="0"/>
              <w:rPr>
                <w:sz w:val="24"/>
                <w:szCs w:val="24"/>
                <w:color w:val="auto"/>
              </w:rPr>
            </w:pPr>
          </w:p>
        </w:tc>
        <w:tc>
          <w:tcPr>
            <w:tcW w:w="168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right"/>
        <w:ind w:right="3979"/>
        <w:spacing w:after="0"/>
        <w:rPr>
          <w:sz w:val="20"/>
          <w:szCs w:val="20"/>
          <w:color w:val="auto"/>
        </w:rPr>
      </w:pPr>
      <w:r>
        <w:rPr>
          <w:rFonts w:ascii="Arial" w:cs="Arial" w:eastAsia="Arial" w:hAnsi="Arial"/>
          <w:sz w:val="18"/>
          <w:szCs w:val="18"/>
          <w:b w:val="1"/>
          <w:bCs w:val="1"/>
          <w:color w:val="auto"/>
        </w:rPr>
        <w:t>Exhibit Index</w:t>
      </w:r>
    </w:p>
    <w:p>
      <w:pPr>
        <w:spacing w:after="0" w:line="229" w:lineRule="exact"/>
        <w:rPr>
          <w:sz w:val="20"/>
          <w:szCs w:val="20"/>
          <w:color w:val="auto"/>
        </w:rPr>
      </w:pPr>
    </w:p>
    <w:p>
      <w:pPr>
        <w:ind w:left="680"/>
        <w:spacing w:after="0"/>
        <w:tabs>
          <w:tab w:leader="none" w:pos="1100" w:val="left"/>
        </w:tabs>
        <w:rPr>
          <w:sz w:val="20"/>
          <w:szCs w:val="20"/>
          <w:color w:val="auto"/>
        </w:rPr>
      </w:pPr>
      <w:r>
        <w:rPr>
          <w:rFonts w:ascii="Arial" w:cs="Arial" w:eastAsia="Arial" w:hAnsi="Arial"/>
          <w:sz w:val="18"/>
          <w:szCs w:val="18"/>
          <w:color w:val="auto"/>
        </w:rPr>
        <w:t>5.1</w:t>
      </w:r>
      <w:r>
        <w:rPr>
          <w:sz w:val="20"/>
          <w:szCs w:val="20"/>
          <w:color w:val="auto"/>
        </w:rPr>
        <w:tab/>
      </w:r>
      <w:r>
        <w:rPr>
          <w:rFonts w:ascii="Arial" w:cs="Arial" w:eastAsia="Arial" w:hAnsi="Arial"/>
          <w:sz w:val="16"/>
          <w:szCs w:val="16"/>
          <w:color w:val="auto"/>
        </w:rPr>
        <w:t>Opinion of John S. Tsai.</w:t>
      </w:r>
    </w:p>
    <w:p>
      <w:pPr>
        <w:sectPr>
          <w:pgSz w:w="11900" w:h="16838" w:orient="portrait"/>
          <w:cols w:equalWidth="0" w:num="1">
            <w:col w:w="10219"/>
          </w:cols>
          <w:pgMar w:left="240" w:top="419" w:right="1440" w:bottom="1440" w:gutter="0" w:footer="0" w:header="0"/>
        </w:sectPr>
      </w:pPr>
    </w:p>
    <w:bookmarkStart w:id="6" w:name="page7"/>
    <w:bookmarkEnd w:id="6"/>
    <w:p>
      <w:pPr>
        <w:jc w:val="center"/>
        <w:ind w:right="-139"/>
        <w:spacing w:after="0"/>
        <w:rPr>
          <w:sz w:val="20"/>
          <w:szCs w:val="20"/>
          <w:color w:val="auto"/>
        </w:rPr>
      </w:pPr>
      <w:r>
        <w:rPr>
          <w:rFonts w:ascii="Arial" w:cs="Arial" w:eastAsia="Arial" w:hAnsi="Arial"/>
          <w:sz w:val="18"/>
          <w:szCs w:val="18"/>
          <w:color w:val="auto"/>
        </w:rPr>
        <w:t>[WASTE MANAGEMENT LETTERHEAD]</w:t>
      </w:r>
    </w:p>
    <w:p>
      <w:pPr>
        <w:spacing w:after="0" w:line="19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April 26, 2004</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Waste Management,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1001 Fannin Street, Suite 4000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Houston, Texas 77002</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Gentlemen,</w:t>
      </w:r>
    </w:p>
    <w:p>
      <w:pPr>
        <w:spacing w:after="0" w:line="198" w:lineRule="exact"/>
        <w:rPr>
          <w:sz w:val="20"/>
          <w:szCs w:val="20"/>
          <w:color w:val="auto"/>
        </w:rPr>
      </w:pPr>
    </w:p>
    <w:p>
      <w:pPr>
        <w:ind w:right="20" w:firstLine="225"/>
        <w:spacing w:after="0" w:line="259" w:lineRule="auto"/>
        <w:rPr>
          <w:sz w:val="20"/>
          <w:szCs w:val="20"/>
          <w:color w:val="auto"/>
        </w:rPr>
      </w:pPr>
      <w:r>
        <w:rPr>
          <w:rFonts w:ascii="Arial" w:cs="Arial" w:eastAsia="Arial" w:hAnsi="Arial"/>
          <w:sz w:val="18"/>
          <w:szCs w:val="18"/>
          <w:color w:val="auto"/>
        </w:rPr>
        <w:t>I am Vice President and Assistant General Counsel – Corporate &amp; Securities of Waste Management, Inc., a Delaware corporation (the “Company”), and have acted in such capacity in connection with the sale of 19,942 shares of the Company’s common stock, par value $0.01 per share (the “Common Stock”), pursuant to the exercise of warrants dated April 26, 1996 (the “Warrants”). The 19,942 shares of Common Stock are being issued under a registration statement on Form S-3 (No. 333-97697) filed under the Securities Act of 1933, as amended.</w:t>
      </w:r>
    </w:p>
    <w:p>
      <w:pPr>
        <w:spacing w:after="0" w:line="146" w:lineRule="exact"/>
        <w:rPr>
          <w:sz w:val="20"/>
          <w:szCs w:val="20"/>
          <w:color w:val="auto"/>
        </w:rPr>
      </w:pPr>
    </w:p>
    <w:p>
      <w:pPr>
        <w:ind w:firstLine="225"/>
        <w:spacing w:after="0" w:line="257" w:lineRule="auto"/>
        <w:rPr>
          <w:sz w:val="20"/>
          <w:szCs w:val="20"/>
          <w:color w:val="auto"/>
        </w:rPr>
      </w:pPr>
      <w:r>
        <w:rPr>
          <w:rFonts w:ascii="Arial" w:cs="Arial" w:eastAsia="Arial" w:hAnsi="Arial"/>
          <w:sz w:val="18"/>
          <w:szCs w:val="18"/>
          <w:color w:val="auto"/>
        </w:rPr>
        <w:t>I have examined corporate documents of the Company, including its Certificate of Incorporation and Bylaws, and resolutions adopted by its board of directors and committees thereof. I have also examined the Registration Statement, together with the exhibits thereto, and such other documents that I have deemed necessary for the purposes of expressing the opinion contained herein. I have relied on representations made by and certificates of the officers of the Company and public officials with respect to certain facts material to my opinion. I have made no independent investigation regarding such representations and certificates.</w:t>
      </w:r>
    </w:p>
    <w:p>
      <w:pPr>
        <w:spacing w:after="0" w:line="148" w:lineRule="exact"/>
        <w:rPr>
          <w:sz w:val="20"/>
          <w:szCs w:val="20"/>
          <w:color w:val="auto"/>
        </w:rPr>
      </w:pPr>
    </w:p>
    <w:p>
      <w:pPr>
        <w:ind w:firstLine="225"/>
        <w:spacing w:after="0" w:line="277" w:lineRule="auto"/>
        <w:rPr>
          <w:sz w:val="20"/>
          <w:szCs w:val="20"/>
          <w:color w:val="auto"/>
        </w:rPr>
      </w:pPr>
      <w:r>
        <w:rPr>
          <w:rFonts w:ascii="Arial" w:cs="Arial" w:eastAsia="Arial" w:hAnsi="Arial"/>
          <w:sz w:val="18"/>
          <w:szCs w:val="18"/>
          <w:color w:val="auto"/>
        </w:rPr>
        <w:t>Based upon the foregoing, I am of the opinion that when payment for the shares of Common Stock has been made pursuant to the Warrants, the Common Stock issued thereupon will be validly issued, fully paid and nonassessable.</w:t>
      </w:r>
    </w:p>
    <w:p>
      <w:pPr>
        <w:spacing w:after="0" w:line="143" w:lineRule="exact"/>
        <w:rPr>
          <w:sz w:val="20"/>
          <w:szCs w:val="20"/>
          <w:color w:val="auto"/>
        </w:rPr>
      </w:pPr>
    </w:p>
    <w:p>
      <w:pPr>
        <w:ind w:left="240"/>
        <w:spacing w:after="0"/>
        <w:rPr>
          <w:sz w:val="20"/>
          <w:szCs w:val="20"/>
          <w:color w:val="auto"/>
        </w:rPr>
      </w:pPr>
      <w:r>
        <w:rPr>
          <w:rFonts w:ascii="Arial" w:cs="Arial" w:eastAsia="Arial" w:hAnsi="Arial"/>
          <w:sz w:val="18"/>
          <w:szCs w:val="18"/>
          <w:color w:val="auto"/>
        </w:rPr>
        <w:t>I hereby consent to the filing of this opinion as an exhibit to the Registration Statement.</w:t>
      </w:r>
    </w:p>
    <w:p>
      <w:pPr>
        <w:spacing w:after="0" w:line="18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Very truly yours,</w:t>
      </w:r>
    </w:p>
    <w:p>
      <w:pPr>
        <w:spacing w:after="0" w:line="18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 John S. Tsai</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John S. Tsai</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Vice President &amp; Assistant General</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Counsel – Corporate &amp; Securities</w:t>
      </w:r>
    </w:p>
    <w:sectPr>
      <w:pgSz w:w="11900" w:h="16838" w:orient="portrait"/>
      <w:cols w:equalWidth="0" w:num="1">
        <w:col w:w="11280"/>
      </w:cols>
      <w:pgMar w:left="240" w:top="935"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2019-12-20T04:02:47Z</dcterms:created>
  <dcterms:modified xsi:type="dcterms:W3CDTF">2019-12-20T04:02:47Z</dcterms:modified>
</cp:coreProperties>
</file>