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860"/>
        <w:spacing w:after="0"/>
        <w:rPr>
          <w:sz w:val="20"/>
          <w:szCs w:val="20"/>
          <w:color w:val="auto"/>
        </w:rPr>
      </w:pPr>
      <w:r>
        <w:rPr>
          <w:rFonts w:ascii="Arial" w:cs="Arial" w:eastAsia="Arial" w:hAnsi="Arial"/>
          <w:sz w:val="21"/>
          <w:szCs w:val="21"/>
          <w:b w:val="1"/>
          <w:bCs w:val="1"/>
          <w:color w:val="auto"/>
        </w:rPr>
        <w:t>Date of Report (Date of earliest event reported): July 26,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33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26, 2013, Waste Management, Inc. (the “Company”) amended and restated its revolving credit agreement with a syndicate of banks (the “Banks”), Bank of America, N.A. (“BofA”),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 (the “Second Amended and Restated Credit Agreement”). The Second Amended and Restated Credit Agreement increased the total commitment under the facility from $2.0 billion to $2.25 billion and extended the maturity date to July 26, 2018. Waste Management Holdings, Inc., a wholly-owned subsidiary of the Company, guarantees all of the Company’s obligations under the Second Amended and Restated Credit Agreement.</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Under the Second Amended and Restated Credit Agreement, the Company is required to pay, quarterly in arrears, (a) an annual facility fee in an amount ranging from .10% to .275% of the $2.25 billion in letter of credit and borrowing availability under the agreement (the “Facility Fee”) and (b) letter of credit fees in an amount ranging from .90% to 1.475% of outstanding letters of credit issued under the agreement (the “L/C Fee”). Additionally, any borrowings under the Second Amended and Restated Credit Agreement will bear interest at either (x) the Eurodollar London Interbank Offered Rate (“LIBOR”) for the applicable interest period, plus a spread ranging from .90% to 1.475% per annum (a “Eurodollar Loan”), or (y) a base rate equal to the highest of (i) the U.S. Federal Funds Rate plus 1/2 of 1%, (ii) BofA’s announced prime rate, or (iii) the Eurodollar Rate plus 1%, plus a spread ranging from 0% to .475% per annum (a “Base Rate Loan”). The Facility Fee and the L/C Fee percentages and the spread applicable to Eurodollar Loans and Base Rate Loans depend on the Company’s senior public debt rating as determined by Standard &amp; Poor’s and Moody’s. Based on the Company’s current senior public debt rating, the Facility Fee is ..175% per annum, the L/C Fee is 1.075% per annum, and the spreads applicable to Eurodollar Loans and Base Rate Loans are 1.075% and .075% per annum, respectively.</w:t>
      </w:r>
    </w:p>
    <w:p>
      <w:pPr>
        <w:spacing w:after="0" w:line="10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closing, the Company had $255 million of Eurodollar Loans and $951 million of letters of credit outstanding under the Second Amended &amp; Restated Credit Agreement. The Company had unused and available credit capacity of $1,044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Second Amended and Restated Credit Agreement contains customary representations and warranties and affirmative and negative covenants. The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Second Amended and Restated Credit Agreement requires the Company to maintain a minimum interest coverage ratio and a maximum total debt to consolidated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earnings before interest, taxes and depreciation and amortization (“EBITDA”) ratio. The interest coverage covenant requires that the ratio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earnings before interest and taxes (or EBIT) for the preceding four fiscal quarters to its consolidated total interest expense for such period shall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less than 2.75 to 1. The total debt to EBTIDA covenant requires that the ratio of the Company’s total debt to its EBITDA for the preceding four fiscal quarters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be more than (a) 3.75 to 1 for each fiscal quarter ending before September 30, 2015 and (b) 3.5 to 1 for each fiscal quarter ending on or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2015. The calculation of all components used in the covenants are as defined in the Second Amended and Restated Credit Agreement. The Second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Credit Agreement contains certain restrictions on the ability of the Company’s subsidiaries to incur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indebtedness as well as restrictions on the ability of the Company and its subsidiaries to, among other things, incur liens; engage in sale-leaseback transactions; make certain investments; and engage in mergers and consolidations.</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Second Amended and Restated Credit Agreement contains customary events of default, including nonpayment of principal when due; nonpayment of interest, fees or other amounts after a stated grace period; inaccuracy of representations and warranties; violations of covenants, subject in certain cases to negotiated grace periods; certain bankruptcies and liquidations; a cross-default of more than $75 million; certain unsatisfied judgments of more than $50 million; certain ERISA-related events; and a change in control of the Company (as specified in the agreement). If an event of default occurs and is continuing, the Company may be required to repay all amounts outstanding under the Second Amended and Restated Credit Agreement and cash-collateralize any outstanding letters of credit supported by the Second Amended and Restated Credit Agreement. Banks that hold more than 50% of the commitments under the Second Amended and Restated Credit Agreement may elect to accelerate the maturity of all amounts due upon the occurrence and during the continuation of an event of default.</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Several of the Banks that are party to the Second Amended and Restated Credit Agreement have in the past performed, and may in the future from time to time perform, investment banking, financial advisory, lending and/or commercial banking services for the Company and its subsidiaries, for which they have received, and may in the future receive, customary compensation and reimbursement of expenses.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Second Amended and Restated Credit Agreement is attached as Exhibit 10.1 to this Current Report on Form 8-K. The above description of the Second Amended and Restated Credit Agreement is not complete and is qualified in its entirety by reference to the exhibit.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issued a press release this morning announcing its financial results for the quarter ended June 30, 2013,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97883740.</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non-GAAP measures contained and reconciled in the press release, management is also expected to discuss Adjusted Operating EBITDA. The Company defines Operating EBTIDA as income from operations before depreciation and amortization, and the Company’s Adjusted Operating EBITDA excludes certain items noted in the press release. These measures may not be comparable to similarly titled measures reported by other companies. Management uses Adjusted Operating EBITDA as an indicator of the Company’s operating performance and ability to pay dividends, fund acquisitions, capital expenditures and other investments and, in the absence of refinancing, to repay debt obligations. Management believes Adjusted Operating EBITDA is helpful to investors evaluating the Company’s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3" w:name="page4"/>
    <w:bookmarkEnd w:id="3"/>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performance because certain non-cash costs and other items that management believes are not representative of our performance or indicative of our results of operations are excluded. Operating EBITDA and Adjusted Operating EBTIDA are supplemental non-GAAP measures and should not be considered an alternative to net income or income from operations. The reconciliation of Adjusted Operating EBITDA to GAAP income from operations is shown below.</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Measure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2013</w:t>
            </w:r>
          </w:p>
        </w:tc>
        <w:tc>
          <w:tcPr>
            <w:tcW w:w="4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2012</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3,526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3,459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466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Operating EBITDA</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789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w w:val="97"/>
              </w:rPr>
              <w:t>Charges primarily related to asset impairments and restructuring charges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Partial withdrawal from multiemployer pension plan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EBITDA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862</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Operating EBITDA as a percent of revenues (a)</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24.2%</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EBITDA for the second quarter of 2013 increased 20 basis points as compared with the second quarter of 2012.</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ind w:left="1500" w:hanging="1485"/>
        <w:spacing w:after="0" w:line="291" w:lineRule="auto"/>
        <w:tabs>
          <w:tab w:leader="none" w:pos="148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6"/>
          <w:szCs w:val="16"/>
          <w:color w:val="auto"/>
        </w:rPr>
        <w:t>$2.25 Billion Second Amended and Restated Revolving Credit Agreement dated as of July 26, 2013 by and among Waste Management, Inc. and Waste Management Holdings, Inc. and certain banks party thereto, Bank of America, N.A.,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w:t>
      </w:r>
    </w:p>
    <w:p>
      <w:pPr>
        <w:spacing w:after="0" w:line="6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30, 2013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July 30, 2013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61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r>
      <w:tr>
        <w:trPr>
          <w:trHeight w:val="359"/>
        </w:trPr>
        <w:tc>
          <w:tcPr>
            <w:tcW w:w="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9"/>
              </w:rPr>
              <w:t>Exhibit</w:t>
            </w:r>
          </w:p>
        </w:tc>
        <w:tc>
          <w:tcPr>
            <w:tcW w:w="47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44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4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780" w:type="dxa"/>
            <w:vAlign w:val="bottom"/>
            <w:gridSpan w:val="3"/>
          </w:tcPr>
          <w:p>
            <w:pPr>
              <w:jc w:val="center"/>
              <w:ind w:right="4332"/>
              <w:spacing w:after="0"/>
              <w:rPr>
                <w:sz w:val="20"/>
                <w:szCs w:val="20"/>
                <w:color w:val="auto"/>
              </w:rPr>
            </w:pPr>
            <w:r>
              <w:rPr>
                <w:rFonts w:ascii="Arial" w:cs="Arial" w:eastAsia="Arial" w:hAnsi="Arial"/>
                <w:sz w:val="14"/>
                <w:szCs w:val="14"/>
                <w:b w:val="1"/>
                <w:bCs w:val="1"/>
                <w:color w:val="auto"/>
                <w:w w:val="88"/>
              </w:rPr>
              <w:t>Description of Exhibit</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5080" w:type="dxa"/>
            <w:vAlign w:val="bottom"/>
            <w:gridSpan w:val="2"/>
          </w:tcPr>
          <w:p>
            <w:pPr>
              <w:ind w:left="560"/>
              <w:spacing w:after="0" w:line="201" w:lineRule="exact"/>
              <w:rPr>
                <w:sz w:val="20"/>
                <w:szCs w:val="20"/>
                <w:color w:val="auto"/>
              </w:rPr>
            </w:pPr>
            <w:r>
              <w:rPr>
                <w:rFonts w:ascii="Arial" w:cs="Arial" w:eastAsia="Arial" w:hAnsi="Arial"/>
                <w:sz w:val="18"/>
                <w:szCs w:val="18"/>
                <w:color w:val="auto"/>
                <w:w w:val="90"/>
              </w:rPr>
              <w:t>$2.25 Billion Second Amended and Restated Revolving Credit</w:t>
            </w:r>
          </w:p>
        </w:tc>
        <w:tc>
          <w:tcPr>
            <w:tcW w:w="1360" w:type="dxa"/>
            <w:vAlign w:val="bottom"/>
            <w:tcBorders>
              <w:top w:val="single" w:sz="8" w:color="auto"/>
            </w:tcBorders>
            <w:gridSpan w:val="2"/>
          </w:tcPr>
          <w:p>
            <w:pPr>
              <w:jc w:val="center"/>
              <w:ind w:right="20"/>
              <w:spacing w:after="0" w:line="201" w:lineRule="exact"/>
              <w:rPr>
                <w:sz w:val="20"/>
                <w:szCs w:val="20"/>
                <w:color w:val="auto"/>
              </w:rPr>
            </w:pPr>
            <w:r>
              <w:rPr>
                <w:rFonts w:ascii="Arial" w:cs="Arial" w:eastAsia="Arial" w:hAnsi="Arial"/>
                <w:sz w:val="18"/>
                <w:szCs w:val="18"/>
                <w:color w:val="auto"/>
                <w:w w:val="82"/>
              </w:rPr>
              <w:t>Agreement dated as</w:t>
            </w:r>
          </w:p>
        </w:tc>
        <w:tc>
          <w:tcPr>
            <w:tcW w:w="4420" w:type="dxa"/>
            <w:vAlign w:val="bottom"/>
          </w:tcPr>
          <w:p>
            <w:pPr>
              <w:ind w:left="20"/>
              <w:spacing w:after="0" w:line="201" w:lineRule="exact"/>
              <w:rPr>
                <w:sz w:val="20"/>
                <w:szCs w:val="20"/>
                <w:color w:val="auto"/>
              </w:rPr>
            </w:pPr>
            <w:r>
              <w:rPr>
                <w:rFonts w:ascii="Arial" w:cs="Arial" w:eastAsia="Arial" w:hAnsi="Arial"/>
                <w:sz w:val="18"/>
                <w:szCs w:val="18"/>
                <w:color w:val="auto"/>
                <w:w w:val="90"/>
              </w:rPr>
              <w:t>of July 26, 2013 by and among Waste Management,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w w:val="89"/>
              </w:rPr>
              <w:t>Waste Management Holdings, Inc. and certain banks party thereto, Bank of America, N.A., as Administrative Agent, JPMorgan Chase Bank, N.A.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w w:val="95"/>
              </w:rPr>
              <w:t>and Barclays Bank PLC, as syndication agents, BNP Paribas, Citibank, N.A., Deutsche Bank AG New York Branch, The Bank of Tokyo-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w w:val="94"/>
              </w:rPr>
              <w:t>Mitsubishi UFJ, Ltd., The Royal Bank of Scotland plc, U.S. Bank National Association and Wells Fargo Bank, National Association, as 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w w:val="91"/>
              </w:rPr>
              <w:t>documentation agents and J.P. Morgan Securities LLC, Merrill Lynch, Pierce, Fenner &amp; Smith Incorporated, and Barclays Bank PLC, as lead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rPr>
              <w:t>arrangers and joint bookrunners.</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10860" w:type="dxa"/>
            <w:vAlign w:val="bottom"/>
            <w:gridSpan w:val="5"/>
          </w:tcPr>
          <w:p>
            <w:pPr>
              <w:ind w:left="560"/>
              <w:spacing w:after="0"/>
              <w:rPr>
                <w:sz w:val="20"/>
                <w:szCs w:val="20"/>
                <w:color w:val="auto"/>
              </w:rPr>
            </w:pPr>
            <w:r>
              <w:rPr>
                <w:rFonts w:ascii="Arial" w:cs="Arial" w:eastAsia="Arial" w:hAnsi="Arial"/>
                <w:sz w:val="18"/>
                <w:szCs w:val="18"/>
                <w:color w:val="auto"/>
              </w:rPr>
              <w:t>Press Release dated July 30, 2013</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60" w:type="dxa"/>
            <w:vAlign w:val="bottom"/>
            <w:gridSpan w:val="3"/>
          </w:tcPr>
          <w:p>
            <w:pPr>
              <w:ind w:left="5220"/>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4107LAE8</w:t>
      </w:r>
    </w:p>
    <w:p>
      <w:pPr>
        <w:spacing w:after="0" w:line="16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$2,250,000,000</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SECOND AMENDED AND RESTATED</w:t>
      </w:r>
    </w:p>
    <w:p>
      <w:pPr>
        <w:spacing w:after="0" w:line="2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REVOLVING CREDIT AGREEMENT</w:t>
      </w:r>
    </w:p>
    <w:p>
      <w:pPr>
        <w:spacing w:after="0" w:line="15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dated as of July 26, 2013</w:t>
      </w:r>
    </w:p>
    <w:p>
      <w:pPr>
        <w:spacing w:after="0" w:line="17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by and among</w:t>
      </w:r>
    </w:p>
    <w:p>
      <w:pPr>
        <w:spacing w:after="0" w:line="16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WASTE MANAGEMENT HOLDINGS, INC.</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Guarantor</w:t>
      </w:r>
      <w:r>
        <w:rPr>
          <w:rFonts w:ascii="Arial" w:cs="Arial" w:eastAsia="Arial" w:hAnsi="Arial"/>
          <w:sz w:val="18"/>
          <w:szCs w:val="18"/>
          <w:color w:val="auto"/>
        </w:rPr>
        <w: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CERTAIN BANKS</w:t>
      </w:r>
    </w:p>
    <w:p>
      <w:pPr>
        <w:spacing w:after="0" w:line="1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BANK OF AMERICA, N.A.,</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as Administrative Agent</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JPMORGAN CHASE BANK, N.A., and BARCLAYS BANK PLC,</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as Syndication Agents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BNP PARIBAS,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CITIBANK, N.A.,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DEUTSCHE BANK AG NEW YORK BRANCH,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BANK OF TOKYO-MITSUBISHI UFJ, LTD.,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ROYAL BANK OF SCOTLAND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U.S.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Co-Documentation Agents</w:t>
      </w:r>
    </w:p>
    <w:p>
      <w:pPr>
        <w:spacing w:after="0" w:line="16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J.P. MORGAN SECURITIES LLC, MERRILL LYNCH, PIERCE, FENNER &amp; SMITH</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INCORPORATED and 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135890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170180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232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437"/>
        </w:trPr>
        <w:tc>
          <w:tcPr>
            <w:tcW w:w="8980" w:type="dxa"/>
            <w:vAlign w:val="bottom"/>
            <w:gridSpan w:val="3"/>
          </w:tcPr>
          <w:p>
            <w:pPr>
              <w:spacing w:after="0"/>
              <w:rPr>
                <w:sz w:val="20"/>
                <w:szCs w:val="20"/>
                <w:color w:val="auto"/>
              </w:rPr>
            </w:pPr>
            <w:r>
              <w:rPr>
                <w:rFonts w:ascii="Arial" w:cs="Arial" w:eastAsia="Arial" w:hAnsi="Arial"/>
                <w:sz w:val="18"/>
                <w:szCs w:val="18"/>
                <w:color w:val="auto"/>
              </w:rPr>
              <w:t>§1. DEFINITIONS AND RULES OF 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§1.1.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§1.2. Rules of 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§1.3. Classification of Loans and Borrowings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980" w:type="dxa"/>
            <w:vAlign w:val="bottom"/>
            <w:gridSpan w:val="3"/>
          </w:tcPr>
          <w:p>
            <w:pPr>
              <w:spacing w:after="0"/>
              <w:rPr>
                <w:sz w:val="20"/>
                <w:szCs w:val="20"/>
                <w:color w:val="auto"/>
              </w:rPr>
            </w:pPr>
            <w:r>
              <w:rPr>
                <w:rFonts w:ascii="Arial" w:cs="Arial" w:eastAsia="Arial" w:hAnsi="Arial"/>
                <w:sz w:val="18"/>
                <w:szCs w:val="18"/>
                <w:color w:val="auto"/>
              </w:rPr>
              <w:t>§2. THE LOAN FACILITIES</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§2.1. Commitment to Lend</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§2.2. Facility Fee</w:t>
            </w:r>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§2.3. Reduction and Increase of Total Commitment</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980" w:type="dxa"/>
            <w:vAlign w:val="bottom"/>
            <w:gridSpan w:val="3"/>
          </w:tcPr>
          <w:p>
            <w:pPr>
              <w:ind w:left="880"/>
              <w:spacing w:after="0"/>
              <w:rPr>
                <w:sz w:val="20"/>
                <w:szCs w:val="20"/>
                <w:color w:val="auto"/>
              </w:rPr>
            </w:pPr>
            <w:r>
              <w:rPr>
                <w:rFonts w:ascii="Arial" w:cs="Arial" w:eastAsia="Arial" w:hAnsi="Arial"/>
                <w:sz w:val="18"/>
                <w:szCs w:val="18"/>
                <w:color w:val="auto"/>
              </w:rPr>
              <w:t>§2.3.1 Reduction of Total Commitment</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980" w:type="dxa"/>
            <w:vAlign w:val="bottom"/>
            <w:gridSpan w:val="3"/>
          </w:tcPr>
          <w:p>
            <w:pPr>
              <w:ind w:left="880"/>
              <w:spacing w:after="0"/>
              <w:rPr>
                <w:sz w:val="20"/>
                <w:szCs w:val="20"/>
                <w:color w:val="auto"/>
              </w:rPr>
            </w:pPr>
            <w:r>
              <w:rPr>
                <w:rFonts w:ascii="Arial" w:cs="Arial" w:eastAsia="Arial" w:hAnsi="Arial"/>
                <w:sz w:val="18"/>
                <w:szCs w:val="18"/>
                <w:color w:val="auto"/>
              </w:rPr>
              <w:t>§2.3.2 Increase of Total Commitment</w:t>
            </w:r>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§2.4. Repayment of Loans; Evidence of Debt</w:t>
            </w:r>
          </w:p>
        </w:tc>
        <w:tc>
          <w:tcPr>
            <w:tcW w:w="2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§2.5. Interest on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§2.6. Requests for Syndicated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§2.7. Election of Eurodollar Rate; Notice of Election; Interest Periods; Minimum Amounts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§2.8. Funds for Syndicated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§2.9. Maturity of the Loans and Reimbursement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§2.10. Optional Prepayments or Repayments of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§2.11. Swing Line Loans; Participations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80" w:type="dxa"/>
            <w:vAlign w:val="bottom"/>
            <w:gridSpan w:val="3"/>
          </w:tcPr>
          <w:p>
            <w:pPr>
              <w:spacing w:after="0"/>
              <w:rPr>
                <w:sz w:val="20"/>
                <w:szCs w:val="20"/>
                <w:color w:val="auto"/>
              </w:rPr>
            </w:pPr>
            <w:r>
              <w:rPr>
                <w:rFonts w:ascii="Arial" w:cs="Arial" w:eastAsia="Arial" w:hAnsi="Arial"/>
                <w:sz w:val="18"/>
                <w:szCs w:val="18"/>
                <w:color w:val="auto"/>
              </w:rPr>
              <w:t>§3. LETTERS OF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§3.1. Letter of Credit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§3.2. Reimbursement Obligation of the Borrower</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§3.3. Obligations Absolute</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§3.4. Reliance by the Issuing Banks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§3.5. Notice Regarding Letters of Credit</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§3.6. Letter of Credit Fee; Fronting Fee</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980" w:type="dxa"/>
            <w:vAlign w:val="bottom"/>
            <w:gridSpan w:val="3"/>
          </w:tcPr>
          <w:p>
            <w:pPr>
              <w:spacing w:after="0"/>
              <w:rPr>
                <w:sz w:val="20"/>
                <w:szCs w:val="20"/>
                <w:color w:val="auto"/>
              </w:rPr>
            </w:pPr>
            <w:r>
              <w:rPr>
                <w:rFonts w:ascii="Arial" w:cs="Arial" w:eastAsia="Arial" w:hAnsi="Arial"/>
                <w:sz w:val="18"/>
                <w:szCs w:val="18"/>
                <w:color w:val="auto"/>
              </w:rPr>
              <w:t>§4. COMPETITIVE BID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§4.1. The Competitive Bid Option</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§4.2. Competitive Bid Loan Accounts; Competitive Bid Loans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§4.3. Competitive Bid Quote Request; Invitation for Competitive Bid Quotes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§4.4. Alternative Manner of Procedure</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980" w:type="dxa"/>
            <w:vAlign w:val="bottom"/>
            <w:gridSpan w:val="3"/>
          </w:tcPr>
          <w:p>
            <w:pPr>
              <w:ind w:left="440"/>
              <w:spacing w:after="0"/>
              <w:rPr>
                <w:sz w:val="20"/>
                <w:szCs w:val="20"/>
                <w:color w:val="auto"/>
              </w:rPr>
            </w:pPr>
            <w:r>
              <w:rPr>
                <w:rFonts w:ascii="Arial" w:cs="Arial" w:eastAsia="Arial" w:hAnsi="Arial"/>
                <w:sz w:val="18"/>
                <w:szCs w:val="18"/>
                <w:color w:val="auto"/>
              </w:rPr>
              <w:t>§4.5. Submission and Contents of Competitive Bid Quotes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5"/>
        </w:trPr>
        <w:tc>
          <w:tcPr>
            <w:tcW w:w="4780" w:type="dxa"/>
            <w:vAlign w:val="bottom"/>
          </w:tcPr>
          <w:p>
            <w:pPr>
              <w:spacing w:after="0"/>
              <w:rPr>
                <w:sz w:val="24"/>
                <w:szCs w:val="24"/>
                <w:color w:val="auto"/>
              </w:rPr>
            </w:pPr>
          </w:p>
        </w:tc>
        <w:tc>
          <w:tcPr>
            <w:tcW w:w="4200" w:type="dxa"/>
            <w:vAlign w:val="bottom"/>
            <w:gridSpan w:val="2"/>
          </w:tcPr>
          <w:p>
            <w:pPr>
              <w:jc w:val="center"/>
              <w:ind w:right="2340"/>
              <w:spacing w:after="0"/>
              <w:rPr>
                <w:sz w:val="20"/>
                <w:szCs w:val="20"/>
                <w:color w:val="auto"/>
              </w:rPr>
            </w:pPr>
            <w:r>
              <w:rPr>
                <w:rFonts w:ascii="Arial" w:cs="Arial" w:eastAsia="Arial" w:hAnsi="Arial"/>
                <w:sz w:val="18"/>
                <w:szCs w:val="18"/>
                <w:color w:val="auto"/>
                <w:w w:val="99"/>
              </w:rPr>
              <w:t>- i -</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22"/>
        </w:trPr>
        <w:tc>
          <w:tcPr>
            <w:tcW w:w="8500" w:type="dxa"/>
            <w:vAlign w:val="bottom"/>
          </w:tcPr>
          <w:p>
            <w:pPr>
              <w:ind w:left="440"/>
              <w:spacing w:after="0"/>
              <w:rPr>
                <w:sz w:val="20"/>
                <w:szCs w:val="20"/>
                <w:color w:val="auto"/>
              </w:rPr>
            </w:pPr>
            <w:r>
              <w:rPr>
                <w:rFonts w:ascii="Arial" w:cs="Arial" w:eastAsia="Arial" w:hAnsi="Arial"/>
                <w:sz w:val="18"/>
                <w:szCs w:val="18"/>
                <w:color w:val="auto"/>
              </w:rPr>
              <w:t>§4.6. Notice to Borrower</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§4.7. Acceptance and Notice by Borrower and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§4.8. Allocation by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§4.9. Funding of Competitive Bid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§4.10. Funding Losses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§4.11. Repayment of Competitive Bid Loans; Interest</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§5. PROVISIONS RELATING TO ALL LOANS AND LETTERS OF CREDIT</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 Payments</w:t>
            </w:r>
          </w:p>
        </w:tc>
        <w:tc>
          <w:tcPr>
            <w:tcW w:w="28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§5.2. Mandatory Repayments of the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§5.3. Computations</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§5.4. Illegality; Inability to Determine Eurodollar Rate</w:t>
            </w:r>
          </w:p>
        </w:tc>
        <w:tc>
          <w:tcPr>
            <w:tcW w:w="2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§5.5. Additional Costs, Etc</w:t>
            </w:r>
          </w:p>
        </w:tc>
        <w:tc>
          <w:tcPr>
            <w:tcW w:w="28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§5.6. Capital Adequacy</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§5.7. Certificate</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§5.8. Eurodollar and Competitive Bid Indemnity</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§5.9. Interest on Overdue Amounts</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§5.10. Interest Limitation</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§5.11. Reasonable Efforts to Mitigate</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§5.12. Replacement of Banks; Termination of Commitments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§5.13. Advances by Administrative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§5.14. Defaulting Banks</w:t>
            </w:r>
          </w:p>
        </w:tc>
        <w:tc>
          <w:tcPr>
            <w:tcW w:w="28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500" w:type="dxa"/>
            <w:vAlign w:val="bottom"/>
          </w:tcPr>
          <w:p>
            <w:pPr>
              <w:spacing w:after="0"/>
              <w:rPr>
                <w:sz w:val="20"/>
                <w:szCs w:val="20"/>
                <w:color w:val="auto"/>
              </w:rPr>
            </w:pPr>
            <w:r>
              <w:rPr>
                <w:rFonts w:ascii="Arial" w:cs="Arial" w:eastAsia="Arial" w:hAnsi="Arial"/>
                <w:sz w:val="18"/>
                <w:szCs w:val="18"/>
                <w:color w:val="auto"/>
              </w:rPr>
              <w:t>§6. REPRESENTATIONS AND WARRANTIES</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§6.1. Corporate Authority</w:t>
            </w:r>
          </w:p>
        </w:tc>
        <w:tc>
          <w:tcPr>
            <w:tcW w:w="2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§6.2. Governmental and Other Approvals</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§6.3. Title to Properties; Leases</w:t>
            </w:r>
          </w:p>
        </w:tc>
        <w:tc>
          <w:tcPr>
            <w:tcW w:w="2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§6.4. Financial Statements; Solvency</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§6.5. No Material Changes, Etc</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§6.6. Franchises, Patents, Copyrights, Etc</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§6.7. Litigation</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§6.8. No Materially Adverse Contracts, Etc</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§6.9. Compliance With Other Instruments, Laws, Etc</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§6.10. Tax Status</w:t>
            </w:r>
          </w:p>
        </w:tc>
        <w:tc>
          <w:tcPr>
            <w:tcW w:w="2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8500" w:type="dxa"/>
            <w:vAlign w:val="bottom"/>
          </w:tcPr>
          <w:p>
            <w:pPr>
              <w:ind w:left="440"/>
              <w:spacing w:after="0"/>
              <w:rPr>
                <w:sz w:val="20"/>
                <w:szCs w:val="20"/>
                <w:color w:val="auto"/>
              </w:rPr>
            </w:pPr>
            <w:r>
              <w:rPr>
                <w:rFonts w:ascii="Arial" w:cs="Arial" w:eastAsia="Arial" w:hAnsi="Arial"/>
                <w:sz w:val="18"/>
                <w:szCs w:val="18"/>
                <w:color w:val="auto"/>
              </w:rPr>
              <w:t>§6.11. No Event of Default</w:t>
            </w:r>
          </w:p>
        </w:tc>
        <w:tc>
          <w:tcPr>
            <w:tcW w:w="28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65"/>
        </w:trPr>
        <w:tc>
          <w:tcPr>
            <w:tcW w:w="8500" w:type="dxa"/>
            <w:vAlign w:val="bottom"/>
          </w:tcPr>
          <w:p>
            <w:pPr>
              <w:ind w:left="5560"/>
              <w:spacing w:after="0"/>
              <w:rPr>
                <w:sz w:val="20"/>
                <w:szCs w:val="20"/>
                <w:color w:val="auto"/>
              </w:rPr>
            </w:pPr>
            <w:r>
              <w:rPr>
                <w:rFonts w:ascii="Arial" w:cs="Arial" w:eastAsia="Arial" w:hAnsi="Arial"/>
                <w:sz w:val="18"/>
                <w:szCs w:val="18"/>
                <w:color w:val="auto"/>
              </w:rPr>
              <w:t>- ii -</w:t>
            </w:r>
          </w:p>
        </w:tc>
        <w:tc>
          <w:tcPr>
            <w:tcW w:w="2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22"/>
        </w:trPr>
        <w:tc>
          <w:tcPr>
            <w:tcW w:w="9700" w:type="dxa"/>
            <w:vAlign w:val="bottom"/>
          </w:tcPr>
          <w:p>
            <w:pPr>
              <w:ind w:left="440"/>
              <w:spacing w:after="0"/>
              <w:rPr>
                <w:sz w:val="20"/>
                <w:szCs w:val="20"/>
                <w:color w:val="auto"/>
              </w:rPr>
            </w:pPr>
            <w:r>
              <w:rPr>
                <w:rFonts w:ascii="Arial" w:cs="Arial" w:eastAsia="Arial" w:hAnsi="Arial"/>
                <w:sz w:val="18"/>
                <w:szCs w:val="18"/>
                <w:color w:val="auto"/>
              </w:rPr>
              <w:t>§6.12. Investment Company Act</w:t>
            </w: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§6.13. Absence of Financing Statements, Etc</w:t>
            </w: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§6.14. Employee Benefit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00" w:type="dxa"/>
            <w:vAlign w:val="bottom"/>
          </w:tcPr>
          <w:p>
            <w:pPr>
              <w:ind w:left="880"/>
              <w:spacing w:after="0"/>
              <w:rPr>
                <w:sz w:val="20"/>
                <w:szCs w:val="20"/>
                <w:color w:val="auto"/>
              </w:rPr>
            </w:pPr>
            <w:r>
              <w:rPr>
                <w:rFonts w:ascii="Arial" w:cs="Arial" w:eastAsia="Arial" w:hAnsi="Arial"/>
                <w:sz w:val="18"/>
                <w:szCs w:val="18"/>
                <w:color w:val="auto"/>
              </w:rPr>
              <w:t>§6.14.1 In General</w:t>
            </w: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00" w:type="dxa"/>
            <w:vAlign w:val="bottom"/>
          </w:tcPr>
          <w:p>
            <w:pPr>
              <w:ind w:left="880"/>
              <w:spacing w:after="0"/>
              <w:rPr>
                <w:sz w:val="20"/>
                <w:szCs w:val="20"/>
                <w:color w:val="auto"/>
              </w:rPr>
            </w:pPr>
            <w:r>
              <w:rPr>
                <w:rFonts w:ascii="Arial" w:cs="Arial" w:eastAsia="Arial" w:hAnsi="Arial"/>
                <w:sz w:val="18"/>
                <w:szCs w:val="18"/>
                <w:color w:val="auto"/>
              </w:rPr>
              <w:t>§6.14.2 Terminability of Welfare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700" w:type="dxa"/>
            <w:vAlign w:val="bottom"/>
          </w:tcPr>
          <w:p>
            <w:pPr>
              <w:ind w:left="880"/>
              <w:spacing w:after="0"/>
              <w:rPr>
                <w:sz w:val="20"/>
                <w:szCs w:val="20"/>
                <w:color w:val="auto"/>
              </w:rPr>
            </w:pPr>
            <w:r>
              <w:rPr>
                <w:rFonts w:ascii="Arial" w:cs="Arial" w:eastAsia="Arial" w:hAnsi="Arial"/>
                <w:sz w:val="18"/>
                <w:szCs w:val="18"/>
                <w:color w:val="auto"/>
              </w:rPr>
              <w:t>§6.14.3 Guaranteed Pension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700" w:type="dxa"/>
            <w:vAlign w:val="bottom"/>
          </w:tcPr>
          <w:p>
            <w:pPr>
              <w:ind w:left="880"/>
              <w:spacing w:after="0"/>
              <w:rPr>
                <w:sz w:val="20"/>
                <w:szCs w:val="20"/>
                <w:color w:val="auto"/>
              </w:rPr>
            </w:pPr>
            <w:r>
              <w:rPr>
                <w:rFonts w:ascii="Arial" w:cs="Arial" w:eastAsia="Arial" w:hAnsi="Arial"/>
                <w:sz w:val="18"/>
                <w:szCs w:val="18"/>
                <w:color w:val="auto"/>
              </w:rPr>
              <w:t>§6.14.4 Multiemployer Plans</w:t>
            </w:r>
          </w:p>
        </w:tc>
        <w:tc>
          <w:tcPr>
            <w:tcW w:w="1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§6.15. Environmental Compliance</w:t>
            </w:r>
          </w:p>
        </w:tc>
        <w:tc>
          <w:tcPr>
            <w:tcW w:w="1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§6.16. Disclosure</w:t>
            </w: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§6.17. Permits and Governmental Authority</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§6.18. Margin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spacing w:after="0"/>
              <w:rPr>
                <w:sz w:val="20"/>
                <w:szCs w:val="20"/>
                <w:color w:val="auto"/>
              </w:rPr>
            </w:pPr>
            <w:r>
              <w:rPr>
                <w:rFonts w:ascii="Arial" w:cs="Arial" w:eastAsia="Arial" w:hAnsi="Arial"/>
                <w:sz w:val="18"/>
                <w:szCs w:val="18"/>
                <w:color w:val="auto"/>
              </w:rPr>
              <w:t>§7. AFFIRMATIVE COVENANTS OF THE BORROWER</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 Punctual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§7.2. Maintenance of U.S. Office</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§7.3. Records and Accounts</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§7.4. Financial Statements, Certificates and Information</w:t>
            </w:r>
          </w:p>
        </w:tc>
        <w:tc>
          <w:tcPr>
            <w:tcW w:w="1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§7.5. Existence and Conduct of Business</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§7.6. Maintenance of Properties</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§7.7. Insurance</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§7.8. Taxes</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§7.9. Inspection of Properties, Books and Contracts</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§7.10. Compliance with Laws, Contracts, Licenses and Permits; Maintenance of Material Licenses and Permits</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§7.11. Environmental Indemnification</w:t>
            </w:r>
          </w:p>
        </w:tc>
        <w:tc>
          <w:tcPr>
            <w:tcW w:w="16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§7.12. Further Assurances</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§7.13. Notice of Potential Claims or Litigation</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§7.14. Notice of Certain Events Concerning Environmental Claims</w:t>
            </w:r>
          </w:p>
        </w:tc>
        <w:tc>
          <w:tcPr>
            <w:tcW w:w="16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§7.15. Notice of Default</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§7.16. Use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§7.17. Certain Transactions</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700" w:type="dxa"/>
            <w:vAlign w:val="bottom"/>
          </w:tcPr>
          <w:p>
            <w:pPr>
              <w:spacing w:after="0"/>
              <w:rPr>
                <w:sz w:val="20"/>
                <w:szCs w:val="20"/>
                <w:color w:val="auto"/>
              </w:rPr>
            </w:pPr>
            <w:r>
              <w:rPr>
                <w:rFonts w:ascii="Arial" w:cs="Arial" w:eastAsia="Arial" w:hAnsi="Arial"/>
                <w:sz w:val="18"/>
                <w:szCs w:val="18"/>
                <w:color w:val="auto"/>
              </w:rPr>
              <w:t>§8. NEGATIVE COVENANTS OF THE BORROWER</w:t>
            </w: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§8.1. Restrictions on Indebtedness</w:t>
            </w: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700" w:type="dxa"/>
            <w:vAlign w:val="bottom"/>
          </w:tcPr>
          <w:p>
            <w:pPr>
              <w:ind w:left="440"/>
              <w:spacing w:after="0"/>
              <w:rPr>
                <w:sz w:val="20"/>
                <w:szCs w:val="20"/>
                <w:color w:val="auto"/>
              </w:rPr>
            </w:pPr>
            <w:r>
              <w:rPr>
                <w:rFonts w:ascii="Arial" w:cs="Arial" w:eastAsia="Arial" w:hAnsi="Arial"/>
                <w:sz w:val="18"/>
                <w:szCs w:val="18"/>
                <w:color w:val="auto"/>
              </w:rPr>
              <w:t>§8.2. Restrictions on Liens</w:t>
            </w:r>
          </w:p>
        </w:tc>
        <w:tc>
          <w:tcPr>
            <w:tcW w:w="16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65"/>
        </w:trPr>
        <w:tc>
          <w:tcPr>
            <w:tcW w:w="9700" w:type="dxa"/>
            <w:vAlign w:val="bottom"/>
          </w:tcPr>
          <w:p>
            <w:pPr>
              <w:ind w:left="5540"/>
              <w:spacing w:after="0"/>
              <w:rPr>
                <w:sz w:val="20"/>
                <w:szCs w:val="20"/>
                <w:color w:val="auto"/>
              </w:rPr>
            </w:pPr>
            <w:r>
              <w:rPr>
                <w:rFonts w:ascii="Arial" w:cs="Arial" w:eastAsia="Arial" w:hAnsi="Arial"/>
                <w:sz w:val="18"/>
                <w:szCs w:val="18"/>
                <w:color w:val="auto"/>
              </w:rPr>
              <w:t>- iii -</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22"/>
        </w:trPr>
        <w:tc>
          <w:tcPr>
            <w:tcW w:w="8740" w:type="dxa"/>
            <w:vAlign w:val="bottom"/>
          </w:tcPr>
          <w:p>
            <w:pPr>
              <w:ind w:left="440"/>
              <w:spacing w:after="0"/>
              <w:rPr>
                <w:sz w:val="20"/>
                <w:szCs w:val="20"/>
                <w:color w:val="auto"/>
              </w:rPr>
            </w:pPr>
            <w:r>
              <w:rPr>
                <w:rFonts w:ascii="Arial" w:cs="Arial" w:eastAsia="Arial" w:hAnsi="Arial"/>
                <w:sz w:val="18"/>
                <w:szCs w:val="18"/>
                <w:color w:val="auto"/>
              </w:rPr>
              <w:t>§8.3. Restrictions on Investments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§8.4. Mergers, Consolidations, Sales</w:t>
            </w:r>
          </w:p>
        </w:tc>
        <w:tc>
          <w:tcPr>
            <w:tcW w:w="2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§8.5. Restricted Distributions and Redemptions</w:t>
            </w:r>
          </w:p>
        </w:tc>
        <w:tc>
          <w:tcPr>
            <w:tcW w:w="2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§8.6. Employee Benefit Plans</w:t>
            </w:r>
          </w:p>
        </w:tc>
        <w:tc>
          <w:tcPr>
            <w:tcW w:w="2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§9. FINANCIAL COVENANTS OF THE BORROWER</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§9.1. Interest Coverage Ratio</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§9.2. Total Debt to EBITDA</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§10. CONDITIONS PRECEDENT</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§10.1. Conditions To Effectiveness</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§10.1.1 Corporate Action</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§10.1.2 Loan Documents, Etc</w:t>
            </w:r>
          </w:p>
        </w:tc>
        <w:tc>
          <w:tcPr>
            <w:tcW w:w="2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§10.1.3 Certified Copies of Charter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§10.1.4 Incumbency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§10.1.5 Summary of 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§10.1.6 Opinion of Counsel</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§10.1.7 Satisfactory Financial Condition</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§10.1.8 Payment of Closing Fees</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§10.1.9 Closing Certificate</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ind w:left="880"/>
              <w:spacing w:after="0"/>
              <w:rPr>
                <w:sz w:val="20"/>
                <w:szCs w:val="20"/>
                <w:color w:val="auto"/>
              </w:rPr>
            </w:pPr>
            <w:r>
              <w:rPr>
                <w:rFonts w:ascii="Arial" w:cs="Arial" w:eastAsia="Arial" w:hAnsi="Arial"/>
                <w:sz w:val="18"/>
                <w:szCs w:val="18"/>
                <w:color w:val="auto"/>
              </w:rPr>
              <w:t>§10.1.10 USA Patriot Act</w:t>
            </w:r>
          </w:p>
        </w:tc>
        <w:tc>
          <w:tcPr>
            <w:tcW w:w="25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§11. CONDITIONS TO ALL LOANS</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§11.1. Representations True</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§11.2. Performance; No Event of Default</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§11.3. Proceedings and Documents</w:t>
            </w:r>
          </w:p>
        </w:tc>
        <w:tc>
          <w:tcPr>
            <w:tcW w:w="2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§12. EVENTS OF DEFAULT; ACCELERATION; TERMINATION OF COMMITMENT</w:t>
            </w:r>
          </w:p>
        </w:tc>
        <w:tc>
          <w:tcPr>
            <w:tcW w:w="2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§12.1. Events of Default and Acceleration</w:t>
            </w:r>
          </w:p>
        </w:tc>
        <w:tc>
          <w:tcPr>
            <w:tcW w:w="2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§12.2. Termination of Commitments</w:t>
            </w:r>
          </w:p>
        </w:tc>
        <w:tc>
          <w:tcPr>
            <w:tcW w:w="2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§12.3. Remedies</w:t>
            </w:r>
          </w:p>
        </w:tc>
        <w:tc>
          <w:tcPr>
            <w:tcW w:w="2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§13. SETOFF</w:t>
            </w:r>
          </w:p>
        </w:tc>
        <w:tc>
          <w:tcPr>
            <w:tcW w:w="2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§14. EXPENSES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740" w:type="dxa"/>
            <w:vAlign w:val="bottom"/>
          </w:tcPr>
          <w:p>
            <w:pPr>
              <w:spacing w:after="0"/>
              <w:rPr>
                <w:sz w:val="20"/>
                <w:szCs w:val="20"/>
                <w:color w:val="auto"/>
              </w:rPr>
            </w:pPr>
            <w:r>
              <w:rPr>
                <w:rFonts w:ascii="Arial" w:cs="Arial" w:eastAsia="Arial" w:hAnsi="Arial"/>
                <w:sz w:val="18"/>
                <w:szCs w:val="18"/>
                <w:color w:val="auto"/>
              </w:rPr>
              <w:t>§15. THE AGENTS</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§15.1. Authorization and Action</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8740" w:type="dxa"/>
            <w:vAlign w:val="bottom"/>
          </w:tcPr>
          <w:p>
            <w:pPr>
              <w:ind w:left="440"/>
              <w:spacing w:after="0"/>
              <w:rPr>
                <w:sz w:val="20"/>
                <w:szCs w:val="20"/>
                <w:color w:val="auto"/>
              </w:rPr>
            </w:pPr>
            <w:r>
              <w:rPr>
                <w:rFonts w:ascii="Arial" w:cs="Arial" w:eastAsia="Arial" w:hAnsi="Arial"/>
                <w:sz w:val="18"/>
                <w:szCs w:val="18"/>
                <w:color w:val="auto"/>
              </w:rPr>
              <w:t>§15.2. Administrative Agent’s Reliance, Etc</w:t>
            </w:r>
          </w:p>
        </w:tc>
        <w:tc>
          <w:tcPr>
            <w:tcW w:w="2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65"/>
        </w:trPr>
        <w:tc>
          <w:tcPr>
            <w:tcW w:w="8740" w:type="dxa"/>
            <w:vAlign w:val="bottom"/>
          </w:tcPr>
          <w:p>
            <w:pPr>
              <w:ind w:left="5540"/>
              <w:spacing w:after="0"/>
              <w:rPr>
                <w:sz w:val="20"/>
                <w:szCs w:val="20"/>
                <w:color w:val="auto"/>
              </w:rPr>
            </w:pPr>
            <w:r>
              <w:rPr>
                <w:rFonts w:ascii="Arial" w:cs="Arial" w:eastAsia="Arial" w:hAnsi="Arial"/>
                <w:sz w:val="18"/>
                <w:szCs w:val="18"/>
                <w:color w:val="auto"/>
              </w:rPr>
              <w:t>- iv -</w:t>
            </w:r>
          </w:p>
        </w:tc>
        <w:tc>
          <w:tcPr>
            <w:tcW w:w="2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22"/>
        </w:trPr>
        <w:tc>
          <w:tcPr>
            <w:tcW w:w="5340" w:type="dxa"/>
            <w:vAlign w:val="bottom"/>
          </w:tcPr>
          <w:p>
            <w:pPr>
              <w:ind w:left="440"/>
              <w:spacing w:after="0"/>
              <w:rPr>
                <w:sz w:val="20"/>
                <w:szCs w:val="20"/>
                <w:color w:val="auto"/>
              </w:rPr>
            </w:pPr>
            <w:r>
              <w:rPr>
                <w:rFonts w:ascii="Arial" w:cs="Arial" w:eastAsia="Arial" w:hAnsi="Arial"/>
                <w:sz w:val="18"/>
                <w:szCs w:val="18"/>
                <w:color w:val="auto"/>
              </w:rPr>
              <w:t>§15.3. Bank of America and Affiliates</w:t>
            </w:r>
          </w:p>
        </w:tc>
        <w:tc>
          <w:tcPr>
            <w:tcW w:w="5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§15.4. Bank Credit Decision</w:t>
            </w:r>
          </w:p>
        </w:tc>
        <w:tc>
          <w:tcPr>
            <w:tcW w:w="5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§15.5. Indemnification</w:t>
            </w:r>
          </w:p>
        </w:tc>
        <w:tc>
          <w:tcPr>
            <w:tcW w:w="5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§15.6. Successor Administrative Agent</w:t>
            </w:r>
          </w:p>
        </w:tc>
        <w:tc>
          <w:tcPr>
            <w:tcW w:w="5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§15.7. Lead Arrangers, Etc</w:t>
            </w:r>
          </w:p>
        </w:tc>
        <w:tc>
          <w:tcPr>
            <w:tcW w:w="5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§15.8. Documents</w:t>
            </w:r>
          </w:p>
        </w:tc>
        <w:tc>
          <w:tcPr>
            <w:tcW w:w="5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w w:val="92"/>
              </w:rPr>
              <w:t>§15.9. Action by the Banks, Consents, Amendments, Waivers, Etc</w:t>
            </w:r>
          </w:p>
        </w:tc>
        <w:tc>
          <w:tcPr>
            <w:tcW w:w="59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§16. INDEMNIFICATION</w:t>
            </w:r>
          </w:p>
        </w:tc>
        <w:tc>
          <w:tcPr>
            <w:tcW w:w="59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§17. WITHHOLDING TAXES</w:t>
            </w:r>
          </w:p>
        </w:tc>
        <w:tc>
          <w:tcPr>
            <w:tcW w:w="5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w w:val="99"/>
              </w:rPr>
              <w:t>§18. TREATMENT OF CERTAIN CONFIDENTIAL INFORMATION</w:t>
            </w:r>
          </w:p>
        </w:tc>
        <w:tc>
          <w:tcPr>
            <w:tcW w:w="5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§18.1. Confidentiality</w:t>
            </w:r>
          </w:p>
        </w:tc>
        <w:tc>
          <w:tcPr>
            <w:tcW w:w="5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§18.2. Prior Notification</w:t>
            </w:r>
          </w:p>
        </w:tc>
        <w:tc>
          <w:tcPr>
            <w:tcW w:w="5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§18.3. Other</w:t>
            </w:r>
          </w:p>
        </w:tc>
        <w:tc>
          <w:tcPr>
            <w:tcW w:w="5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§19. SURVIVAL OF COVENANTS, ETC</w:t>
            </w:r>
          </w:p>
        </w:tc>
        <w:tc>
          <w:tcPr>
            <w:tcW w:w="5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§20. ASSIGNMENT AND PARTICIPATION</w:t>
            </w:r>
          </w:p>
        </w:tc>
        <w:tc>
          <w:tcPr>
            <w:tcW w:w="59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§21. PARTIES IN INTEREST</w:t>
            </w:r>
          </w:p>
        </w:tc>
        <w:tc>
          <w:tcPr>
            <w:tcW w:w="5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§22. NOTICES, ETC</w:t>
            </w:r>
          </w:p>
        </w:tc>
        <w:tc>
          <w:tcPr>
            <w:tcW w:w="5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§23. MISCELLANEOUS</w:t>
            </w:r>
          </w:p>
        </w:tc>
        <w:tc>
          <w:tcPr>
            <w:tcW w:w="5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§24. CONSENTS, ETC</w:t>
            </w:r>
          </w:p>
        </w:tc>
        <w:tc>
          <w:tcPr>
            <w:tcW w:w="59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§25. WAIVER OF JURY TRIAL</w:t>
            </w:r>
          </w:p>
        </w:tc>
        <w:tc>
          <w:tcPr>
            <w:tcW w:w="5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§26. GOVERNING LAW; SUBMISSION TO JURISDICTION</w:t>
            </w:r>
          </w:p>
        </w:tc>
        <w:tc>
          <w:tcPr>
            <w:tcW w:w="5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§27. SEVERABILITY</w:t>
            </w:r>
          </w:p>
        </w:tc>
        <w:tc>
          <w:tcPr>
            <w:tcW w:w="5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§28. GUARANTY</w:t>
            </w:r>
          </w:p>
        </w:tc>
        <w:tc>
          <w:tcPr>
            <w:tcW w:w="5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§28.1. Guaranty</w:t>
            </w:r>
          </w:p>
        </w:tc>
        <w:tc>
          <w:tcPr>
            <w:tcW w:w="5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§28.2. Guaranty Absolute</w:t>
            </w:r>
          </w:p>
        </w:tc>
        <w:tc>
          <w:tcPr>
            <w:tcW w:w="59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§28.3. Effectiveness; Enforcement</w:t>
            </w:r>
          </w:p>
        </w:tc>
        <w:tc>
          <w:tcPr>
            <w:tcW w:w="5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§28.4. Waiver</w:t>
            </w:r>
          </w:p>
        </w:tc>
        <w:tc>
          <w:tcPr>
            <w:tcW w:w="5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§28.5. Expenses</w:t>
            </w:r>
          </w:p>
        </w:tc>
        <w:tc>
          <w:tcPr>
            <w:tcW w:w="59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w w:val="99"/>
              </w:rPr>
              <w:t>§28.6. Concerning Joint and Several Liability of the Guarantor</w:t>
            </w:r>
          </w:p>
        </w:tc>
        <w:tc>
          <w:tcPr>
            <w:tcW w:w="59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§28.7. Waiver</w:t>
            </w:r>
          </w:p>
        </w:tc>
        <w:tc>
          <w:tcPr>
            <w:tcW w:w="5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§28.8. Subrogation; Subordination</w:t>
            </w:r>
          </w:p>
        </w:tc>
        <w:tc>
          <w:tcPr>
            <w:tcW w:w="5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5340" w:type="dxa"/>
            <w:vAlign w:val="bottom"/>
          </w:tcPr>
          <w:p>
            <w:pPr>
              <w:ind w:left="440"/>
              <w:spacing w:after="0"/>
              <w:rPr>
                <w:sz w:val="20"/>
                <w:szCs w:val="20"/>
                <w:color w:val="auto"/>
              </w:rPr>
            </w:pPr>
            <w:r>
              <w:rPr>
                <w:rFonts w:ascii="Arial" w:cs="Arial" w:eastAsia="Arial" w:hAnsi="Arial"/>
                <w:sz w:val="18"/>
                <w:szCs w:val="18"/>
                <w:color w:val="auto"/>
              </w:rPr>
              <w:t>§28.9. Consent and Confirmation</w:t>
            </w:r>
          </w:p>
        </w:tc>
        <w:tc>
          <w:tcPr>
            <w:tcW w:w="5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5340" w:type="dxa"/>
            <w:vAlign w:val="bottom"/>
          </w:tcPr>
          <w:p>
            <w:pPr>
              <w:spacing w:after="0"/>
              <w:rPr>
                <w:sz w:val="20"/>
                <w:szCs w:val="20"/>
                <w:color w:val="auto"/>
              </w:rPr>
            </w:pPr>
            <w:r>
              <w:rPr>
                <w:rFonts w:ascii="Arial" w:cs="Arial" w:eastAsia="Arial" w:hAnsi="Arial"/>
                <w:sz w:val="18"/>
                <w:szCs w:val="18"/>
                <w:color w:val="auto"/>
              </w:rPr>
              <w:t>§29. PRO RATA TREATMENT</w:t>
            </w:r>
          </w:p>
        </w:tc>
        <w:tc>
          <w:tcPr>
            <w:tcW w:w="59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65"/>
        </w:trPr>
        <w:tc>
          <w:tcPr>
            <w:tcW w:w="5340" w:type="dxa"/>
            <w:vAlign w:val="bottom"/>
          </w:tcPr>
          <w:p>
            <w:pPr>
              <w:spacing w:after="0"/>
              <w:rPr>
                <w:sz w:val="24"/>
                <w:szCs w:val="24"/>
                <w:color w:val="auto"/>
              </w:rPr>
            </w:pPr>
          </w:p>
        </w:tc>
        <w:tc>
          <w:tcPr>
            <w:tcW w:w="5980" w:type="dxa"/>
            <w:vAlign w:val="bottom"/>
          </w:tcPr>
          <w:p>
            <w:pPr>
              <w:jc w:val="right"/>
              <w:ind w:right="5372"/>
              <w:spacing w:after="0"/>
              <w:rPr>
                <w:sz w:val="20"/>
                <w:szCs w:val="20"/>
                <w:color w:val="auto"/>
              </w:rPr>
            </w:pPr>
            <w:r>
              <w:rPr>
                <w:rFonts w:ascii="Arial" w:cs="Arial" w:eastAsia="Arial" w:hAnsi="Arial"/>
                <w:sz w:val="18"/>
                <w:szCs w:val="18"/>
                <w:color w:val="auto"/>
              </w:rPr>
              <w:t>- v -</w:t>
            </w:r>
          </w:p>
        </w:tc>
      </w:tr>
    </w:tbl>
    <w:p>
      <w:pPr>
        <w:jc w:val="right"/>
        <w:ind w:right="5372"/>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§30. FINAL AGREEMENT</w:t>
            </w:r>
          </w:p>
        </w:tc>
        <w:tc>
          <w:tcPr>
            <w:tcW w:w="6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§31. USA PATRIOT ACT</w:t>
            </w:r>
          </w:p>
        </w:tc>
        <w:tc>
          <w:tcPr>
            <w:tcW w:w="6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§32. NO ADVISORY OR FIDUCIARY RESPONSIBILITY</w:t>
            </w:r>
          </w:p>
        </w:tc>
        <w:tc>
          <w:tcPr>
            <w:tcW w:w="64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§33. PAYMENTS SET ASIDE</w:t>
            </w:r>
          </w:p>
        </w:tc>
        <w:tc>
          <w:tcPr>
            <w:tcW w:w="64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65"/>
        </w:trPr>
        <w:tc>
          <w:tcPr>
            <w:tcW w:w="4920" w:type="dxa"/>
            <w:vAlign w:val="bottom"/>
          </w:tcPr>
          <w:p>
            <w:pPr>
              <w:spacing w:after="0"/>
              <w:rPr>
                <w:sz w:val="24"/>
                <w:szCs w:val="24"/>
                <w:color w:val="auto"/>
              </w:rPr>
            </w:pPr>
          </w:p>
        </w:tc>
        <w:tc>
          <w:tcPr>
            <w:tcW w:w="6400" w:type="dxa"/>
            <w:vAlign w:val="bottom"/>
          </w:tcPr>
          <w:p>
            <w:pPr>
              <w:jc w:val="right"/>
              <w:ind w:right="5352"/>
              <w:spacing w:after="0"/>
              <w:rPr>
                <w:sz w:val="20"/>
                <w:szCs w:val="20"/>
                <w:color w:val="auto"/>
              </w:rPr>
            </w:pPr>
            <w:r>
              <w:rPr>
                <w:rFonts w:ascii="Arial" w:cs="Arial" w:eastAsia="Arial" w:hAnsi="Arial"/>
                <w:sz w:val="18"/>
                <w:szCs w:val="18"/>
                <w:color w:val="auto"/>
              </w:rPr>
              <w:t>- vi -</w:t>
            </w:r>
          </w:p>
        </w:tc>
      </w:tr>
    </w:tbl>
    <w:p>
      <w:pPr>
        <w:jc w:val="right"/>
        <w:ind w:right="5352"/>
        <w:spacing w:after="0"/>
        <w:rPr>
          <w:sz w:val="20"/>
          <w:szCs w:val="20"/>
          <w:color w:val="auto"/>
        </w:rPr>
        <w:sectPr>
          <w:pgSz w:w="11900" w:h="16838" w:orient="portrait"/>
          <w:cols w:equalWidth="0" w:num="1">
            <w:col w:w="11320"/>
          </w:cols>
          <w:pgMar w:left="240" w:top="38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07"/>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37"/>
        </w:trPr>
        <w:tc>
          <w:tcPr>
            <w:tcW w:w="11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Syndicated Loan Request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Swing Line Loan Notice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Letter of Credit Request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Compliance Certificate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Assignment and Assumption</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Competitive Bid Quote Request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Invitation for Competitive Bid Quotes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Competitive Bid Quote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5500" w:type="dxa"/>
            <w:vAlign w:val="bottom"/>
          </w:tcPr>
          <w:p>
            <w:pPr>
              <w:ind w:left="580"/>
              <w:spacing w:after="0"/>
              <w:rPr>
                <w:sz w:val="20"/>
                <w:szCs w:val="20"/>
                <w:color w:val="auto"/>
              </w:rPr>
            </w:pPr>
            <w:r>
              <w:rPr>
                <w:rFonts w:ascii="Arial" w:cs="Arial" w:eastAsia="Arial" w:hAnsi="Arial"/>
                <w:sz w:val="18"/>
                <w:szCs w:val="18"/>
                <w:color w:val="auto"/>
                <w:w w:val="90"/>
              </w:rPr>
              <w:t>Form of Notice of Acceptance/Rejection of Competitive Bid Quote(s)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Administrative Questionnaire</w:t>
            </w:r>
          </w:p>
        </w:tc>
      </w:tr>
      <w:tr>
        <w:trPr>
          <w:trHeight w:val="421"/>
        </w:trPr>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SCHEDULES:</w:t>
            </w:r>
          </w:p>
        </w:tc>
        <w:tc>
          <w:tcPr>
            <w:tcW w:w="5500" w:type="dxa"/>
            <w:vAlign w:val="bottom"/>
          </w:tcPr>
          <w:p>
            <w:pPr>
              <w:spacing w:after="0"/>
              <w:rPr>
                <w:sz w:val="24"/>
                <w:szCs w:val="24"/>
                <w:color w:val="auto"/>
              </w:rPr>
            </w:pPr>
          </w:p>
        </w:tc>
      </w:tr>
      <w:tr>
        <w:trPr>
          <w:trHeight w:val="437"/>
        </w:trPr>
        <w:tc>
          <w:tcPr>
            <w:tcW w:w="1140" w:type="dxa"/>
            <w:vAlign w:val="bottom"/>
            <w:gridSpan w:val="2"/>
          </w:tcPr>
          <w:p>
            <w:pPr>
              <w:spacing w:after="0"/>
              <w:rPr>
                <w:sz w:val="20"/>
                <w:szCs w:val="20"/>
                <w:color w:val="auto"/>
              </w:rPr>
            </w:pPr>
            <w:r>
              <w:rPr>
                <w:rFonts w:ascii="Arial" w:cs="Arial" w:eastAsia="Arial" w:hAnsi="Arial"/>
                <w:sz w:val="18"/>
                <w:szCs w:val="18"/>
                <w:color w:val="auto"/>
              </w:rPr>
              <w:t>Schedule 1</w:t>
            </w:r>
          </w:p>
        </w:tc>
        <w:tc>
          <w:tcPr>
            <w:tcW w:w="5500" w:type="dxa"/>
            <w:vAlign w:val="bottom"/>
          </w:tcPr>
          <w:p>
            <w:pPr>
              <w:ind w:left="580"/>
              <w:spacing w:after="0"/>
              <w:rPr>
                <w:sz w:val="20"/>
                <w:szCs w:val="20"/>
                <w:color w:val="auto"/>
              </w:rPr>
            </w:pPr>
            <w:r>
              <w:rPr>
                <w:rFonts w:ascii="Arial" w:cs="Arial" w:eastAsia="Arial" w:hAnsi="Arial"/>
                <w:sz w:val="18"/>
                <w:szCs w:val="18"/>
                <w:color w:val="auto"/>
              </w:rPr>
              <w:t>Banks; Commitments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Schedule 1.1</w:t>
            </w:r>
          </w:p>
        </w:tc>
        <w:tc>
          <w:tcPr>
            <w:tcW w:w="5500" w:type="dxa"/>
            <w:vAlign w:val="bottom"/>
          </w:tcPr>
          <w:p>
            <w:pPr>
              <w:ind w:left="580"/>
              <w:spacing w:after="0"/>
              <w:rPr>
                <w:sz w:val="20"/>
                <w:szCs w:val="20"/>
                <w:color w:val="auto"/>
              </w:rPr>
            </w:pPr>
            <w:r>
              <w:rPr>
                <w:rFonts w:ascii="Arial" w:cs="Arial" w:eastAsia="Arial" w:hAnsi="Arial"/>
                <w:sz w:val="18"/>
                <w:szCs w:val="18"/>
                <w:color w:val="auto"/>
              </w:rPr>
              <w:t>Existing Liens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Schedule 3.1</w:t>
            </w:r>
          </w:p>
        </w:tc>
        <w:tc>
          <w:tcPr>
            <w:tcW w:w="5500" w:type="dxa"/>
            <w:vAlign w:val="bottom"/>
          </w:tcPr>
          <w:p>
            <w:pPr>
              <w:ind w:left="580"/>
              <w:spacing w:after="0"/>
              <w:rPr>
                <w:sz w:val="20"/>
                <w:szCs w:val="20"/>
                <w:color w:val="auto"/>
              </w:rPr>
            </w:pPr>
            <w:r>
              <w:rPr>
                <w:rFonts w:ascii="Arial" w:cs="Arial" w:eastAsia="Arial" w:hAnsi="Arial"/>
                <w:sz w:val="18"/>
                <w:szCs w:val="18"/>
                <w:color w:val="auto"/>
              </w:rPr>
              <w:t>Issuing Banks and Issuing Bank Limits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w w:val="93"/>
              </w:rPr>
              <w:t>Schedule 3.1.1</w:t>
            </w:r>
          </w:p>
        </w:tc>
        <w:tc>
          <w:tcPr>
            <w:tcW w:w="5500" w:type="dxa"/>
            <w:vAlign w:val="bottom"/>
          </w:tcPr>
          <w:p>
            <w:pPr>
              <w:ind w:left="580"/>
              <w:spacing w:after="0"/>
              <w:rPr>
                <w:sz w:val="20"/>
                <w:szCs w:val="20"/>
                <w:color w:val="auto"/>
              </w:rPr>
            </w:pPr>
            <w:r>
              <w:rPr>
                <w:rFonts w:ascii="Arial" w:cs="Arial" w:eastAsia="Arial" w:hAnsi="Arial"/>
                <w:sz w:val="18"/>
                <w:szCs w:val="18"/>
                <w:color w:val="auto"/>
              </w:rPr>
              <w:t>Form of Increase/Decrease Letter</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w w:val="93"/>
              </w:rPr>
              <w:t>Schedule 3.1.2</w:t>
            </w:r>
          </w:p>
        </w:tc>
        <w:tc>
          <w:tcPr>
            <w:tcW w:w="5500" w:type="dxa"/>
            <w:vAlign w:val="bottom"/>
          </w:tcPr>
          <w:p>
            <w:pPr>
              <w:ind w:left="580"/>
              <w:spacing w:after="0"/>
              <w:rPr>
                <w:sz w:val="20"/>
                <w:szCs w:val="20"/>
                <w:color w:val="auto"/>
              </w:rPr>
            </w:pPr>
            <w:r>
              <w:rPr>
                <w:rFonts w:ascii="Arial" w:cs="Arial" w:eastAsia="Arial" w:hAnsi="Arial"/>
                <w:sz w:val="18"/>
                <w:szCs w:val="18"/>
                <w:color w:val="auto"/>
              </w:rPr>
              <w:t>Existing Letters of Credit</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Schedule 6.7</w:t>
            </w:r>
          </w:p>
        </w:tc>
        <w:tc>
          <w:tcPr>
            <w:tcW w:w="5500" w:type="dxa"/>
            <w:vAlign w:val="bottom"/>
          </w:tcPr>
          <w:p>
            <w:pPr>
              <w:ind w:left="580"/>
              <w:spacing w:after="0"/>
              <w:rPr>
                <w:sz w:val="20"/>
                <w:szCs w:val="20"/>
                <w:color w:val="auto"/>
              </w:rPr>
            </w:pPr>
            <w:r>
              <w:rPr>
                <w:rFonts w:ascii="Arial" w:cs="Arial" w:eastAsia="Arial" w:hAnsi="Arial"/>
                <w:sz w:val="18"/>
                <w:szCs w:val="18"/>
                <w:color w:val="auto"/>
              </w:rPr>
              <w:t>Litigation</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w w:val="97"/>
              </w:rPr>
              <w:t>Schedule 6.15</w:t>
            </w:r>
          </w:p>
        </w:tc>
        <w:tc>
          <w:tcPr>
            <w:tcW w:w="5500" w:type="dxa"/>
            <w:vAlign w:val="bottom"/>
          </w:tcPr>
          <w:p>
            <w:pPr>
              <w:ind w:left="580"/>
              <w:spacing w:after="0"/>
              <w:rPr>
                <w:sz w:val="20"/>
                <w:szCs w:val="20"/>
                <w:color w:val="auto"/>
              </w:rPr>
            </w:pPr>
            <w:r>
              <w:rPr>
                <w:rFonts w:ascii="Arial" w:cs="Arial" w:eastAsia="Arial" w:hAnsi="Arial"/>
                <w:sz w:val="18"/>
                <w:szCs w:val="18"/>
                <w:color w:val="auto"/>
              </w:rPr>
              <w:t>Environmental Compliance</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w w:val="88"/>
              </w:rPr>
              <w:t>Schedule 8.1(a)</w:t>
            </w:r>
          </w:p>
        </w:tc>
        <w:tc>
          <w:tcPr>
            <w:tcW w:w="5500" w:type="dxa"/>
            <w:vAlign w:val="bottom"/>
          </w:tcPr>
          <w:p>
            <w:pPr>
              <w:ind w:left="580"/>
              <w:spacing w:after="0"/>
              <w:rPr>
                <w:sz w:val="20"/>
                <w:szCs w:val="20"/>
                <w:color w:val="auto"/>
              </w:rPr>
            </w:pPr>
            <w:r>
              <w:rPr>
                <w:rFonts w:ascii="Arial" w:cs="Arial" w:eastAsia="Arial" w:hAnsi="Arial"/>
                <w:sz w:val="18"/>
                <w:szCs w:val="18"/>
                <w:color w:val="auto"/>
              </w:rPr>
              <w:t>Existing Indebtedness</w:t>
            </w: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Schedule 22</w:t>
            </w:r>
          </w:p>
        </w:tc>
        <w:tc>
          <w:tcPr>
            <w:tcW w:w="5500" w:type="dxa"/>
            <w:vAlign w:val="bottom"/>
          </w:tcPr>
          <w:p>
            <w:pPr>
              <w:ind w:left="580"/>
              <w:spacing w:after="0"/>
              <w:rPr>
                <w:sz w:val="20"/>
                <w:szCs w:val="20"/>
                <w:color w:val="auto"/>
              </w:rPr>
            </w:pPr>
            <w:r>
              <w:rPr>
                <w:rFonts w:ascii="Arial" w:cs="Arial" w:eastAsia="Arial" w:hAnsi="Arial"/>
                <w:sz w:val="18"/>
                <w:szCs w:val="18"/>
                <w:color w:val="auto"/>
              </w:rPr>
              <w:t>Administrative Agent’s Office; Certain Addresses for Notices</w:t>
            </w:r>
          </w:p>
        </w:tc>
      </w:tr>
      <w:tr>
        <w:trPr>
          <w:trHeight w:val="365"/>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ind w:left="4380"/>
              <w:spacing w:after="0"/>
              <w:rPr>
                <w:sz w:val="20"/>
                <w:szCs w:val="20"/>
                <w:color w:val="auto"/>
              </w:rPr>
            </w:pPr>
            <w:r>
              <w:rPr>
                <w:rFonts w:ascii="Arial" w:cs="Arial" w:eastAsia="Arial" w:hAnsi="Arial"/>
                <w:sz w:val="18"/>
                <w:szCs w:val="18"/>
                <w:color w:val="auto"/>
              </w:rPr>
              <w:t>- vii -</w:t>
            </w:r>
          </w:p>
        </w:tc>
      </w:tr>
    </w:tbl>
    <w:p>
      <w:pPr>
        <w:ind w:left="438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 w:name="page15"/>
    <w:bookmarkEnd w:id="14"/>
    <w:p>
      <w:pPr>
        <w:ind w:left="4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REVOLVING CREDIT AGREEMENT</w:t>
      </w:r>
    </w:p>
    <w:p>
      <w:pPr>
        <w:spacing w:after="0" w:line="15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SECOND AMENDED AND RESTATED REVOLVING CREDIT AGREEMENT</w:t>
      </w:r>
      <w:r>
        <w:rPr>
          <w:rFonts w:ascii="Arial" w:cs="Arial" w:eastAsia="Arial" w:hAnsi="Arial"/>
          <w:sz w:val="16"/>
          <w:szCs w:val="16"/>
          <w:color w:val="auto"/>
        </w:rPr>
        <w:t xml:space="preserve"> is made as of July 26, 2013, by and among </w:t>
      </w:r>
      <w:r>
        <w:rPr>
          <w:rFonts w:ascii="Arial" w:cs="Arial" w:eastAsia="Arial" w:hAnsi="Arial"/>
          <w:sz w:val="16"/>
          <w:szCs w:val="16"/>
          <w:b w:val="1"/>
          <w:bCs w:val="1"/>
          <w:color w:val="auto"/>
        </w:rPr>
        <w:t>WASTE</w:t>
      </w:r>
      <w:r>
        <w:rPr>
          <w:rFonts w:ascii="Arial" w:cs="Arial" w:eastAsia="Arial" w:hAnsi="Arial"/>
          <w:sz w:val="16"/>
          <w:szCs w:val="16"/>
          <w:color w:val="auto"/>
        </w:rPr>
        <w:t xml:space="preserve"> </w:t>
      </w:r>
      <w:r>
        <w:rPr>
          <w:rFonts w:ascii="Arial" w:cs="Arial" w:eastAsia="Arial" w:hAnsi="Arial"/>
          <w:sz w:val="16"/>
          <w:szCs w:val="16"/>
          <w:b w:val="1"/>
          <w:bCs w:val="1"/>
          <w:color w:val="auto"/>
        </w:rPr>
        <w:t>MANAGEMENT, INC.</w:t>
      </w:r>
      <w:r>
        <w:rPr>
          <w:rFonts w:ascii="Arial" w:cs="Arial" w:eastAsia="Arial" w:hAnsi="Arial"/>
          <w:sz w:val="16"/>
          <w:szCs w:val="16"/>
          <w:color w:val="auto"/>
        </w:rPr>
        <w:t>, a Delaware corporation having its chief executive office at 1001 Fannin Street, Suite 4000, Houston, Texas 77002 (the “</w:t>
      </w:r>
      <w:r>
        <w:rPr>
          <w:rFonts w:ascii="Arial" w:cs="Arial" w:eastAsia="Arial" w:hAnsi="Arial"/>
          <w:sz w:val="16"/>
          <w:szCs w:val="16"/>
          <w:u w:val="single" w:color="auto"/>
          <w:color w:val="auto"/>
        </w:rPr>
        <w:t>Borrower</w:t>
      </w:r>
      <w:r>
        <w:rPr>
          <w:rFonts w:ascii="Arial" w:cs="Arial" w:eastAsia="Arial" w:hAnsi="Arial"/>
          <w:sz w:val="16"/>
          <w:szCs w:val="16"/>
          <w:color w:val="auto"/>
        </w:rPr>
        <w:t>”),</w:t>
      </w:r>
      <w:r>
        <w:rPr>
          <w:rFonts w:ascii="Arial" w:cs="Arial" w:eastAsia="Arial" w:hAnsi="Arial"/>
          <w:sz w:val="16"/>
          <w:szCs w:val="16"/>
          <w:b w:val="1"/>
          <w:bCs w:val="1"/>
          <w:color w:val="auto"/>
        </w:rPr>
        <w:t xml:space="preserve"> WASTE MANAGEMENT HOLDINGS, INC.</w:t>
      </w:r>
      <w:r>
        <w:rPr>
          <w:rFonts w:ascii="Arial" w:cs="Arial" w:eastAsia="Arial" w:hAnsi="Arial"/>
          <w:sz w:val="16"/>
          <w:szCs w:val="16"/>
          <w:color w:val="auto"/>
        </w:rPr>
        <w:t>, a wholly-owned Subsidiary of the Borrower (the “</w:t>
      </w:r>
      <w:r>
        <w:rPr>
          <w:rFonts w:ascii="Arial" w:cs="Arial" w:eastAsia="Arial" w:hAnsi="Arial"/>
          <w:sz w:val="16"/>
          <w:szCs w:val="16"/>
          <w:u w:val="single" w:color="auto"/>
          <w:color w:val="auto"/>
        </w:rPr>
        <w:t>Guarantor</w:t>
      </w:r>
      <w:r>
        <w:rPr>
          <w:rFonts w:ascii="Arial" w:cs="Arial" w:eastAsia="Arial" w:hAnsi="Arial"/>
          <w:sz w:val="16"/>
          <w:szCs w:val="16"/>
          <w:color w:val="auto"/>
        </w:rPr>
        <w:t>”), the lenders from time to time party hereto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Banks</w:t>
      </w:r>
      <w:r>
        <w:rPr>
          <w:rFonts w:ascii="Arial" w:cs="Arial" w:eastAsia="Arial" w:hAnsi="Arial"/>
          <w:sz w:val="16"/>
          <w:szCs w:val="16"/>
          <w:color w:val="auto"/>
        </w:rPr>
        <w:t xml:space="preserve">”) and </w:t>
      </w:r>
      <w:r>
        <w:rPr>
          <w:rFonts w:ascii="Arial" w:cs="Arial" w:eastAsia="Arial" w:hAnsi="Arial"/>
          <w:sz w:val="16"/>
          <w:szCs w:val="16"/>
          <w:b w:val="1"/>
          <w:bCs w:val="1"/>
          <w:color w:val="auto"/>
        </w:rPr>
        <w:t>BANK OF AMERICA, N.A.,</w:t>
      </w:r>
      <w:r>
        <w:rPr>
          <w:rFonts w:ascii="Arial" w:cs="Arial" w:eastAsia="Arial" w:hAnsi="Arial"/>
          <w:sz w:val="16"/>
          <w:szCs w:val="16"/>
          <w:color w:val="auto"/>
        </w:rPr>
        <w:t xml:space="preserve">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The Borrower, Bank of America, N.A, as administrative agent, and the lenders party thereto (the “</w:t>
      </w:r>
      <w:r>
        <w:rPr>
          <w:rFonts w:ascii="Arial" w:cs="Arial" w:eastAsia="Arial" w:hAnsi="Arial"/>
          <w:sz w:val="18"/>
          <w:szCs w:val="18"/>
          <w:u w:val="single" w:color="auto"/>
          <w:color w:val="auto"/>
        </w:rPr>
        <w:t>Existing Banks</w:t>
      </w:r>
      <w:r>
        <w:rPr>
          <w:rFonts w:ascii="Arial" w:cs="Arial" w:eastAsia="Arial" w:hAnsi="Arial"/>
          <w:sz w:val="18"/>
          <w:szCs w:val="18"/>
          <w:color w:val="auto"/>
        </w:rPr>
        <w:t>”) entered into that certain Amended and Restated Credit Agreement dated as of May 9, 2011 (as amended, supplemented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pursuant to which the Existing Banks have made available to the Borrower a revolving credit facility, with a letter of credit subfacility and a swing loan subfacility.</w:t>
      </w:r>
    </w:p>
    <w:p>
      <w:pPr>
        <w:spacing w:after="0" w:line="6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B. 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51"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C. The Borrower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90" w:lineRule="exact"/>
        <w:rPr>
          <w:sz w:val="20"/>
          <w:szCs w:val="20"/>
          <w:color w:val="auto"/>
        </w:rPr>
      </w:pPr>
    </w:p>
    <w:p>
      <w:pPr>
        <w:ind w:right="120" w:firstLine="464"/>
        <w:spacing w:after="0" w:line="286" w:lineRule="auto"/>
        <w:tabs>
          <w:tab w:leader="none" w:pos="666"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6"/>
          <w:szCs w:val="16"/>
          <w:u w:val="single" w:color="auto"/>
          <w:color w:val="auto"/>
        </w:rPr>
        <w:t>paragraph (iv)</w:t>
      </w:r>
      <w:r>
        <w:rPr>
          <w:rFonts w:ascii="Arial" w:cs="Arial" w:eastAsia="Arial" w:hAnsi="Arial"/>
          <w:sz w:val="16"/>
          <w:szCs w:val="16"/>
          <w:color w:val="auto"/>
        </w:rPr>
        <w:t xml:space="preserve"> below, the parties hereby agree that</w:t>
      </w:r>
    </w:p>
    <w:p>
      <w:pPr>
        <w:ind w:right="240" w:firstLine="8"/>
        <w:spacing w:after="0" w:line="281" w:lineRule="auto"/>
        <w:tabs>
          <w:tab w:leader="none" w:pos="288"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Commitment of each of the Banks shall be as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and the outstanding amount of the Syndicated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w:t>
      </w:r>
    </w:p>
    <w:p>
      <w:pPr>
        <w:spacing w:after="0" w:line="4" w:lineRule="exact"/>
        <w:rPr>
          <w:rFonts w:ascii="Arial" w:cs="Arial" w:eastAsia="Arial" w:hAnsi="Arial"/>
          <w:sz w:val="16"/>
          <w:szCs w:val="16"/>
          <w:color w:val="auto"/>
        </w:rPr>
      </w:pPr>
    </w:p>
    <w:p>
      <w:pPr>
        <w:ind w:right="120" w:firstLine="8"/>
        <w:spacing w:after="0" w:line="300" w:lineRule="auto"/>
        <w:tabs>
          <w:tab w:leader="none" w:pos="278"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letter of credit</w:t>
      </w:r>
    </w:p>
    <w:p>
      <w:pPr>
        <w:spacing w:after="0" w:line="151" w:lineRule="exact"/>
        <w:rPr>
          <w:rFonts w:ascii="Arial" w:cs="Arial" w:eastAsia="Arial" w:hAnsi="Arial"/>
          <w:sz w:val="18"/>
          <w:szCs w:val="18"/>
          <w:color w:val="auto"/>
        </w:rPr>
      </w:pPr>
    </w:p>
    <w:p>
      <w:pPr>
        <w:ind w:left="5680" w:hanging="112"/>
        <w:spacing w:after="0"/>
        <w:tabs>
          <w:tab w:leader="none" w:pos="5680" w:val="left"/>
        </w:tabs>
        <w:numPr>
          <w:ilvl w:val="2"/>
          <w:numId w:val="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80"/>
          </w:cols>
          <w:pgMar w:left="240" w:top="274" w:right="279" w:bottom="1440" w:gutter="0" w:footer="0" w:header="0"/>
        </w:sectPr>
      </w:pPr>
    </w:p>
    <w:bookmarkStart w:id="15" w:name="page16"/>
    <w:bookmarkEnd w:id="1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subfacility provided in the Existing Credit Agreement shall continue as the Letter of Credit facility hereunder and the Existing Letters of Credit shall be deemed to be Letters of Credit issued hereunder. There are no Competitive Bid Loans (as defined in the Existing Credit Agreement) outstanding on the Effective Date under the Existing Credit Agreement.</w:t>
      </w:r>
    </w:p>
    <w:p>
      <w:pPr>
        <w:spacing w:after="0" w:line="59" w:lineRule="exact"/>
        <w:rPr>
          <w:sz w:val="20"/>
          <w:szCs w:val="20"/>
          <w:color w:val="auto"/>
        </w:rPr>
      </w:pPr>
    </w:p>
    <w:p>
      <w:pPr>
        <w:ind w:right="60" w:firstLine="464"/>
        <w:spacing w:after="0" w:line="302" w:lineRule="auto"/>
        <w:tabs>
          <w:tab w:leader="none" w:pos="715" w:val="left"/>
        </w:tabs>
        <w:numPr>
          <w:ilvl w:val="1"/>
          <w:numId w:val="5"/>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in §20 of the Existing Credit Agreement or §20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to this Agreement,</w:t>
      </w:r>
    </w:p>
    <w:p>
      <w:pPr>
        <w:ind w:right="120" w:firstLine="8"/>
        <w:spacing w:after="0" w:line="261" w:lineRule="auto"/>
        <w:tabs>
          <w:tab w:leader="none" w:pos="278"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Bank’s Commitment Percentage of the Total Commitment equals (with customary rounding) its Commitment Percentage of (x) the outstanding amount of all Loans, and (y) the outstanding amount of all Letters of Credit.</w:t>
      </w:r>
    </w:p>
    <w:p>
      <w:pPr>
        <w:spacing w:after="0" w:line="56" w:lineRule="exact"/>
        <w:rPr>
          <w:rFonts w:ascii="Arial" w:cs="Arial" w:eastAsia="Arial" w:hAnsi="Arial"/>
          <w:sz w:val="18"/>
          <w:szCs w:val="18"/>
          <w:color w:val="auto"/>
        </w:rPr>
      </w:pPr>
    </w:p>
    <w:p>
      <w:pPr>
        <w:ind w:firstLine="464"/>
        <w:spacing w:after="0" w:line="255" w:lineRule="auto"/>
        <w:tabs>
          <w:tab w:leader="none" w:pos="7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Borrower,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61" w:lineRule="exact"/>
        <w:rPr>
          <w:rFonts w:ascii="Arial" w:cs="Arial" w:eastAsia="Arial" w:hAnsi="Arial"/>
          <w:sz w:val="18"/>
          <w:szCs w:val="18"/>
          <w:color w:val="auto"/>
        </w:rPr>
      </w:pPr>
    </w:p>
    <w:p>
      <w:pPr>
        <w:ind w:right="20" w:firstLine="464"/>
        <w:spacing w:after="0" w:line="286" w:lineRule="auto"/>
        <w:tabs>
          <w:tab w:leader="none" w:pos="754" w:val="left"/>
        </w:tabs>
        <w:numPr>
          <w:ilvl w:val="1"/>
          <w:numId w:val="6"/>
        </w:numPr>
        <w:rPr>
          <w:rFonts w:ascii="Arial" w:cs="Arial" w:eastAsia="Arial" w:hAnsi="Arial"/>
          <w:sz w:val="16"/>
          <w:szCs w:val="16"/>
          <w:color w:val="auto"/>
        </w:rPr>
      </w:pPr>
      <w:r>
        <w:rPr>
          <w:rFonts w:ascii="Arial" w:cs="Arial" w:eastAsia="Arial" w:hAnsi="Arial"/>
          <w:sz w:val="16"/>
          <w:szCs w:val="16"/>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6"/>
          <w:szCs w:val="16"/>
          <w:u w:val="single" w:color="auto"/>
          <w:color w:val="auto"/>
        </w:rPr>
        <w:t>Existing Loan Documents</w:t>
      </w:r>
      <w:r>
        <w:rPr>
          <w:rFonts w:ascii="Arial" w:cs="Arial" w:eastAsia="Arial" w:hAnsi="Arial"/>
          <w:sz w:val="16"/>
          <w:szCs w:val="16"/>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Borrower under the Existing Credit Agreement as of the Effective Date, shall constitute Loans hereunder accruing interest with respect to the Base Rate Loans under the Existing Credit Agreement, at the Applicable Base Rate hereunder. The parties hereto agree that the Interest Periods for all Eurodollar Loans outstanding under the Existing Credit Agreement on the Effective Date shall be terminated, the Borrower shall pay (on the Effective Date) all accrued interest with respect to such Loans, and the Borrower shall furnish to the Administrative Agent interest rate selection notices for existing Loans and borrowing notices for additional Loans as</w:t>
      </w:r>
    </w:p>
    <w:p>
      <w:pPr>
        <w:spacing w:after="0" w:line="110" w:lineRule="exact"/>
        <w:rPr>
          <w:rFonts w:ascii="Arial" w:cs="Arial" w:eastAsia="Arial" w:hAnsi="Arial"/>
          <w:sz w:val="16"/>
          <w:szCs w:val="16"/>
          <w:color w:val="auto"/>
        </w:rPr>
      </w:pPr>
    </w:p>
    <w:p>
      <w:pPr>
        <w:ind w:left="5680" w:hanging="112"/>
        <w:spacing w:after="0"/>
        <w:tabs>
          <w:tab w:leader="none" w:pos="5680" w:val="left"/>
        </w:tabs>
        <w:numPr>
          <w:ilvl w:val="2"/>
          <w:numId w:val="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80" w:right="25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required in connection with the allocation of Loans among Banks in accordance with their Commitment Percentages. The Administrative Agent and the Existing Banks agree that the transactions contemplated in these recitals shall not give rise to any obligation of the Borrower or the Guarantor to make any payment under §5.8 of the Existing Credit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DEFINITIONS AND RULES OF INTERPRETATION</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 Definitions. </w:t>
      </w:r>
      <w:r>
        <w:rPr>
          <w:rFonts w:ascii="Arial" w:cs="Arial" w:eastAsia="Arial" w:hAnsi="Arial"/>
          <w:sz w:val="16"/>
          <w:szCs w:val="16"/>
          <w:color w:val="auto"/>
        </w:rPr>
        <w:t>The following terms shall have the meanings set forth in this §1 or elsewhere in the provisions of this Agreement referred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Absolute Competitive Bid Loan(s)</w:t>
      </w:r>
      <w:r>
        <w:rPr>
          <w:rFonts w:ascii="Arial" w:cs="Arial" w:eastAsia="Arial" w:hAnsi="Arial"/>
          <w:sz w:val="18"/>
          <w:szCs w:val="18"/>
          <w:color w:val="auto"/>
        </w:rPr>
        <w:t>. Competitive Bid Loans bearing interest at a fixed rate per annum in accordance with §4.5(b)(v).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See §7.4(a).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See Preamble.</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The Administrative Agent’s address and, as appropriate, account as set forth on </w:t>
      </w:r>
      <w:r>
        <w:rPr>
          <w:rFonts w:ascii="Arial" w:cs="Arial" w:eastAsia="Arial" w:hAnsi="Arial"/>
          <w:sz w:val="18"/>
          <w:szCs w:val="18"/>
          <w:u w:val="single" w:color="auto"/>
          <w:color w:val="auto"/>
        </w:rPr>
        <w:t>Schedule 22</w:t>
      </w:r>
      <w:r>
        <w:rPr>
          <w:rFonts w:ascii="Arial" w:cs="Arial" w:eastAsia="Arial" w:hAnsi="Arial"/>
          <w:sz w:val="18"/>
          <w:szCs w:val="18"/>
          <w:color w:val="auto"/>
        </w:rPr>
        <w:t>, or such other address or account as the Administrative Agent may from time to time notify the Borrower and the Banks.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An Administrative Questionnaire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any other form approved by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Affected Bank</w:t>
      </w:r>
      <w:r>
        <w:rPr>
          <w:rFonts w:ascii="Arial" w:cs="Arial" w:eastAsia="Arial" w:hAnsi="Arial"/>
          <w:sz w:val="18"/>
          <w:szCs w:val="18"/>
          <w:color w:val="auto"/>
        </w:rPr>
        <w:t>. See §5.12.</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This Second Amended and Restated Revolving Credit Agreement, including the Schedules and Exhibits hereto, as from time to time amended and supplemented in accordance with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Base Rate</w:t>
      </w:r>
      <w:r>
        <w:rPr>
          <w:rFonts w:ascii="Arial" w:cs="Arial" w:eastAsia="Arial" w:hAnsi="Arial"/>
          <w:sz w:val="18"/>
          <w:szCs w:val="18"/>
          <w:color w:val="auto"/>
        </w:rPr>
        <w:t>. The applicable rate per annum of interest on the Base Rate Loans as set forth in the Pricing 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Eurodollar Rate</w:t>
      </w:r>
      <w:r>
        <w:rPr>
          <w:rFonts w:ascii="Arial" w:cs="Arial" w:eastAsia="Arial" w:hAnsi="Arial"/>
          <w:sz w:val="18"/>
          <w:szCs w:val="18"/>
          <w:color w:val="auto"/>
        </w:rPr>
        <w:t>. The applicable rate per annum of interest on the Eurodollar Loans shall be as set forth in the Pricing 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Facility Fee Rate</w:t>
      </w:r>
      <w:r>
        <w:rPr>
          <w:rFonts w:ascii="Arial" w:cs="Arial" w:eastAsia="Arial" w:hAnsi="Arial"/>
          <w:sz w:val="18"/>
          <w:szCs w:val="18"/>
          <w:color w:val="auto"/>
        </w:rPr>
        <w:t>. The applicable rate per annum with respect to the Facility Fee shall be as set forth in the Pricing 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L/C Rate</w:t>
      </w:r>
      <w:r>
        <w:rPr>
          <w:rFonts w:ascii="Arial" w:cs="Arial" w:eastAsia="Arial" w:hAnsi="Arial"/>
          <w:sz w:val="18"/>
          <w:szCs w:val="18"/>
          <w:color w:val="auto"/>
        </w:rPr>
        <w:t>. The applicable rate per annum on the Maximum Drawing Amount shall be as set forth in the Pricing 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See §7.10.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20"/>
          </w:cols>
          <w:pgMar w:left="240" w:top="280" w:right="339" w:bottom="1440" w:gutter="0" w:footer="0" w:header="0"/>
        </w:sectPr>
      </w:pPr>
    </w:p>
    <w:bookmarkStart w:id="17" w:name="page18"/>
    <w:bookmarkEnd w:id="17"/>
    <w:p>
      <w:pPr>
        <w:ind w:right="160" w:firstLine="456"/>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Spot Rate</w:t>
      </w:r>
      <w:r>
        <w:rPr>
          <w:rFonts w:ascii="Arial" w:cs="Arial" w:eastAsia="Arial" w:hAnsi="Arial"/>
          <w:sz w:val="16"/>
          <w:szCs w:val="16"/>
          <w:color w:val="auto"/>
        </w:rPr>
        <w:t xml:space="preserve">. On any date, the quoted spot rate for conversion of U.S. Dollars to Canadian Dollars by the Administrative Agent or the respective Issuing Bank, as applicable, through its principal foreign exchange trading office at approximately 11:00 a.m. (New York time) on the date two Business Days prior to the date as of which the foreign exchange computation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Issuing Bank may obtain such spot rate from another financial institution designated by the Administrative Agent or such Issuing Bank or from Reuters page 1 FED (or on any successor or substitute page of such service, or any successor to or substitute for such service providing rate quotations comparable to those currently provide on such page of such service);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 Issuing Bank may use such spot rate quoted on the date as of which the foreign exchange computation is made.</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Approved Fund</w:t>
      </w:r>
      <w:r>
        <w:rPr>
          <w:rFonts w:ascii="Arial" w:cs="Arial" w:eastAsia="Arial" w:hAnsi="Arial"/>
          <w:sz w:val="18"/>
          <w:szCs w:val="18"/>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See §20.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Balance Sheet Date</w:t>
      </w:r>
      <w:r>
        <w:rPr>
          <w:rFonts w:ascii="Arial" w:cs="Arial" w:eastAsia="Arial" w:hAnsi="Arial"/>
          <w:sz w:val="18"/>
          <w:szCs w:val="18"/>
          <w:color w:val="auto"/>
        </w:rPr>
        <w:t>. December 31, 2012.</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Bank Affiliate</w:t>
      </w:r>
      <w:r>
        <w:rPr>
          <w:rFonts w:ascii="Arial" w:cs="Arial" w:eastAsia="Arial" w:hAnsi="Arial"/>
          <w:sz w:val="18"/>
          <w:szCs w:val="18"/>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Bank of America</w:t>
      </w:r>
      <w:r>
        <w:rPr>
          <w:rFonts w:ascii="Arial" w:cs="Arial" w:eastAsia="Arial" w:hAnsi="Arial"/>
          <w:sz w:val="18"/>
          <w:szCs w:val="18"/>
          <w:color w:val="auto"/>
        </w:rPr>
        <w:t>. Bank of America, 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Banks</w:t>
      </w:r>
      <w:r>
        <w:rPr>
          <w:rFonts w:ascii="Arial" w:cs="Arial" w:eastAsia="Arial" w:hAnsi="Arial"/>
          <w:sz w:val="18"/>
          <w:szCs w:val="18"/>
          <w:color w:val="auto"/>
        </w:rPr>
        <w:t>. See Preamble.</w:t>
      </w:r>
    </w:p>
    <w:p>
      <w:pPr>
        <w:spacing w:after="0" w:line="171"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u w:val="single" w:color="auto"/>
          <w:color w:val="auto"/>
        </w:rPr>
        <w:t>Base Rate</w:t>
      </w:r>
      <w:r>
        <w:rPr>
          <w:rFonts w:ascii="Arial" w:cs="Arial" w:eastAsia="Arial" w:hAnsi="Arial"/>
          <w:sz w:val="16"/>
          <w:szCs w:val="16"/>
          <w:color w:val="auto"/>
        </w:rPr>
        <w:t>. For any day, a fluctuating rate per annum equal to the highest of (a) the Federal Funds Rate plus 1/2 of 1%,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Base Rate Loans</w:t>
      </w:r>
      <w:r>
        <w:rPr>
          <w:rFonts w:ascii="Arial" w:cs="Arial" w:eastAsia="Arial" w:hAnsi="Arial"/>
          <w:sz w:val="18"/>
          <w:szCs w:val="18"/>
          <w:color w:val="auto"/>
        </w:rPr>
        <w:t>. Syndicated or Swing Line Loans bearing interest calculated by reference to the Base Rate.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00"/>
          </w:cols>
          <w:pgMar w:left="240" w:top="280" w:right="259" w:bottom="1440" w:gutter="0" w:footer="0" w:header="0"/>
        </w:sectPr>
      </w:pPr>
    </w:p>
    <w:bookmarkStart w:id="18" w:name="page19"/>
    <w:bookmarkEnd w:id="18"/>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w:t>
      </w:r>
      <w:r>
        <w:rPr>
          <w:rFonts w:ascii="Arial" w:cs="Arial" w:eastAsia="Arial" w:hAnsi="Arial"/>
          <w:sz w:val="18"/>
          <w:szCs w:val="18"/>
          <w:color w:val="auto"/>
        </w:rPr>
        <w:t>. See Preamble.</w:t>
      </w:r>
    </w:p>
    <w:p>
      <w:pPr>
        <w:spacing w:after="0" w:line="171"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u w:val="single" w:color="auto"/>
          <w:color w:val="auto"/>
        </w:rPr>
        <w:t>Borrowing</w:t>
      </w:r>
      <w:r>
        <w:rPr>
          <w:rFonts w:ascii="Arial" w:cs="Arial" w:eastAsia="Arial" w:hAnsi="Arial"/>
          <w:sz w:val="18"/>
          <w:szCs w:val="18"/>
          <w:color w:val="auto"/>
        </w:rPr>
        <w:t>.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Any day, other than a Saturday, Sunday or any day on which banking institutions in New York, New York are authorized by law to close, and, when used in connection with a Eurodollar Loan, such day is also a Eurodollar Business Day.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Dollars or C$</w:t>
      </w:r>
      <w:r>
        <w:rPr>
          <w:rFonts w:ascii="Arial" w:cs="Arial" w:eastAsia="Arial" w:hAnsi="Arial"/>
          <w:sz w:val="18"/>
          <w:szCs w:val="18"/>
          <w:color w:val="auto"/>
        </w:rPr>
        <w:t>. The lawful currency of Canada.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Dollar Letter of Credit</w:t>
      </w:r>
      <w:r>
        <w:rPr>
          <w:rFonts w:ascii="Arial" w:cs="Arial" w:eastAsia="Arial" w:hAnsi="Arial"/>
          <w:sz w:val="18"/>
          <w:szCs w:val="18"/>
          <w:color w:val="auto"/>
        </w:rPr>
        <w:t>. See §3.1(e).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Canadian Subsidiary</w:t>
      </w:r>
      <w:r>
        <w:rPr>
          <w:rFonts w:ascii="Arial" w:cs="Arial" w:eastAsia="Arial" w:hAnsi="Arial"/>
          <w:sz w:val="18"/>
          <w:szCs w:val="18"/>
          <w:color w:val="auto"/>
        </w:rPr>
        <w:t>. A Subsidiary that is organized under the laws of Canada or any province thereof.</w:t>
      </w:r>
    </w:p>
    <w:p>
      <w:pPr>
        <w:spacing w:after="0" w:line="17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u w:val="single" w:color="auto"/>
          <w:color w:val="auto"/>
        </w:rPr>
        <w:t>Capitalized Leases or Capital Leases</w:t>
      </w:r>
      <w:r>
        <w:rPr>
          <w:rFonts w:ascii="Arial" w:cs="Arial" w:eastAsia="Arial" w:hAnsi="Arial"/>
          <w:sz w:val="16"/>
          <w:szCs w:val="16"/>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Cash Equivalents</w:t>
      </w:r>
      <w:r>
        <w:rPr>
          <w:rFonts w:ascii="Arial" w:cs="Arial" w:eastAsia="Arial" w:hAnsi="Arial"/>
          <w:sz w:val="16"/>
          <w:szCs w:val="16"/>
          <w:color w:val="auto"/>
        </w:rPr>
        <w:t>. Investments in (i) direct obligations of, or unconditionally guaranteed by, the United States of America or any agency or instrumentality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 (iii) 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 clauses (ii) and (iii) entered into with an Approved Bank, (v) variable rate demand notes with a put option no longer than seven days from date of purchase to the extent backed by letters of credit issued by banks having a credit rating of at least A1 from Moody’s or P1 from Standard &amp; Poor’s; (vi) municipal securities rated at least A1 by Moody’s or P-1 by Standard &amp; Poor’s with a maturity of one year or less; (vii) any money market fund that meets the requirements of Rule 2a-7 (c) (2), (3) and (4) promulgated under the Investment Company Act of 1940, as amended; and (viii) any other fund or funds making substantially all of their Investments in Investments of the kinds described in clauses (i) through (vi) above.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CERCLA</w:t>
      </w:r>
      <w:r>
        <w:rPr>
          <w:rFonts w:ascii="Arial" w:cs="Arial" w:eastAsia="Arial" w:hAnsi="Arial"/>
          <w:sz w:val="18"/>
          <w:szCs w:val="18"/>
          <w:color w:val="auto"/>
        </w:rPr>
        <w:t>. See §6.15(a).</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u w:val="single" w:color="auto"/>
          <w:color w:val="auto"/>
        </w:rPr>
        <w:t>Certified or certified</w:t>
      </w:r>
      <w:r>
        <w:rPr>
          <w:rFonts w:ascii="Arial" w:cs="Arial" w:eastAsia="Arial" w:hAnsi="Arial"/>
          <w:sz w:val="16"/>
          <w:szCs w:val="16"/>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CFO</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CAO</w:t>
      </w:r>
      <w:r>
        <w:rPr>
          <w:rFonts w:ascii="Arial" w:cs="Arial" w:eastAsia="Arial" w:hAnsi="Arial"/>
          <w:sz w:val="18"/>
          <w:szCs w:val="18"/>
          <w:color w:val="auto"/>
        </w:rPr>
        <w:t>. See §7.4(b).</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Syndicated Loans, Competitive Bid Loans or Swing Line Loans.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Internal Revenue Code of 1986, as amended and in effect from time to time.</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u w:val="single" w:color="auto"/>
          <w:color w:val="auto"/>
        </w:rPr>
        <w:t>Commitment</w:t>
      </w:r>
      <w:r>
        <w:rPr>
          <w:rFonts w:ascii="Arial" w:cs="Arial" w:eastAsia="Arial" w:hAnsi="Arial"/>
          <w:sz w:val="16"/>
          <w:szCs w:val="16"/>
          <w:color w:val="auto"/>
        </w:rPr>
        <w:t>. With respect to each Bank, such Bank’s commitment to make Syndicated Loans to, and to participate in Swing Line Loans and Letters of Credit for the account of, the Borrower, determined by multiplying such Bank’s Commitment Percentage by the Total Commitment.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u w:val="single" w:color="auto"/>
          <w:color w:val="auto"/>
        </w:rPr>
        <w:t>Commitment Percentage</w:t>
      </w:r>
      <w:r>
        <w:rPr>
          <w:rFonts w:ascii="Arial" w:cs="Arial" w:eastAsia="Arial" w:hAnsi="Arial"/>
          <w:sz w:val="18"/>
          <w:szCs w:val="18"/>
          <w:color w:val="auto"/>
        </w:rPr>
        <w:t xml:space="preserve">. With respect to each Bank, the percentage initially set forth next to such Bank’s name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as the same may be adjusted in accordance with §2.3, §5.14(iv) or §20.</w:t>
      </w:r>
    </w:p>
    <w:p>
      <w:pPr>
        <w:spacing w:after="0" w:line="132"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u w:val="single" w:color="auto"/>
          <w:color w:val="auto"/>
        </w:rPr>
        <w:t>Competitive Bid Loan(s</w:t>
      </w:r>
      <w:r>
        <w:rPr>
          <w:rFonts w:ascii="Arial" w:cs="Arial" w:eastAsia="Arial" w:hAnsi="Arial"/>
          <w:sz w:val="16"/>
          <w:szCs w:val="16"/>
          <w:color w:val="auto"/>
        </w:rPr>
        <w:t>). A Borrowing hereunder consisting of one or more loans made by any of the participating Banks whose offer to make a Competitive Bid Loan as part of such Borrowing has been accepted by the Borrower under the auction bidding procedure described in §4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Competitive Bid Loan Accounts</w:t>
      </w:r>
      <w:r>
        <w:rPr>
          <w:rFonts w:ascii="Arial" w:cs="Arial" w:eastAsia="Arial" w:hAnsi="Arial"/>
          <w:sz w:val="18"/>
          <w:szCs w:val="18"/>
          <w:color w:val="auto"/>
        </w:rPr>
        <w:t>. See §4.2(a).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Competitive Bid Margin</w:t>
      </w:r>
      <w:r>
        <w:rPr>
          <w:rFonts w:ascii="Arial" w:cs="Arial" w:eastAsia="Arial" w:hAnsi="Arial"/>
          <w:sz w:val="18"/>
          <w:szCs w:val="18"/>
          <w:color w:val="auto"/>
        </w:rPr>
        <w:t>. See §4.5(b)(iv).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Competitive Bid Quote</w:t>
      </w:r>
      <w:r>
        <w:rPr>
          <w:rFonts w:ascii="Arial" w:cs="Arial" w:eastAsia="Arial" w:hAnsi="Arial"/>
          <w:sz w:val="18"/>
          <w:szCs w:val="18"/>
          <w:color w:val="auto"/>
        </w:rPr>
        <w:t>. An offer by a Bank to make a Competitive Bid Loan in accordance with §4.5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Competitive Bid Quote Request</w:t>
      </w:r>
      <w:r>
        <w:rPr>
          <w:rFonts w:ascii="Arial" w:cs="Arial" w:eastAsia="Arial" w:hAnsi="Arial"/>
          <w:sz w:val="18"/>
          <w:szCs w:val="18"/>
          <w:color w:val="auto"/>
        </w:rPr>
        <w:t>. See §4.3.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Competitive Bid Rate</w:t>
      </w:r>
      <w:r>
        <w:rPr>
          <w:rFonts w:ascii="Arial" w:cs="Arial" w:eastAsia="Arial" w:hAnsi="Arial"/>
          <w:sz w:val="18"/>
          <w:szCs w:val="18"/>
          <w:color w:val="auto"/>
        </w:rPr>
        <w:t>. See §4.5(b)(v).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See §7.4(c).</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u w:val="single" w:color="auto"/>
          <w:color w:val="auto"/>
        </w:rPr>
        <w:t>Consolidated or consolidated</w:t>
      </w:r>
      <w:r>
        <w:rPr>
          <w:rFonts w:ascii="Arial" w:cs="Arial" w:eastAsia="Arial" w:hAnsi="Arial"/>
          <w:sz w:val="18"/>
          <w:szCs w:val="18"/>
          <w:color w:val="auto"/>
        </w:rPr>
        <w:t>. With reference to any term defined herein, shall mean that term as applied to the accounts of the Borrower, its Subsidiaries and all variable interest entities consolidated in accordance with GAAP.</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Consolidated Earnings Before Interest and Taxes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EBIT</w:t>
      </w:r>
      <w:r>
        <w:rPr>
          <w:rFonts w:ascii="Arial" w:cs="Arial" w:eastAsia="Arial" w:hAnsi="Arial"/>
          <w:sz w:val="18"/>
          <w:szCs w:val="18"/>
          <w:color w:val="auto"/>
        </w:rPr>
        <w:t xml:space="preserve">. For any period, the Consolidated Net Income (or Deficit) of the Borrower on a consolidated basis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without duplication, the sum of (1) interest expense, (2) equity in losses (earnings) of unconsolidated entities, (3) income taxes, (4) non-cash writedowns or write-offs of assets, including non-cash losses on the sale of assets outside the ordinary course of business and (5) 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280" w:right="299" w:bottom="1440" w:gutter="0" w:footer="0" w:header="0"/>
        </w:sectPr>
      </w:pPr>
    </w:p>
    <w:bookmarkStart w:id="20" w:name="page21"/>
    <w:bookmarkEnd w:id="20"/>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the Compliance Certificate for such period, all to the extent that each of items (1) through (4) was deducted in determining Consolidated Net Income (or Deficit) in the relevant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non-cash extraordinary gains on the sale of assets outside the ordinary course of business to the extent included in Consolidated Net Income (or Deficit).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Consolidated Earnings Before Interest, Taxes, Depreciation and Amortization or EBITDA</w:t>
      </w:r>
      <w:r>
        <w:rPr>
          <w:rFonts w:ascii="Arial" w:cs="Arial" w:eastAsia="Arial" w:hAnsi="Arial"/>
          <w:sz w:val="16"/>
          <w:szCs w:val="16"/>
          <w:color w:val="auto"/>
        </w:rPr>
        <w:t xml:space="preserve">. For any period, EBIT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depreciation expense, and</w:t>
      </w:r>
    </w:p>
    <w:p>
      <w:pPr>
        <w:spacing w:after="0" w:line="38" w:lineRule="exact"/>
        <w:rPr>
          <w:sz w:val="20"/>
          <w:szCs w:val="20"/>
          <w:color w:val="auto"/>
        </w:rPr>
      </w:pPr>
    </w:p>
    <w:p>
      <w:pPr>
        <w:ind w:right="46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expense to the extent the same would be included in the calculation of Consolidated Net Income (or Deficit) for such period, determined in accordance with GAAP.</w:t>
      </w:r>
    </w:p>
    <w:p>
      <w:pPr>
        <w:spacing w:after="0" w:line="13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u w:val="single" w:color="auto"/>
          <w:color w:val="auto"/>
        </w:rPr>
        <w:t>Consolidated Net Income (or Deficit)</w:t>
      </w:r>
      <w:r>
        <w:rPr>
          <w:rFonts w:ascii="Arial" w:cs="Arial" w:eastAsia="Arial" w:hAnsi="Arial"/>
          <w:sz w:val="18"/>
          <w:szCs w:val="18"/>
          <w:color w:val="auto"/>
        </w:rPr>
        <w:t>. The consolidated net income (or deficit) of the Borrower, after deduction of all expenses, taxes, and other proper charges, determined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Tangible Assets</w:t>
      </w:r>
      <w:r>
        <w:rPr>
          <w:rFonts w:ascii="Arial" w:cs="Arial" w:eastAsia="Arial" w:hAnsi="Arial"/>
          <w:sz w:val="18"/>
          <w:szCs w:val="18"/>
          <w:color w:val="auto"/>
        </w:rPr>
        <w:t>. Consolidated Total Assets less the sum of:</w:t>
      </w:r>
    </w:p>
    <w:p>
      <w:pPr>
        <w:spacing w:after="0" w:line="90" w:lineRule="exact"/>
        <w:rPr>
          <w:sz w:val="20"/>
          <w:szCs w:val="20"/>
          <w:color w:val="auto"/>
        </w:rPr>
      </w:pPr>
    </w:p>
    <w:p>
      <w:pPr>
        <w:ind w:left="460" w:right="180" w:firstLine="443"/>
        <w:spacing w:after="0" w:line="259"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8"/>
          <w:szCs w:val="18"/>
          <w:u w:val="single" w:color="auto"/>
          <w:color w:val="auto"/>
        </w:rPr>
        <w:t>plus</w:t>
      </w:r>
    </w:p>
    <w:p>
      <w:pPr>
        <w:spacing w:after="0" w:line="59"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amounts representing any write-up in the book value of any assets of the Borrower on a consolidated basis resulting from a revaluation thereof subsequent to the Balance Sheet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All assets of the Borrower determined on a consolidated basis in accordance with GAAP.</w:t>
      </w:r>
    </w:p>
    <w:p>
      <w:pPr>
        <w:spacing w:after="0" w:line="171"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u w:val="single" w:color="auto"/>
          <w:color w:val="auto"/>
        </w:rPr>
        <w:t>Consolidated Total Interest Expense</w:t>
      </w:r>
      <w:r>
        <w:rPr>
          <w:rFonts w:ascii="Arial" w:cs="Arial" w:eastAsia="Arial" w:hAnsi="Arial"/>
          <w:sz w:val="15"/>
          <w:szCs w:val="15"/>
          <w:color w:val="auto"/>
        </w:rPr>
        <w:t>.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 the amortization of debt discounts and the amortization of fees payable in connection with the incurrence of Indebtedness.</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Defaulting Bank</w:t>
      </w:r>
      <w:r>
        <w:rPr>
          <w:rFonts w:ascii="Arial" w:cs="Arial" w:eastAsia="Arial" w:hAnsi="Arial"/>
          <w:sz w:val="16"/>
          <w:szCs w:val="16"/>
          <w:color w:val="auto"/>
        </w:rPr>
        <w:t>. Subject to §5.14,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Borrower in writing that such failure is the result of such Bank’s determination that one or more conditions precedent to funding (each of which conditions precedent, together with any applicable default, shall be specifically identified in such writing) has not been satisfied, or (ii) pay to Administrative Agent, any Issuing Bank, the Swing Line Bank or any other Bank any other amount required to be paid by it hereunder (including in respect of its participation in Letters of Credit or Swing Line Loans) within three Business Days of the date when due, (b) has notified the Borrower, the Administrative Agent or any Bank that it does not intend to comply with its funding obligations or has made a public statement to that effect with respect to its funding obligations hereunder or under other agreements generally in which it commits to extend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280" w:right="239" w:bottom="1440" w:gutter="0" w:footer="0" w:header="0"/>
        </w:sectPr>
      </w:pPr>
    </w:p>
    <w:bookmarkStart w:id="21" w:name="page22"/>
    <w:bookmarkEnd w:id="21"/>
    <w:p>
      <w:pPr>
        <w:ind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(unless such writing or public statement relates to such Bank’s obligation to fund a Loan hereunder and states that such position is based on such Bank’s determination that a condition 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w:t>
      </w:r>
    </w:p>
    <w:p>
      <w:pPr>
        <w:spacing w:after="0" w:line="3" w:lineRule="exact"/>
        <w:rPr>
          <w:sz w:val="20"/>
          <w:szCs w:val="20"/>
          <w:color w:val="auto"/>
        </w:rPr>
      </w:pPr>
    </w:p>
    <w:p>
      <w:pPr>
        <w:ind w:right="60" w:firstLine="8"/>
        <w:spacing w:after="0" w:line="281" w:lineRule="auto"/>
        <w:tabs>
          <w:tab w:leader="none" w:pos="239"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receipt of such written confirmation by the Administrative Agent), or (d) has, or has a direct or indirect parent company that has, (i) become the subject of a proceeding under any bankruptcy, reorganization, arrangement, insolvency, readjustment of debt, dissolution or liquidation or similar law of any jurisdiction,</w:t>
      </w:r>
    </w:p>
    <w:p>
      <w:pPr>
        <w:spacing w:after="0" w:line="1" w:lineRule="exact"/>
        <w:rPr>
          <w:rFonts w:ascii="Arial" w:cs="Arial" w:eastAsia="Arial" w:hAnsi="Arial"/>
          <w:sz w:val="16"/>
          <w:szCs w:val="16"/>
          <w:color w:val="auto"/>
        </w:rPr>
      </w:pPr>
    </w:p>
    <w:p>
      <w:pPr>
        <w:ind w:right="80" w:firstLine="8"/>
        <w:spacing w:after="0" w:line="286"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and of the effective date of such status, shall be conclusive and binding absent manifest error, and such Bank shall be deemed to be a Defaulting Bank (subject to §5.14) as of the date established therefor by the Administrative Agent in a written notice of such determination, which shall be delivered by the Administrative Agent to the Borrower, each Issuing Bank, the Swing Line Bank and each Bank promptly following such determination.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Defaults</w:t>
      </w:r>
      <w:r>
        <w:rPr>
          <w:rFonts w:ascii="Arial" w:cs="Arial" w:eastAsia="Arial" w:hAnsi="Arial"/>
          <w:sz w:val="18"/>
          <w:szCs w:val="18"/>
          <w:color w:val="auto"/>
        </w:rPr>
        <w:t>. See §12.1.</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u w:val="single" w:color="auto"/>
          <w:color w:val="auto"/>
        </w:rPr>
        <w:t>Disclosure Documents</w:t>
      </w:r>
      <w:r>
        <w:rPr>
          <w:rFonts w:ascii="Arial" w:cs="Arial" w:eastAsia="Arial" w:hAnsi="Arial"/>
          <w:sz w:val="18"/>
          <w:szCs w:val="18"/>
          <w:color w:val="auto"/>
        </w:rPr>
        <w:t>. The Borrower’s financial statements referred to in §6.4 and filings made by the Borrower or the Guarantor with the Securities and Exchange Commission that were publicly available prior to the Effective Date which were provided to the Banks.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Disposal or Disposed</w:t>
      </w:r>
      <w:r>
        <w:rPr>
          <w:rFonts w:ascii="Arial" w:cs="Arial" w:eastAsia="Arial" w:hAnsi="Arial"/>
          <w:sz w:val="18"/>
          <w:szCs w:val="18"/>
          <w:color w:val="auto"/>
        </w:rPr>
        <w:t>. See “Release”.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u w:val="single" w:color="auto"/>
          <w:color w:val="auto"/>
        </w:rPr>
        <w:t>Distribution</w:t>
      </w:r>
      <w:r>
        <w:rPr>
          <w:rFonts w:ascii="Arial" w:cs="Arial" w:eastAsia="Arial" w:hAnsi="Arial"/>
          <w:sz w:val="18"/>
          <w:szCs w:val="18"/>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Dollars or US$ or $ or U.S. Dollars</w:t>
      </w:r>
      <w:r>
        <w:rPr>
          <w:rFonts w:ascii="Arial" w:cs="Arial" w:eastAsia="Arial" w:hAnsi="Arial"/>
          <w:sz w:val="18"/>
          <w:szCs w:val="18"/>
          <w:color w:val="auto"/>
        </w:rPr>
        <w:t>. The lawful currency of the United States of America.</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0" w:right="259" w:bottom="1440" w:gutter="0" w:footer="0" w:header="0"/>
        </w:sectPr>
      </w:pPr>
    </w:p>
    <w:bookmarkStart w:id="22" w:name="page23"/>
    <w:bookmarkEnd w:id="22"/>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Drawdown Date</w:t>
      </w:r>
      <w:r>
        <w:rPr>
          <w:rFonts w:ascii="Arial" w:cs="Arial" w:eastAsia="Arial" w:hAnsi="Arial"/>
          <w:sz w:val="16"/>
          <w:szCs w:val="16"/>
          <w:color w:val="auto"/>
        </w:rPr>
        <w:t>. The date on which any Loan is made or is to be made, or any amount is paid by an Issuing Bank under a Letter of Credit.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EBIT</w:t>
      </w:r>
      <w:r>
        <w:rPr>
          <w:rFonts w:ascii="Arial" w:cs="Arial" w:eastAsia="Arial" w:hAnsi="Arial"/>
          <w:sz w:val="18"/>
          <w:szCs w:val="18"/>
          <w:color w:val="auto"/>
        </w:rPr>
        <w:t>. See definition of Consolidated Earnings Before Interest and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See definition of Consolidated Earnings Before Interest, Taxes, Depreciation and Amortization.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the conditions precedent set forth in §10.1 hereof are satisfied.</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u w:val="single" w:color="auto"/>
          <w:color w:val="auto"/>
        </w:rPr>
        <w:t>Employee Benefit Plan</w:t>
      </w:r>
      <w:r>
        <w:rPr>
          <w:rFonts w:ascii="Arial" w:cs="Arial" w:eastAsia="Arial" w:hAnsi="Arial"/>
          <w:sz w:val="18"/>
          <w:szCs w:val="18"/>
          <w:color w:val="auto"/>
        </w:rPr>
        <w:t>. Any employee benefit plan within the meaning of §3(3) of ERISA maintained or contributed to by the Borrower, any of its Subsidiaries, or any ERISA Affiliate, other than a Multiemployer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See §6.15(a).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EPA</w:t>
      </w:r>
      <w:r>
        <w:rPr>
          <w:rFonts w:ascii="Arial" w:cs="Arial" w:eastAsia="Arial" w:hAnsi="Arial"/>
          <w:sz w:val="18"/>
          <w:szCs w:val="18"/>
          <w:color w:val="auto"/>
        </w:rPr>
        <w:t>. See §6.15(b).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and in effect from time to time.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ERISA Affiliate</w:t>
      </w:r>
      <w:r>
        <w:rPr>
          <w:rFonts w:ascii="Arial" w:cs="Arial" w:eastAsia="Arial" w:hAnsi="Arial"/>
          <w:sz w:val="18"/>
          <w:szCs w:val="18"/>
          <w:color w:val="auto"/>
        </w:rPr>
        <w:t>. Any Person which is treated as a single employer, member of a controlled group, or under common control with the Borrower or any of its Subsidiaries under §412, §414 or §430 of the Code.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ERISA Reportable Event</w:t>
      </w:r>
      <w:r>
        <w:rPr>
          <w:rFonts w:ascii="Arial" w:cs="Arial" w:eastAsia="Arial" w:hAnsi="Arial"/>
          <w:sz w:val="18"/>
          <w:szCs w:val="18"/>
          <w:color w:val="auto"/>
        </w:rPr>
        <w:t>. A reportable event within the meaning of §4043 of ERISA and the regulations promulgated thereunder with respect to a Guaranteed Pension Plan as to which the requirement of notice has not been waived.</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u w:val="single" w:color="auto"/>
          <w:color w:val="auto"/>
        </w:rPr>
        <w:t>Eurocurrency Reserve Rate</w:t>
      </w:r>
      <w:r>
        <w:rPr>
          <w:rFonts w:ascii="Arial" w:cs="Arial" w:eastAsia="Arial" w:hAnsi="Arial"/>
          <w:sz w:val="18"/>
          <w:szCs w:val="18"/>
          <w:color w:val="auto"/>
        </w:rPr>
        <w:t>. For any day with respect to a Eurodollar Loan, or Base Rate Loan the interest rate on which is determined by reference to the Eurodollar Rate component of the Base Rate, the reserve percentage (expressed as a decimal, carried out to five decimal places) in effect on such day, whether or not applicable to any Bank,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Loan, and Base Rate Loan the interest rate on which is determined by reference to the Eurodollar Rate component of the Base Rate, shall be adjusted automatically as of the effective date of any change in the Eurocurrency Reserve Rate.</w:t>
      </w:r>
    </w:p>
    <w:p>
      <w:pPr>
        <w:spacing w:after="0" w:line="14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u w:val="single" w:color="auto"/>
          <w:color w:val="auto"/>
        </w:rPr>
        <w:t>Eurodollar Business Day</w:t>
      </w:r>
      <w:r>
        <w:rPr>
          <w:rFonts w:ascii="Arial" w:cs="Arial" w:eastAsia="Arial" w:hAnsi="Arial"/>
          <w:sz w:val="16"/>
          <w:szCs w:val="16"/>
          <w:color w:val="auto"/>
        </w:rPr>
        <w:t>.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20"/>
          </w:cols>
          <w:pgMar w:left="240" w:top="280" w:right="339" w:bottom="1440" w:gutter="0" w:footer="0" w:header="0"/>
        </w:sectPr>
      </w:pPr>
    </w:p>
    <w:bookmarkStart w:id="23" w:name="page24"/>
    <w:bookmarkEnd w:id="23"/>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Eurodollar Competitive Bid Loans</w:t>
      </w:r>
      <w:r>
        <w:rPr>
          <w:rFonts w:ascii="Arial" w:cs="Arial" w:eastAsia="Arial" w:hAnsi="Arial"/>
          <w:sz w:val="16"/>
          <w:szCs w:val="16"/>
          <w:color w:val="auto"/>
        </w:rPr>
        <w:t>. Competitive Bid Loans bearing interest calculated by reference to the Eurodollar Rate in accordance with §4.5(b)(iv).</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Eurodollar Loans</w:t>
      </w:r>
      <w:r>
        <w:rPr>
          <w:rFonts w:ascii="Arial" w:cs="Arial" w:eastAsia="Arial" w:hAnsi="Arial"/>
          <w:sz w:val="18"/>
          <w:szCs w:val="18"/>
          <w:color w:val="auto"/>
        </w:rPr>
        <w:t>. Syndicated Loans bearing interest calculated by reference to clause (a) of the definition of Eurodollar Rate.</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u w:val="single" w:color="auto"/>
          <w:color w:val="auto"/>
        </w:rPr>
        <w:t>Eurodollar Rate</w:t>
      </w:r>
      <w:r>
        <w:rPr>
          <w:rFonts w:ascii="Arial" w:cs="Arial" w:eastAsia="Arial" w:hAnsi="Arial"/>
          <w:sz w:val="16"/>
          <w:szCs w:val="16"/>
          <w:color w:val="auto"/>
        </w:rPr>
        <w:t xml:space="preserve">. (a) For any Interest Period with respect to a Eurodollar Loan, the rate per annum equal to the London Interbank Offered Rate (“LIBOR”) or a comparable or successor rate, which rate is approved by the Administrative Agent, as published on the applicable Reuters screen page (or such other commercially available source providing such quotations as may be designated by the Administrative Agent from time to time) at approximately 11:00 a.m., London time, two Eurodollar Business Days prior to the commencement of such Interest Period, for Dollar deposits (for delivery on the first day of such Interest Period) with a term equivalent to such Interest Period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a number equal to 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Eurocurrency Reserve Rate, if applicable; and</w:t>
      </w:r>
    </w:p>
    <w:p>
      <w:pPr>
        <w:spacing w:after="0" w:line="35" w:lineRule="exact"/>
        <w:rPr>
          <w:sz w:val="20"/>
          <w:szCs w:val="20"/>
          <w:color w:val="auto"/>
        </w:rPr>
      </w:pPr>
    </w:p>
    <w:p>
      <w:pPr>
        <w:ind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any interest calculation with respect to a Base Rate Loan on any date, the rate per annum equal to LIBOR, at approximately 11:00 a.m., London time determined two Eurodollar Business Days prior to such date for Dollar deposits being delivered in the London interbank market for a term of one month commencing that day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a number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Eurocurrency Reserve Rate, if applicable;</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 comparable or successor rate is approved by the Administrative Agent in connection herewith, the approved rate shall be applied to the applicable Interest Period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such market practice is not administratively feasible for the Administrative Agent, such approved rate shall be applied to the applicable Interest Period as otherwise reasonably determined by the Administrative Agent. The Administrative Agent does not warrant, nor accept responsibility, nor shall it have any liability with respect to the administration, submission or any other matter related to LIBOR or any comparable or successor rate referenced in this definition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See §12.1.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See Recital A in the Preamble.</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Those Letters of Credit that were issued under the Existing Credit Agreement and are outstanding as of the date hereof, and which are identified in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See §2.2.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FASB ASC</w:t>
      </w:r>
      <w:r>
        <w:rPr>
          <w:rFonts w:ascii="Arial" w:cs="Arial" w:eastAsia="Arial" w:hAnsi="Arial"/>
          <w:sz w:val="18"/>
          <w:szCs w:val="18"/>
          <w:color w:val="auto"/>
        </w:rPr>
        <w:t>. The Accounting Standards Codification of the Financial Accounting Standards Board.</w:t>
      </w:r>
    </w:p>
    <w:p>
      <w:pPr>
        <w:spacing w:after="0" w:line="171"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u w:val="single" w:color="auto"/>
          <w:color w:val="auto"/>
        </w:rPr>
        <w:t>FATCA</w:t>
      </w:r>
      <w:r>
        <w:rPr>
          <w:rFonts w:ascii="Arial" w:cs="Arial" w:eastAsia="Arial" w:hAnsi="Arial"/>
          <w:sz w:val="15"/>
          <w:szCs w:val="15"/>
          <w:color w:val="auto"/>
        </w:rPr>
        <w:t>.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§1471(b)</w:t>
      </w:r>
    </w:p>
    <w:p>
      <w:pPr>
        <w:spacing w:after="0"/>
        <w:rPr>
          <w:sz w:val="20"/>
          <w:szCs w:val="20"/>
          <w:color w:val="auto"/>
        </w:rPr>
      </w:pPr>
      <w:r>
        <w:rPr>
          <w:rFonts w:ascii="Arial" w:cs="Arial" w:eastAsia="Arial" w:hAnsi="Arial"/>
          <w:sz w:val="18"/>
          <w:szCs w:val="18"/>
          <w:color w:val="auto"/>
        </w:rPr>
        <w:t>(1) of the Code.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24" w:name="page25"/>
    <w:bookmarkEnd w:id="24"/>
    <w:p>
      <w:pPr>
        <w:ind w:firstLine="456"/>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Funds Rate</w:t>
      </w:r>
      <w:r>
        <w:rPr>
          <w:rFonts w:ascii="Arial" w:cs="Arial" w:eastAsia="Arial" w:hAnsi="Arial"/>
          <w:sz w:val="16"/>
          <w:szCs w:val="16"/>
          <w:color w:val="auto"/>
        </w:rPr>
        <w:t xml:space="preserve">. For any day, the rate per annum (rounded upward, if necessary, to a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u w:val="single" w:color="auto"/>
          <w:color w:val="auto"/>
        </w:rPr>
        <w:t>Financial Affiliate</w:t>
      </w:r>
      <w:r>
        <w:rPr>
          <w:rFonts w:ascii="Arial" w:cs="Arial" w:eastAsia="Arial" w:hAnsi="Arial"/>
          <w:sz w:val="18"/>
          <w:szCs w:val="18"/>
          <w:color w:val="auto"/>
        </w:rPr>
        <w:t>. A subsidiary of the bank holding company controlling any Bank, which subsidiary is engaging in any of the activities permitted by §4(e) of the Bank Holding Company Act of 1956 (12 U.S.C. §1843).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Fronting Fee</w:t>
      </w:r>
      <w:r>
        <w:rPr>
          <w:rFonts w:ascii="Arial" w:cs="Arial" w:eastAsia="Arial" w:hAnsi="Arial"/>
          <w:sz w:val="18"/>
          <w:szCs w:val="18"/>
          <w:color w:val="auto"/>
        </w:rPr>
        <w:t>. See §3.6.</w:t>
      </w:r>
    </w:p>
    <w:p>
      <w:pPr>
        <w:spacing w:after="0" w:line="17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u w:val="single" w:color="auto"/>
          <w:color w:val="auto"/>
        </w:rPr>
        <w:t>Generally accepted accounting principles</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GAAP</w:t>
      </w:r>
      <w:r>
        <w:rPr>
          <w:rFonts w:ascii="Arial" w:cs="Arial" w:eastAsia="Arial" w:hAnsi="Arial"/>
          <w:sz w:val="16"/>
          <w:szCs w:val="16"/>
          <w:color w:val="auto"/>
        </w:rPr>
        <w:t>. When used in this Agreement, whether directly or indirectly through reference to a capitalized term used therein, means principles that are consistent with the principles promulgated or adopted by the Financial Accounting Standards Board and its predecessors as in effect from time to time, except as otherwise specifically prescribed herein. If any “Accounting Change” (as defined below) occurs subsequent to the Effective Date, such change results in a material change in the method of calculation of financial covenants, standards or terms in this Agreement or any other Loan Document and any of the Borrower, the Administrative Agent or the Majority Banks shall so request, then (A) the Borrower, the Banks and the Administrative Agent agree to enter into negotiations in good faith in order to amend such provisions of this Agreement or such other Loan Document so as to reflect equitably such Accounting Changes with the desired result that the criteria for evaluating the Borrower’s financial condition shall be the same after such Accounting Changes as if such Accounting Changes had not been made (subject to the approval of the Majority Banks), and (B) until such time as such an amendment shall have been executed and delivered by the Borrower, the Administrative Agent and the Majority Banks, (i) the financial covenants, standards and terms in this Agreement and the other Loan Documents impacted by such material change shall continue to be calculated or construed as if such Accounting Changes had not occurred and (ii) the Borrower shall provide to the Administrative Agent and the Banks a reconciliation between the calculation of such impacted covenants, standards and terms before and after giving effect to such Accounting Changes. “</w:t>
      </w:r>
      <w:r>
        <w:rPr>
          <w:rFonts w:ascii="Arial" w:cs="Arial" w:eastAsia="Arial" w:hAnsi="Arial"/>
          <w:sz w:val="16"/>
          <w:szCs w:val="16"/>
          <w:u w:val="single" w:color="auto"/>
          <w:color w:val="auto"/>
        </w:rPr>
        <w:t>Accounting Changes</w:t>
      </w:r>
      <w:r>
        <w:rPr>
          <w:rFonts w:ascii="Arial" w:cs="Arial" w:eastAsia="Arial" w:hAnsi="Arial"/>
          <w:sz w:val="16"/>
          <w:szCs w:val="16"/>
          <w:color w:val="auto"/>
        </w:rPr>
        <w:t>” refers to changes in accounting principles required by the promulgation of any rule, regulation, pronouncement or opinion by the Financial Accounting Standards Board of the American Institute of Certified Public Accountants or, if applicable, the Securities and Exchange Commission.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Guaranteed Obligations</w:t>
      </w:r>
      <w:r>
        <w:rPr>
          <w:rFonts w:ascii="Arial" w:cs="Arial" w:eastAsia="Arial" w:hAnsi="Arial"/>
          <w:sz w:val="18"/>
          <w:szCs w:val="18"/>
          <w:color w:val="auto"/>
        </w:rPr>
        <w:t>. See §28.1.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25" w:name="page26"/>
    <w:bookmarkEnd w:id="25"/>
    <w:p>
      <w:pPr>
        <w:ind w:right="20" w:firstLine="456"/>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Guaranteed Pension Plan</w:t>
      </w:r>
      <w:r>
        <w:rPr>
          <w:rFonts w:ascii="Arial" w:cs="Arial" w:eastAsia="Arial" w:hAnsi="Arial"/>
          <w:sz w:val="16"/>
          <w:szCs w:val="16"/>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Guarantor</w:t>
      </w:r>
      <w:r>
        <w:rPr>
          <w:rFonts w:ascii="Arial" w:cs="Arial" w:eastAsia="Arial" w:hAnsi="Arial"/>
          <w:sz w:val="18"/>
          <w:szCs w:val="18"/>
          <w:color w:val="auto"/>
        </w:rPr>
        <w:t>. See Preamble.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u w:val="single" w:color="auto"/>
          <w:color w:val="auto"/>
        </w:rPr>
        <w:t>Guaranty</w:t>
      </w:r>
      <w:r>
        <w:rPr>
          <w:rFonts w:ascii="Arial" w:cs="Arial" w:eastAsia="Arial" w:hAnsi="Arial"/>
          <w:sz w:val="16"/>
          <w:szCs w:val="16"/>
          <w:color w:val="auto"/>
        </w:rPr>
        <w:t>. Any obligation, contingent or otherwise, of a Person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Guaranty shall not include endorsements for collection or deposit in the ordinary course of business.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Hazardous Substances</w:t>
      </w:r>
      <w:r>
        <w:rPr>
          <w:rFonts w:ascii="Arial" w:cs="Arial" w:eastAsia="Arial" w:hAnsi="Arial"/>
          <w:sz w:val="18"/>
          <w:szCs w:val="18"/>
          <w:color w:val="auto"/>
        </w:rPr>
        <w:t>. See §6.15(b).</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280" w:right="239" w:bottom="1440" w:gutter="0" w:footer="0" w:header="0"/>
        </w:sectPr>
      </w:pPr>
    </w:p>
    <w:bookmarkStart w:id="26" w:name="page27"/>
    <w:bookmarkEnd w:id="26"/>
    <w:p>
      <w:pPr>
        <w:ind w:right="20" w:firstLine="456"/>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Period</w:t>
      </w:r>
      <w:r>
        <w:rPr>
          <w:rFonts w:ascii="Arial" w:cs="Arial" w:eastAsia="Arial" w:hAnsi="Arial"/>
          <w:sz w:val="16"/>
          <w:szCs w:val="16"/>
          <w:color w:val="auto"/>
        </w:rPr>
        <w:t xml:space="preserve">. With respect to each Loan (a) initially, the period commencing on the Drawdown Date of such Loan and ending on the last day of one of the periods set forth below, as selected by the Borrower in accordance with this Agreement (i) for any Eurodollar Loan, 1, 2, 3, or 6 months (in each case subject to availability); (ii) for any Absolute Competitive Bid Loan, from 7 through 180 days; and (iii) for any Eurodollar Competitive Bid Loan, 1, 2, 3 or 6 months (in each case subject to availability);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Interest Period which would otherwise end on a day which is not a Business Day shall be deemed to end on the next succeeding Business Day;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any Interest Period for any Eurodollar Loan or Eurodollar Competitive Bid Loan, if such next succeeding Business Day falls in the next succeeding calendar month, such Interest Period shall be deemed to end on the next preceding Business Day;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Interest Period shall extend beyond the Maturity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Interim Balance Sheet Date</w:t>
      </w:r>
      <w:r>
        <w:rPr>
          <w:rFonts w:ascii="Arial" w:cs="Arial" w:eastAsia="Arial" w:hAnsi="Arial"/>
          <w:sz w:val="18"/>
          <w:szCs w:val="18"/>
          <w:color w:val="auto"/>
        </w:rPr>
        <w:t>. March 31, 2013.</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Guaranties with respect to Indebtedness of any Subsidiary or variable interest entities consolidated in accordance with FASB ASC 810).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2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ISP</w:t>
      </w:r>
      <w:r>
        <w:rPr>
          <w:rFonts w:ascii="Arial" w:cs="Arial" w:eastAsia="Arial" w:hAnsi="Arial"/>
          <w:sz w:val="18"/>
          <w:szCs w:val="18"/>
          <w:color w:val="auto"/>
        </w:rPr>
        <w: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Issuing Banks</w:t>
      </w:r>
      <w:r>
        <w:rPr>
          <w:rFonts w:ascii="Arial" w:cs="Arial" w:eastAsia="Arial" w:hAnsi="Arial"/>
          <w:sz w:val="16"/>
          <w:szCs w:val="16"/>
          <w:color w:val="auto"/>
        </w:rPr>
        <w:t xml:space="preserve">. (i) the Banks listed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hereto and (ii) any other Bank that agrees (in its sole discretion) to act as Issuing Bank pursuant to an instrument in writing in form and substance satisfactory to such Bank, the Borrower and the Administrative Agent and signed by them (which instrument shall set forth the maximum aggregate face amount of all Letters of Credit of such Issuing Bank and shall, as to such maximum amount, automatically be deemed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280" w:right="259" w:bottom="1440" w:gutter="0" w:footer="0" w:header="0"/>
        </w:sectPr>
      </w:pPr>
    </w:p>
    <w:bookmarkStart w:id="27" w:name="page28"/>
    <w:bookmarkEnd w:id="27"/>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supplement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any Existing Letter of Credit that was issued through a Bank Affiliate of an Issuing Bank, such Letter of Credit shall be deemed for purposes of §3.1(a) to have been issued by such Issuing Bank and the provisions of §3.1(g) shall apply.</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Lead Arrangers</w:t>
      </w:r>
      <w:r>
        <w:rPr>
          <w:rFonts w:ascii="Arial" w:cs="Arial" w:eastAsia="Arial" w:hAnsi="Arial"/>
          <w:sz w:val="18"/>
          <w:szCs w:val="18"/>
          <w:color w:val="auto"/>
        </w:rPr>
        <w:t>. J.P. Morgan Securities LLC, Merrill Lynch, Pierce, Fenner &amp; Smith Incorporated and Barclays Bank PLC, as Lead Arrangers and Joint Bookrunners in connection with the credit facility provided herein.</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u w:val="single" w:color="auto"/>
          <w:color w:val="auto"/>
        </w:rPr>
        <w:t>Letter of Credit Applications</w:t>
      </w:r>
      <w:r>
        <w:rPr>
          <w:rFonts w:ascii="Arial" w:cs="Arial" w:eastAsia="Arial" w:hAnsi="Arial"/>
          <w:sz w:val="18"/>
          <w:szCs w:val="18"/>
          <w:color w:val="auto"/>
        </w:rPr>
        <w:t xml:space="preserve">. Letter of credit applications in such form or forms as may be agreed upon by the Borrower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any conflict or inconsistency between the terms of any Letter of Credit Application and this Agreement, the terms of this Agreement shall control.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Fee</w:t>
      </w:r>
      <w:r>
        <w:rPr>
          <w:rFonts w:ascii="Arial" w:cs="Arial" w:eastAsia="Arial" w:hAnsi="Arial"/>
          <w:sz w:val="18"/>
          <w:szCs w:val="18"/>
          <w:color w:val="auto"/>
        </w:rPr>
        <w:t>. See §3.6.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Participation</w:t>
      </w:r>
      <w:r>
        <w:rPr>
          <w:rFonts w:ascii="Arial" w:cs="Arial" w:eastAsia="Arial" w:hAnsi="Arial"/>
          <w:sz w:val="18"/>
          <w:szCs w:val="18"/>
          <w:color w:val="auto"/>
        </w:rPr>
        <w:t>. See §3.1(c).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Letter of Credit Request</w:t>
      </w:r>
      <w:r>
        <w:rPr>
          <w:rFonts w:ascii="Arial" w:cs="Arial" w:eastAsia="Arial" w:hAnsi="Arial"/>
          <w:sz w:val="18"/>
          <w:szCs w:val="18"/>
          <w:color w:val="auto"/>
        </w:rPr>
        <w:t>. See §3.1(a).</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Letters of credit issued or to be issued by the Issuing Banks under §3 hereof for the account of the Borrower (including without limitation any Canadian Dollar Letters of Credit), and the Existing Letters of Credit.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LIBOR</w:t>
      </w:r>
      <w:r>
        <w:rPr>
          <w:rFonts w:ascii="Arial" w:cs="Arial" w:eastAsia="Arial" w:hAnsi="Arial"/>
          <w:sz w:val="18"/>
          <w:szCs w:val="18"/>
          <w:color w:val="auto"/>
        </w:rPr>
        <w:t>. See the definition of Eurodollar Rate.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u w:val="single" w:color="auto"/>
          <w:color w:val="auto"/>
        </w:rPr>
        <w:t>Lien</w:t>
      </w:r>
      <w:r>
        <w:rPr>
          <w:rFonts w:ascii="Arial" w:cs="Arial" w:eastAsia="Arial" w:hAnsi="Arial"/>
          <w:sz w:val="16"/>
          <w:szCs w:val="16"/>
          <w:color w:val="auto"/>
        </w:rPr>
        <w:t>.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This Agreement, the Letter of Credit Applications, the Letters of Credit and any documents, instruments or agreements executed in connection with any of the foregoing, each as amended, modified, supplemented, or replaced from time to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Collectively, the Syndicated Loans, the Swing Line Loans and the Competitive Bid Loans.</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Majority Banks</w:t>
      </w:r>
      <w:r>
        <w:rPr>
          <w:rFonts w:ascii="Arial" w:cs="Arial" w:eastAsia="Arial" w:hAnsi="Arial"/>
          <w:sz w:val="16"/>
          <w:szCs w:val="16"/>
          <w:color w:val="auto"/>
        </w:rPr>
        <w:t xml:space="preserve">. At any date, Banks the aggregate amount of whose Commitments is greater than fifty percent (50%) of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Commitment of, and the portion of the outstanding principal amount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80"/>
          </w:cols>
          <w:pgMar w:left="240" w:top="280" w:right="279" w:bottom="1440" w:gutter="0" w:footer="0" w:header="0"/>
        </w:sectPr>
      </w:pPr>
    </w:p>
    <w:bookmarkStart w:id="28" w:name="page29"/>
    <w:bookmarkEnd w:id="28"/>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Obligations held or deemed held by, any Defaulting Bank shall be excluded for purposes of making a determination of Majority Banks and (ii) the amount of any risk participation in any Swing Line Loan or Letter of Credit Participation that such Defaulting Bank has failed to fund that has not been reallocated to and funded by another Bank shall be deemed to be held by the Bank that is the Swing Line Bank or applicable Issuing Bank, as the case may be, in making such determination.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Maturity Date</w:t>
      </w:r>
      <w:r>
        <w:rPr>
          <w:rFonts w:ascii="Arial" w:cs="Arial" w:eastAsia="Arial" w:hAnsi="Arial"/>
          <w:sz w:val="18"/>
          <w:szCs w:val="18"/>
          <w:color w:val="auto"/>
        </w:rPr>
        <w:t>. July 26, 2018.</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u w:val="single" w:color="auto"/>
          <w:color w:val="auto"/>
        </w:rPr>
        <w:t>Maximum Drawing Amount</w:t>
      </w:r>
      <w:r>
        <w:rPr>
          <w:rFonts w:ascii="Arial" w:cs="Arial" w:eastAsia="Arial" w:hAnsi="Arial"/>
          <w:sz w:val="16"/>
          <w:szCs w:val="16"/>
          <w:color w:val="auto"/>
        </w:rPr>
        <w:t xml:space="preserve">.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 amounts outstanding including under §§2.1(a), 2.2, 2.3.1(a), 2.6(a), 3.2(b), 4.1, 5.2 and 12.1,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17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u w:val="single" w:color="auto"/>
          <w:color w:val="auto"/>
        </w:rPr>
        <w:t>Multiemployer Plan</w:t>
      </w:r>
      <w:r>
        <w:rPr>
          <w:rFonts w:ascii="Arial" w:cs="Arial" w:eastAsia="Arial" w:hAnsi="Arial"/>
          <w:sz w:val="18"/>
          <w:szCs w:val="18"/>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New Lending Office</w:t>
      </w:r>
      <w:r>
        <w:rPr>
          <w:rFonts w:ascii="Arial" w:cs="Arial" w:eastAsia="Arial" w:hAnsi="Arial"/>
          <w:sz w:val="18"/>
          <w:szCs w:val="18"/>
          <w:color w:val="auto"/>
        </w:rPr>
        <w:t>. See §5.1(d).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Non-U.S. Bank</w:t>
      </w:r>
      <w:r>
        <w:rPr>
          <w:rFonts w:ascii="Arial" w:cs="Arial" w:eastAsia="Arial" w:hAnsi="Arial"/>
          <w:sz w:val="18"/>
          <w:szCs w:val="18"/>
          <w:color w:val="auto"/>
        </w:rPr>
        <w:t>. See §5.1(c).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Any promissory note issued according to §2.4(e).</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u w:val="single" w:color="auto"/>
          <w:color w:val="auto"/>
        </w:rPr>
        <w:t>Obligations</w:t>
      </w:r>
      <w:r>
        <w:rPr>
          <w:rFonts w:ascii="Arial" w:cs="Arial" w:eastAsia="Arial" w:hAnsi="Arial"/>
          <w:sz w:val="16"/>
          <w:szCs w:val="16"/>
          <w:color w:val="auto"/>
        </w:rPr>
        <w:t>. All indebtedness, obligations and liabilities of the Borrower to any of the Banks and the Administrative Agent arising or incurred under this Agreement or any of the other Loan Documents or in respect of any of the Loans made or Reimbursement Obligations incurred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280" w:right="239" w:bottom="1440" w:gutter="0" w:footer="0" w:header="0"/>
        </w:sectPr>
      </w:pPr>
    </w:p>
    <w:bookmarkStart w:id="29" w:name="page30"/>
    <w:bookmarkEnd w:id="29"/>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PBGC</w:t>
      </w:r>
      <w:r>
        <w:rPr>
          <w:rFonts w:ascii="Arial" w:cs="Arial" w:eastAsia="Arial" w:hAnsi="Arial"/>
          <w:sz w:val="16"/>
          <w:szCs w:val="16"/>
          <w:color w:val="auto"/>
        </w:rPr>
        <w:t>. The Pension Benefit Guaranty Corporation created by §4002 of ERISA and any successor entity or entities having similar responsibilities.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Any of the following Liens:</w:t>
      </w:r>
    </w:p>
    <w:p>
      <w:pPr>
        <w:spacing w:after="0" w:line="90" w:lineRule="exact"/>
        <w:rPr>
          <w:sz w:val="20"/>
          <w:szCs w:val="20"/>
          <w:color w:val="auto"/>
        </w:rPr>
      </w:pPr>
    </w:p>
    <w:p>
      <w:pPr>
        <w:ind w:left="1140" w:hanging="237"/>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compliance with §7.8;</w:t>
      </w:r>
    </w:p>
    <w:p>
      <w:pPr>
        <w:spacing w:after="0" w:line="90" w:lineRule="exact"/>
        <w:rPr>
          <w:rFonts w:ascii="Arial" w:cs="Arial" w:eastAsia="Arial" w:hAnsi="Arial"/>
          <w:sz w:val="18"/>
          <w:szCs w:val="18"/>
          <w:color w:val="auto"/>
        </w:rPr>
      </w:pPr>
    </w:p>
    <w:p>
      <w:pPr>
        <w:ind w:left="460" w:right="220" w:firstLine="443"/>
        <w:spacing w:after="0" w:line="259"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workmen’s compensation, unemployment insurance and other social security laws or regulations;</w:t>
      </w:r>
    </w:p>
    <w:p>
      <w:pPr>
        <w:spacing w:after="0" w:line="50" w:lineRule="exact"/>
        <w:rPr>
          <w:rFonts w:ascii="Arial" w:cs="Arial" w:eastAsia="Arial" w:hAnsi="Arial"/>
          <w:sz w:val="18"/>
          <w:szCs w:val="18"/>
          <w:color w:val="auto"/>
        </w:rPr>
      </w:pPr>
    </w:p>
    <w:p>
      <w:pPr>
        <w:ind w:left="460" w:right="260" w:firstLine="443"/>
        <w:spacing w:after="0" w:line="259"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59"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59" w:lineRule="exact"/>
        <w:rPr>
          <w:rFonts w:ascii="Arial" w:cs="Arial" w:eastAsia="Arial" w:hAnsi="Arial"/>
          <w:sz w:val="18"/>
          <w:szCs w:val="18"/>
          <w:color w:val="auto"/>
        </w:rPr>
      </w:pPr>
    </w:p>
    <w:p>
      <w:pPr>
        <w:ind w:left="460" w:right="40" w:firstLine="443"/>
        <w:spacing w:after="0" w:line="294" w:lineRule="auto"/>
        <w:tabs>
          <w:tab w:leader="none" w:pos="1117"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Liens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securing the obligations listed on such Schedule and any replacement Lien securing any renewal, extension or refunding of such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that (i) the aggregate principal amount of obligations secured by any renewal, extension or refunding Lien permitted by this clause (f) shall not exceed the aggregate outstanding principal amount of the obligations secured by the Lien being replaced at the time of such renewal, extension or refunding (plus transaction costs, including premiums and fees, related thereto), and (ii) each replacement Lien shall be limited to substantially the same property that secured the Lien so replaced;</w:t>
      </w:r>
    </w:p>
    <w:p>
      <w:pPr>
        <w:spacing w:after="0" w:line="34"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00"/>
          </w:cols>
          <w:pgMar w:left="240" w:top="280" w:right="259" w:bottom="1440" w:gutter="0" w:footer="0" w:header="0"/>
        </w:sectPr>
      </w:pPr>
    </w:p>
    <w:bookmarkStart w:id="30" w:name="page31"/>
    <w:bookmarkEnd w:id="30"/>
    <w:p>
      <w:pPr>
        <w:ind w:left="460" w:right="60" w:firstLine="443"/>
        <w:spacing w:after="0" w:line="259"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obligations or duties affecting the property of the Borrower or any of its Subsidiaries to any municipality, governmental, statutory or public authority with respect to any franchise, grant, license or permit;</w:t>
      </w:r>
    </w:p>
    <w:p>
      <w:pPr>
        <w:spacing w:after="0" w:line="50" w:lineRule="exact"/>
        <w:rPr>
          <w:rFonts w:ascii="Arial" w:cs="Arial" w:eastAsia="Arial" w:hAnsi="Arial"/>
          <w:sz w:val="18"/>
          <w:szCs w:val="18"/>
          <w:color w:val="auto"/>
        </w:rPr>
      </w:pPr>
    </w:p>
    <w:p>
      <w:pPr>
        <w:ind w:left="460" w:right="460" w:firstLine="443"/>
        <w:spacing w:after="0" w:line="259"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third party has any rights with respect to such Liens or any assets subject thereto;</w:t>
      </w:r>
    </w:p>
    <w:p>
      <w:pPr>
        <w:spacing w:after="0" w:line="59"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50" w:lineRule="exact"/>
        <w:rPr>
          <w:rFonts w:ascii="Arial" w:cs="Arial" w:eastAsia="Arial" w:hAnsi="Arial"/>
          <w:sz w:val="18"/>
          <w:szCs w:val="18"/>
          <w:color w:val="auto"/>
        </w:rPr>
      </w:pPr>
    </w:p>
    <w:p>
      <w:pPr>
        <w:ind w:left="460" w:right="20" w:firstLine="443"/>
        <w:spacing w:after="0" w:line="291" w:lineRule="auto"/>
        <w:tabs>
          <w:tab w:leader="none" w:pos="11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39" w:lineRule="exact"/>
        <w:rPr>
          <w:rFonts w:ascii="Arial" w:cs="Arial" w:eastAsia="Arial" w:hAnsi="Arial"/>
          <w:sz w:val="16"/>
          <w:szCs w:val="16"/>
          <w:color w:val="auto"/>
        </w:rPr>
      </w:pPr>
    </w:p>
    <w:p>
      <w:pPr>
        <w:ind w:left="460" w:firstLine="443"/>
        <w:spacing w:after="0" w:line="256" w:lineRule="auto"/>
        <w:tabs>
          <w:tab w:leader="none" w:pos="11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Liens securing other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all liabilities, including any Indebtedness, of the Borrower and its Subsidiaries secured by all Liens permitted in subsections (k), (1) and (m), when added (without duplication) to the aggregate outstanding amount of Indebtedness of the Borrower’s Subsidiaries permitted under §8.1(b) and Indebtedness with respect to Permitted Receivables Transactions, shall not exceed 15% of Consolidated Tangible Assets at any time.</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u w:val="single" w:color="auto"/>
          <w:color w:val="auto"/>
        </w:rPr>
        <w:t>Permitted Receivables Transaction</w:t>
      </w:r>
      <w:r>
        <w:rPr>
          <w:rFonts w:ascii="Arial" w:cs="Arial" w:eastAsia="Arial" w:hAnsi="Arial"/>
          <w:sz w:val="18"/>
          <w:szCs w:val="18"/>
          <w:color w:val="auto"/>
        </w:rPr>
        <w:t>.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80" w:right="259" w:bottom="1440" w:gutter="0" w:footer="0" w:header="0"/>
        </w:sectPr>
      </w:pPr>
    </w:p>
    <w:bookmarkStart w:id="31" w:name="page32"/>
    <w:bookmarkEnd w:id="31"/>
    <w:p>
      <w:pPr>
        <w:ind w:right="160" w:firstLine="456"/>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w:t>
      </w:r>
      <w:r>
        <w:rPr>
          <w:rFonts w:ascii="Arial" w:cs="Arial" w:eastAsia="Arial" w:hAnsi="Arial"/>
          <w:sz w:val="18"/>
          <w:szCs w:val="18"/>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Pricing Table</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Applicable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Facility</w:t>
            </w:r>
          </w:p>
        </w:tc>
        <w:tc>
          <w:tcPr>
            <w:tcW w:w="22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Applicable</w:t>
            </w:r>
          </w:p>
        </w:tc>
        <w:tc>
          <w:tcPr>
            <w:tcW w:w="11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Applicable</w:t>
            </w:r>
          </w:p>
        </w:tc>
        <w:tc>
          <w:tcPr>
            <w:tcW w:w="2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Applicable</w:t>
            </w:r>
          </w:p>
        </w:tc>
      </w:tr>
      <w:tr>
        <w:trPr>
          <w:trHeight w:val="18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Level</w:t>
            </w: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40" w:type="dxa"/>
            <w:vAlign w:val="bottom"/>
            <w:gridSpan w:val="10"/>
          </w:tcPr>
          <w:p>
            <w:pPr>
              <w:ind w:left="60"/>
              <w:spacing w:after="0"/>
              <w:rPr>
                <w:sz w:val="20"/>
                <w:szCs w:val="20"/>
                <w:color w:val="auto"/>
              </w:rPr>
            </w:pPr>
            <w:r>
              <w:rPr>
                <w:rFonts w:ascii="Arial" w:cs="Arial" w:eastAsia="Arial" w:hAnsi="Arial"/>
                <w:sz w:val="14"/>
                <w:szCs w:val="14"/>
                <w:b w:val="1"/>
                <w:bCs w:val="1"/>
                <w:color w:val="auto"/>
              </w:rPr>
              <w:t>Senior Public Debt Rating</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Fee Rate</w:t>
            </w: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L/C Rate</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Base Rate</w:t>
            </w:r>
          </w:p>
        </w:tc>
        <w:tc>
          <w:tcPr>
            <w:tcW w:w="2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Eurodollar Rate</w:t>
            </w:r>
          </w:p>
        </w:tc>
      </w:tr>
      <w:tr>
        <w:trPr>
          <w:trHeight w:val="163"/>
        </w:trPr>
        <w:tc>
          <w:tcPr>
            <w:tcW w:w="340" w:type="dxa"/>
            <w:vAlign w:val="bottom"/>
          </w:tcPr>
          <w:p>
            <w:pPr>
              <w:spacing w:after="0" w:line="16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4"/>
                <w:szCs w:val="14"/>
                <w:color w:val="auto"/>
              </w:rPr>
            </w:pPr>
          </w:p>
        </w:tc>
        <w:tc>
          <w:tcPr>
            <w:tcW w:w="5820" w:type="dxa"/>
            <w:vAlign w:val="bottom"/>
            <w:tcBorders>
              <w:top w:val="single" w:sz="8" w:color="auto"/>
            </w:tcBorders>
            <w:gridSpan w:val="13"/>
          </w:tcPr>
          <w:p>
            <w:pPr>
              <w:spacing w:after="0" w:line="163" w:lineRule="exact"/>
              <w:rPr>
                <w:sz w:val="20"/>
                <w:szCs w:val="20"/>
                <w:color w:val="auto"/>
              </w:rPr>
            </w:pPr>
            <w:r>
              <w:rPr>
                <w:rFonts w:ascii="Arial" w:cs="Arial" w:eastAsia="Arial" w:hAnsi="Arial"/>
                <w:sz w:val="18"/>
                <w:szCs w:val="18"/>
                <w:color w:val="auto"/>
                <w:w w:val="88"/>
              </w:rPr>
              <w:t>Greater than or equal to A- by Standard &amp; Poor’s or greater than or equal to A3 by</w:t>
            </w: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0.1000%</w:t>
            </w:r>
          </w:p>
        </w:tc>
        <w:tc>
          <w:tcPr>
            <w:tcW w:w="220" w:type="dxa"/>
            <w:vAlign w:val="bottom"/>
          </w:tcPr>
          <w:p>
            <w:pPr>
              <w:spacing w:after="0"/>
              <w:rPr>
                <w:sz w:val="14"/>
                <w:szCs w:val="14"/>
                <w:color w:val="auto"/>
              </w:rPr>
            </w:pPr>
          </w:p>
        </w:tc>
        <w:tc>
          <w:tcPr>
            <w:tcW w:w="80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0.9000%</w:t>
            </w: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Base Rate</w:t>
            </w:r>
          </w:p>
        </w:tc>
        <w:tc>
          <w:tcPr>
            <w:tcW w:w="200" w:type="dxa"/>
            <w:vAlign w:val="bottom"/>
          </w:tcPr>
          <w:p>
            <w:pPr>
              <w:spacing w:after="0"/>
              <w:rPr>
                <w:sz w:val="14"/>
                <w:szCs w:val="14"/>
                <w:color w:val="auto"/>
              </w:rPr>
            </w:pPr>
          </w:p>
        </w:tc>
        <w:tc>
          <w:tcPr>
            <w:tcW w:w="1480" w:type="dxa"/>
            <w:vAlign w:val="bottom"/>
            <w:tcBorders>
              <w:top w:val="single" w:sz="8" w:color="auto"/>
            </w:tcBorders>
          </w:tcPr>
          <w:p>
            <w:pPr>
              <w:spacing w:after="0" w:line="163" w:lineRule="exact"/>
              <w:rPr>
                <w:sz w:val="20"/>
                <w:szCs w:val="20"/>
                <w:color w:val="auto"/>
              </w:rPr>
            </w:pPr>
            <w:r>
              <w:rPr>
                <w:rFonts w:ascii="Arial" w:cs="Arial" w:eastAsia="Arial" w:hAnsi="Arial"/>
                <w:sz w:val="18"/>
                <w:szCs w:val="18"/>
                <w:color w:val="auto"/>
              </w:rPr>
              <w:t>Eurodollar Rate</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00" w:type="dxa"/>
            <w:vAlign w:val="bottom"/>
            <w:gridSpan w:val="8"/>
          </w:tcPr>
          <w:p>
            <w:pPr>
              <w:spacing w:after="0"/>
              <w:rPr>
                <w:sz w:val="20"/>
                <w:szCs w:val="20"/>
                <w:color w:val="auto"/>
              </w:rPr>
            </w:pPr>
            <w:r>
              <w:rPr>
                <w:rFonts w:ascii="Arial" w:cs="Arial" w:eastAsia="Arial" w:hAnsi="Arial"/>
                <w:sz w:val="18"/>
                <w:szCs w:val="18"/>
                <w:color w:val="auto"/>
              </w:rPr>
              <w:t>Moody’s</w:t>
            </w:r>
          </w:p>
        </w:tc>
        <w:tc>
          <w:tcPr>
            <w:tcW w:w="140" w:type="dxa"/>
            <w:vAlign w:val="bottom"/>
            <w:tcBorders>
              <w:top w:val="single" w:sz="8" w:color="auto"/>
            </w:tcBorders>
            <w:gridSpan w:val="2"/>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gridSpan w:val="2"/>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per annum</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per annum</w:t>
            </w:r>
          </w:p>
        </w:tc>
        <w:tc>
          <w:tcPr>
            <w:tcW w:w="1140" w:type="dxa"/>
            <w:vAlign w:val="bottom"/>
          </w:tcPr>
          <w:p>
            <w:pPr>
              <w:spacing w:after="0"/>
              <w:rPr>
                <w:sz w:val="20"/>
                <w:szCs w:val="20"/>
                <w:color w:val="auto"/>
              </w:rPr>
            </w:pPr>
            <w:r>
              <w:rPr>
                <w:rFonts w:ascii="Arial" w:cs="Arial" w:eastAsia="Arial" w:hAnsi="Arial"/>
                <w:sz w:val="18"/>
                <w:szCs w:val="18"/>
                <w:color w:val="auto"/>
              </w:rPr>
              <w:t>plus 0.0000%</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plus 0.9000% per</w:t>
            </w:r>
          </w:p>
        </w:tc>
      </w:tr>
      <w:tr>
        <w:trPr>
          <w:trHeight w:val="222"/>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per annum</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rPr>
              <w:t>annum</w:t>
            </w:r>
          </w:p>
        </w:tc>
      </w:tr>
      <w:tr>
        <w:trPr>
          <w:trHeight w:val="28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6040" w:type="dxa"/>
            <w:vAlign w:val="bottom"/>
            <w:gridSpan w:val="14"/>
          </w:tcPr>
          <w:p>
            <w:pPr>
              <w:spacing w:after="0"/>
              <w:rPr>
                <w:sz w:val="20"/>
                <w:szCs w:val="20"/>
                <w:color w:val="auto"/>
              </w:rPr>
            </w:pPr>
            <w:r>
              <w:rPr>
                <w:rFonts w:ascii="Arial" w:cs="Arial" w:eastAsia="Arial" w:hAnsi="Arial"/>
                <w:sz w:val="18"/>
                <w:szCs w:val="18"/>
                <w:color w:val="auto"/>
              </w:rPr>
              <w:t>BBB+ by Standard &amp; Poor’s or Baa1 by Moody’s</w:t>
            </w:r>
          </w:p>
        </w:tc>
        <w:tc>
          <w:tcPr>
            <w:tcW w:w="780" w:type="dxa"/>
            <w:vAlign w:val="bottom"/>
          </w:tcPr>
          <w:p>
            <w:pPr>
              <w:spacing w:after="0"/>
              <w:rPr>
                <w:sz w:val="20"/>
                <w:szCs w:val="20"/>
                <w:color w:val="auto"/>
              </w:rPr>
            </w:pPr>
            <w:r>
              <w:rPr>
                <w:rFonts w:ascii="Arial" w:cs="Arial" w:eastAsia="Arial" w:hAnsi="Arial"/>
                <w:sz w:val="18"/>
                <w:szCs w:val="18"/>
                <w:color w:val="auto"/>
              </w:rPr>
              <w:t>0.1250%</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1"/>
              </w:rPr>
              <w:t>Base Rate plus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89"/>
              </w:rPr>
              <w:t>Eurodollar Rate plus</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per annum</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per annum</w:t>
            </w:r>
          </w:p>
        </w:tc>
        <w:tc>
          <w:tcPr>
            <w:tcW w:w="1140" w:type="dxa"/>
            <w:vAlign w:val="bottom"/>
          </w:tcPr>
          <w:p>
            <w:pPr>
              <w:spacing w:after="0"/>
              <w:rPr>
                <w:sz w:val="20"/>
                <w:szCs w:val="20"/>
                <w:color w:val="auto"/>
              </w:rPr>
            </w:pPr>
            <w:r>
              <w:rPr>
                <w:rFonts w:ascii="Arial" w:cs="Arial" w:eastAsia="Arial" w:hAnsi="Arial"/>
                <w:sz w:val="18"/>
                <w:szCs w:val="18"/>
                <w:color w:val="auto"/>
              </w:rPr>
              <w:t>0.0000% per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0"/>
              </w:rPr>
              <w:t>1.0000% per annum</w:t>
            </w:r>
          </w:p>
        </w:tc>
      </w:tr>
      <w:tr>
        <w:trPr>
          <w:trHeight w:val="222"/>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annum</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8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6040" w:type="dxa"/>
            <w:vAlign w:val="bottom"/>
            <w:gridSpan w:val="14"/>
          </w:tcPr>
          <w:p>
            <w:pPr>
              <w:spacing w:after="0"/>
              <w:rPr>
                <w:sz w:val="20"/>
                <w:szCs w:val="20"/>
                <w:color w:val="auto"/>
              </w:rPr>
            </w:pPr>
            <w:r>
              <w:rPr>
                <w:rFonts w:ascii="Arial" w:cs="Arial" w:eastAsia="Arial" w:hAnsi="Arial"/>
                <w:sz w:val="18"/>
                <w:szCs w:val="18"/>
                <w:color w:val="auto"/>
              </w:rPr>
              <w:t>BBB by Standard &amp; Poor’s or Baa2 by Moody’s</w:t>
            </w:r>
          </w:p>
        </w:tc>
        <w:tc>
          <w:tcPr>
            <w:tcW w:w="780" w:type="dxa"/>
            <w:vAlign w:val="bottom"/>
          </w:tcPr>
          <w:p>
            <w:pPr>
              <w:spacing w:after="0"/>
              <w:rPr>
                <w:sz w:val="20"/>
                <w:szCs w:val="20"/>
                <w:color w:val="auto"/>
              </w:rPr>
            </w:pPr>
            <w:r>
              <w:rPr>
                <w:rFonts w:ascii="Arial" w:cs="Arial" w:eastAsia="Arial" w:hAnsi="Arial"/>
                <w:sz w:val="18"/>
                <w:szCs w:val="18"/>
                <w:color w:val="auto"/>
              </w:rPr>
              <w:t>0.1750%</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1.0750%</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1"/>
              </w:rPr>
              <w:t>Base Rate plus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89"/>
              </w:rPr>
              <w:t>Eurodollar Rate plus</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per annum</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per annum</w:t>
            </w:r>
          </w:p>
        </w:tc>
        <w:tc>
          <w:tcPr>
            <w:tcW w:w="1140" w:type="dxa"/>
            <w:vAlign w:val="bottom"/>
          </w:tcPr>
          <w:p>
            <w:pPr>
              <w:spacing w:after="0"/>
              <w:rPr>
                <w:sz w:val="20"/>
                <w:szCs w:val="20"/>
                <w:color w:val="auto"/>
              </w:rPr>
            </w:pPr>
            <w:r>
              <w:rPr>
                <w:rFonts w:ascii="Arial" w:cs="Arial" w:eastAsia="Arial" w:hAnsi="Arial"/>
                <w:sz w:val="18"/>
                <w:szCs w:val="18"/>
                <w:color w:val="auto"/>
              </w:rPr>
              <w:t>0.0750% per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0"/>
              </w:rPr>
              <w:t>1.0750% per annum</w:t>
            </w:r>
          </w:p>
        </w:tc>
      </w:tr>
      <w:tr>
        <w:trPr>
          <w:trHeight w:val="222"/>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annum</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8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6040" w:type="dxa"/>
            <w:vAlign w:val="bottom"/>
            <w:gridSpan w:val="14"/>
          </w:tcPr>
          <w:p>
            <w:pPr>
              <w:spacing w:after="0"/>
              <w:rPr>
                <w:sz w:val="20"/>
                <w:szCs w:val="20"/>
                <w:color w:val="auto"/>
              </w:rPr>
            </w:pPr>
            <w:r>
              <w:rPr>
                <w:rFonts w:ascii="Arial" w:cs="Arial" w:eastAsia="Arial" w:hAnsi="Arial"/>
                <w:sz w:val="18"/>
                <w:szCs w:val="18"/>
                <w:color w:val="auto"/>
              </w:rPr>
              <w:t>BBB- by Standard &amp; Poor’s or Baa3 by Moody’s</w:t>
            </w:r>
          </w:p>
        </w:tc>
        <w:tc>
          <w:tcPr>
            <w:tcW w:w="780" w:type="dxa"/>
            <w:vAlign w:val="bottom"/>
          </w:tcPr>
          <w:p>
            <w:pPr>
              <w:spacing w:after="0"/>
              <w:rPr>
                <w:sz w:val="20"/>
                <w:szCs w:val="20"/>
                <w:color w:val="auto"/>
              </w:rPr>
            </w:pPr>
            <w:r>
              <w:rPr>
                <w:rFonts w:ascii="Arial" w:cs="Arial" w:eastAsia="Arial" w:hAnsi="Arial"/>
                <w:sz w:val="18"/>
                <w:szCs w:val="18"/>
                <w:color w:val="auto"/>
              </w:rPr>
              <w:t>0.2250%</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1.2750%</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1"/>
              </w:rPr>
              <w:t>Base Rate plus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89"/>
              </w:rPr>
              <w:t>Eurodollar Rate plus</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per annum</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per annum</w:t>
            </w:r>
          </w:p>
        </w:tc>
        <w:tc>
          <w:tcPr>
            <w:tcW w:w="1140" w:type="dxa"/>
            <w:vAlign w:val="bottom"/>
          </w:tcPr>
          <w:p>
            <w:pPr>
              <w:spacing w:after="0"/>
              <w:rPr>
                <w:sz w:val="20"/>
                <w:szCs w:val="20"/>
                <w:color w:val="auto"/>
              </w:rPr>
            </w:pPr>
            <w:r>
              <w:rPr>
                <w:rFonts w:ascii="Arial" w:cs="Arial" w:eastAsia="Arial" w:hAnsi="Arial"/>
                <w:sz w:val="18"/>
                <w:szCs w:val="18"/>
                <w:color w:val="auto"/>
              </w:rPr>
              <w:t>0.2750% per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0"/>
              </w:rPr>
              <w:t>1.2750% per annum</w:t>
            </w:r>
          </w:p>
        </w:tc>
      </w:tr>
      <w:tr>
        <w:trPr>
          <w:trHeight w:val="222"/>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annum</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8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6040" w:type="dxa"/>
            <w:vAlign w:val="bottom"/>
            <w:gridSpan w:val="14"/>
          </w:tcPr>
          <w:p>
            <w:pPr>
              <w:spacing w:after="0"/>
              <w:rPr>
                <w:sz w:val="20"/>
                <w:szCs w:val="20"/>
                <w:color w:val="auto"/>
              </w:rPr>
            </w:pPr>
            <w:r>
              <w:rPr>
                <w:rFonts w:ascii="Arial" w:cs="Arial" w:eastAsia="Arial" w:hAnsi="Arial"/>
                <w:sz w:val="18"/>
                <w:szCs w:val="18"/>
                <w:color w:val="auto"/>
                <w:w w:val="95"/>
              </w:rPr>
              <w:t>Less than or equal to BB+ by Standard &amp; Poor’s or less than or equal to Ba1 by</w:t>
            </w:r>
          </w:p>
        </w:tc>
        <w:tc>
          <w:tcPr>
            <w:tcW w:w="780" w:type="dxa"/>
            <w:vAlign w:val="bottom"/>
          </w:tcPr>
          <w:p>
            <w:pPr>
              <w:spacing w:after="0"/>
              <w:rPr>
                <w:sz w:val="20"/>
                <w:szCs w:val="20"/>
                <w:color w:val="auto"/>
              </w:rPr>
            </w:pPr>
            <w:r>
              <w:rPr>
                <w:rFonts w:ascii="Arial" w:cs="Arial" w:eastAsia="Arial" w:hAnsi="Arial"/>
                <w:sz w:val="18"/>
                <w:szCs w:val="18"/>
                <w:color w:val="auto"/>
              </w:rPr>
              <w:t>0.2750%</w:t>
            </w: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1.4750%</w:t>
            </w:r>
          </w:p>
        </w:tc>
        <w:tc>
          <w:tcPr>
            <w:tcW w:w="2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1"/>
              </w:rPr>
              <w:t>Base Rate plus</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89"/>
              </w:rPr>
              <w:t>Eurodollar Rate plus</w:t>
            </w:r>
          </w:p>
        </w:tc>
      </w:tr>
      <w:tr>
        <w:trPr>
          <w:trHeight w:val="228"/>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40" w:type="dxa"/>
            <w:vAlign w:val="bottom"/>
            <w:gridSpan w:val="7"/>
          </w:tcPr>
          <w:p>
            <w:pPr>
              <w:spacing w:after="0"/>
              <w:rPr>
                <w:sz w:val="20"/>
                <w:szCs w:val="20"/>
                <w:color w:val="auto"/>
              </w:rPr>
            </w:pPr>
            <w:r>
              <w:rPr>
                <w:rFonts w:ascii="Arial" w:cs="Arial" w:eastAsia="Arial" w:hAnsi="Arial"/>
                <w:sz w:val="18"/>
                <w:szCs w:val="18"/>
                <w:color w:val="auto"/>
              </w:rPr>
              <w:t>Moody’s</w:t>
            </w:r>
          </w:p>
        </w:tc>
        <w:tc>
          <w:tcPr>
            <w:tcW w:w="160" w:type="dxa"/>
            <w:vAlign w:val="bottom"/>
            <w:tcBorders>
              <w:top w:val="single" w:sz="8" w:color="auto"/>
            </w:tcBorders>
            <w:gridSpan w:val="2"/>
          </w:tcPr>
          <w:p>
            <w:pPr>
              <w:spacing w:after="0"/>
              <w:rPr>
                <w:sz w:val="19"/>
                <w:szCs w:val="19"/>
                <w:color w:val="auto"/>
              </w:rPr>
            </w:pPr>
          </w:p>
        </w:tc>
        <w:tc>
          <w:tcPr>
            <w:tcW w:w="2440" w:type="dxa"/>
            <w:vAlign w:val="bottom"/>
            <w:gridSpan w:val="5"/>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8"/>
              </w:rPr>
              <w:t>per annum</w:t>
            </w:r>
          </w:p>
        </w:tc>
        <w:tc>
          <w:tcPr>
            <w:tcW w:w="1240" w:type="dxa"/>
            <w:vAlign w:val="bottom"/>
            <w:gridSpan w:val="3"/>
          </w:tcPr>
          <w:p>
            <w:pPr>
              <w:ind w:left="220"/>
              <w:spacing w:after="0"/>
              <w:rPr>
                <w:sz w:val="20"/>
                <w:szCs w:val="20"/>
                <w:color w:val="auto"/>
              </w:rPr>
            </w:pPr>
            <w:r>
              <w:rPr>
                <w:rFonts w:ascii="Arial" w:cs="Arial" w:eastAsia="Arial" w:hAnsi="Arial"/>
                <w:sz w:val="18"/>
                <w:szCs w:val="18"/>
                <w:color w:val="auto"/>
              </w:rPr>
              <w:t>per annum</w:t>
            </w:r>
          </w:p>
        </w:tc>
        <w:tc>
          <w:tcPr>
            <w:tcW w:w="1140" w:type="dxa"/>
            <w:vAlign w:val="bottom"/>
          </w:tcPr>
          <w:p>
            <w:pPr>
              <w:spacing w:after="0"/>
              <w:rPr>
                <w:sz w:val="20"/>
                <w:szCs w:val="20"/>
                <w:color w:val="auto"/>
              </w:rPr>
            </w:pPr>
            <w:r>
              <w:rPr>
                <w:rFonts w:ascii="Arial" w:cs="Arial" w:eastAsia="Arial" w:hAnsi="Arial"/>
                <w:sz w:val="18"/>
                <w:szCs w:val="18"/>
                <w:color w:val="auto"/>
              </w:rPr>
              <w:t>0.4750% per</w:t>
            </w:r>
          </w:p>
        </w:tc>
        <w:tc>
          <w:tcPr>
            <w:tcW w:w="1680" w:type="dxa"/>
            <w:vAlign w:val="bottom"/>
            <w:gridSpan w:val="2"/>
          </w:tcPr>
          <w:p>
            <w:pPr>
              <w:ind w:left="200"/>
              <w:spacing w:after="0"/>
              <w:rPr>
                <w:sz w:val="20"/>
                <w:szCs w:val="20"/>
                <w:color w:val="auto"/>
              </w:rPr>
            </w:pPr>
            <w:r>
              <w:rPr>
                <w:rFonts w:ascii="Arial" w:cs="Arial" w:eastAsia="Arial" w:hAnsi="Arial"/>
                <w:sz w:val="18"/>
                <w:szCs w:val="18"/>
                <w:color w:val="auto"/>
                <w:w w:val="90"/>
              </w:rPr>
              <w:t>1.4750% per annum</w:t>
            </w:r>
          </w:p>
        </w:tc>
      </w:tr>
      <w:tr>
        <w:trPr>
          <w:trHeight w:val="222"/>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annum</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15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The applicable rates charged for any day shall be determined by the higher Senior Public Debt Rating in effect as of that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higher Senior Public Debt Rating is more than one level higher than the lower Senior Public Debt Rating, the applicable rate shall be set at one level below the higher Senior Public Debt Rating.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RCRA</w:t>
      </w:r>
      <w:r>
        <w:rPr>
          <w:rFonts w:ascii="Arial" w:cs="Arial" w:eastAsia="Arial" w:hAnsi="Arial"/>
          <w:sz w:val="18"/>
          <w:szCs w:val="18"/>
          <w:color w:val="auto"/>
        </w:rPr>
        <w:t>. See §6.15(a).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All real property heretofore, now, or hereafter owned, operated, or leased by the Borrower or any of its Subsidiaries.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The Borrower’s obligation to reimburse the applicable Issuing Bank and the Banks on account of any drawing under any Letter of Credit, all as provided in §3.2.</w:t>
      </w:r>
    </w:p>
    <w:p>
      <w:pPr>
        <w:spacing w:after="0" w:line="132"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280"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Replacement Bank</w:t>
      </w:r>
      <w:r>
        <w:rPr>
          <w:rFonts w:ascii="Arial" w:cs="Arial" w:eastAsia="Arial" w:hAnsi="Arial"/>
          <w:sz w:val="18"/>
          <w:szCs w:val="18"/>
          <w:color w:val="auto"/>
        </w:rPr>
        <w:t>. See §5.12.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Replacement Notice</w:t>
      </w:r>
      <w:r>
        <w:rPr>
          <w:rFonts w:ascii="Arial" w:cs="Arial" w:eastAsia="Arial" w:hAnsi="Arial"/>
          <w:sz w:val="18"/>
          <w:szCs w:val="18"/>
          <w:color w:val="auto"/>
        </w:rPr>
        <w:t>. See §5.12.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Revaluation Date</w:t>
      </w:r>
      <w:r>
        <w:rPr>
          <w:rFonts w:ascii="Arial" w:cs="Arial" w:eastAsia="Arial" w:hAnsi="Arial"/>
          <w:sz w:val="16"/>
          <w:szCs w:val="16"/>
          <w:color w:val="auto"/>
        </w:rPr>
        <w:t>. With respect to any Canadian Letter of Credit, each of the following: (i) each date of the issuance of such Canadian Letter of Credit,</w:t>
      </w:r>
    </w:p>
    <w:p>
      <w:pPr>
        <w:spacing w:after="0" w:line="3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date of an amendment thereof having the effect of increasing the amount thereof (solely with respect to the increased amount), (iii) each date of any</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payment by the applicable Issuing Bank thereunder, and (iv) such additional dates as the Administrative Agent or the applicable Issuing Bank shall determine or the Majority Banks shall require.</w:t>
      </w:r>
    </w:p>
    <w:p>
      <w:pPr>
        <w:spacing w:after="0" w:line="13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u w:val="single" w:color="auto"/>
          <w:color w:val="auto"/>
        </w:rPr>
        <w:t>Senior Public Debt Rating</w:t>
      </w:r>
      <w:r>
        <w:rPr>
          <w:rFonts w:ascii="Arial" w:cs="Arial" w:eastAsia="Arial" w:hAnsi="Arial"/>
          <w:sz w:val="18"/>
          <w:szCs w:val="18"/>
          <w:color w:val="auto"/>
        </w:rPr>
        <w:t>. The ratings of the Borrower’s public unsecured long-term senior debt, without third party credit enhancement, issued by Moody’s and Standard &amp; Poor’s.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u w:val="single" w:color="auto"/>
          <w:color w:val="auto"/>
        </w:rPr>
        <w:t>Significant Subsidiary</w:t>
      </w:r>
      <w:r>
        <w:rPr>
          <w:rFonts w:ascii="Arial" w:cs="Arial" w:eastAsia="Arial" w:hAnsi="Arial"/>
          <w:sz w:val="18"/>
          <w:szCs w:val="18"/>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Standard &amp; Poor’s</w:t>
      </w:r>
      <w:r>
        <w:rPr>
          <w:rFonts w:ascii="Arial" w:cs="Arial" w:eastAsia="Arial" w:hAnsi="Arial"/>
          <w:sz w:val="18"/>
          <w:szCs w:val="18"/>
          <w:color w:val="auto"/>
        </w:rPr>
        <w:t>. Standard &amp; Poor’s Financial Services LLC, a subsidiary of The McGraw-Hill Companies, Inc.</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Swap Contracts</w:t>
      </w:r>
      <w:r>
        <w:rPr>
          <w:rFonts w:ascii="Arial" w:cs="Arial" w:eastAsia="Arial" w:hAnsi="Arial"/>
          <w:sz w:val="18"/>
          <w:szCs w:val="18"/>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Bank</w:t>
      </w:r>
      <w:r>
        <w:rPr>
          <w:rFonts w:ascii="Arial" w:cs="Arial" w:eastAsia="Arial" w:hAnsi="Arial"/>
          <w:sz w:val="18"/>
          <w:szCs w:val="18"/>
          <w:color w:val="auto"/>
        </w:rPr>
        <w:t>. Bank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Swing Line Loan</w:t>
      </w:r>
      <w:r>
        <w:rPr>
          <w:rFonts w:ascii="Arial" w:cs="Arial" w:eastAsia="Arial" w:hAnsi="Arial"/>
          <w:sz w:val="18"/>
          <w:szCs w:val="18"/>
          <w:color w:val="auto"/>
        </w:rPr>
        <w:t>. See §2.11(a).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Swing Line Loan Notice</w:t>
      </w:r>
      <w:r>
        <w:rPr>
          <w:rFonts w:ascii="Arial" w:cs="Arial" w:eastAsia="Arial" w:hAnsi="Arial"/>
          <w:sz w:val="16"/>
          <w:szCs w:val="16"/>
          <w:color w:val="auto"/>
        </w:rPr>
        <w:t>. A notice of a Swing Line Borrowing pursuant to §2.11, which, if in writing, shall be substantially in the form of Exhibit B.</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Swing Line Sublimit. An amount equal to the lesser of (a) $100,000,000 and (b) the Total Commitments. The Swing Line Sublimit is part of, and not in addition to, the Total Commitments.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Syndicated Loan Request</w:t>
      </w:r>
      <w:r>
        <w:rPr>
          <w:rFonts w:ascii="Arial" w:cs="Arial" w:eastAsia="Arial" w:hAnsi="Arial"/>
          <w:sz w:val="18"/>
          <w:szCs w:val="18"/>
          <w:color w:val="auto"/>
        </w:rPr>
        <w:t>. See §2.6(a).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40"/>
          </w:cols>
          <w:pgMar w:left="240" w:top="280" w:right="319" w:bottom="1440" w:gutter="0" w:footer="0" w:header="0"/>
        </w:sectPr>
      </w:pPr>
    </w:p>
    <w:bookmarkStart w:id="33" w:name="page34"/>
    <w:bookmarkEnd w:id="33"/>
    <w:p>
      <w:pPr>
        <w:ind w:left="46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Syndicated Loans</w:t>
      </w:r>
      <w:r>
        <w:rPr>
          <w:rFonts w:ascii="Arial" w:cs="Arial" w:eastAsia="Arial" w:hAnsi="Arial"/>
          <w:sz w:val="16"/>
          <w:szCs w:val="16"/>
          <w:color w:val="auto"/>
        </w:rPr>
        <w:t>. A Borrowing hereunder consisting of one or more loans made by the Banks to the Borrower under the procedures described in §2.1(a).</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Terminated Plans</w:t>
      </w:r>
      <w:r>
        <w:rPr>
          <w:rFonts w:ascii="Arial" w:cs="Arial" w:eastAsia="Arial" w:hAnsi="Arial"/>
          <w:sz w:val="18"/>
          <w:szCs w:val="18"/>
          <w:color w:val="auto"/>
        </w:rPr>
        <w:t>. The Waste Management, Inc. Pension Plan and The Waste Management of Alameda County, Inc. Retirement Plan.</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u w:val="single" w:color="auto"/>
          <w:color w:val="auto"/>
        </w:rPr>
        <w:t>Total Commitment</w:t>
      </w:r>
      <w:r>
        <w:rPr>
          <w:rFonts w:ascii="Arial" w:cs="Arial" w:eastAsia="Arial" w:hAnsi="Arial"/>
          <w:sz w:val="18"/>
          <w:szCs w:val="18"/>
          <w:color w:val="auto"/>
        </w:rPr>
        <w:t>. Initially $2,250,000,000, as such amount may be increased or reduced in accordance with the terms hereof, or, if such Total Commitment has been terminated pursuant to §2.3.1 or §12.2 hereof, zero.</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u w:val="single" w:color="auto"/>
          <w:color w:val="auto"/>
        </w:rPr>
        <w:t>Total Debt</w:t>
      </w:r>
      <w:r>
        <w:rPr>
          <w:rFonts w:ascii="Arial" w:cs="Arial" w:eastAsia="Arial" w:hAnsi="Arial"/>
          <w:sz w:val="16"/>
          <w:szCs w:val="16"/>
          <w:color w:val="auto"/>
        </w:rPr>
        <w: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u w:val="single" w:color="auto"/>
          <w:color w:val="auto"/>
        </w:rPr>
        <w:t>Type</w:t>
      </w:r>
      <w:r>
        <w:rPr>
          <w:rFonts w:ascii="Arial" w:cs="Arial" w:eastAsia="Arial" w:hAnsi="Arial"/>
          <w:sz w:val="16"/>
          <w:szCs w:val="16"/>
          <w:color w:val="auto"/>
        </w:rPr>
        <w:t>.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8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u w:val="single" w:color="auto"/>
          <w:color w:val="auto"/>
        </w:rPr>
        <w:t>U.S. Dollar Equivalent</w:t>
      </w:r>
      <w:r>
        <w:rPr>
          <w:rFonts w:ascii="Arial" w:cs="Arial" w:eastAsia="Arial" w:hAnsi="Arial"/>
          <w:sz w:val="18"/>
          <w:szCs w:val="18"/>
          <w:color w:val="auto"/>
        </w:rPr>
        <w:t>. With respect to any amount denominated in Canadian Dollars computed at any time, the equivalent amount thereof in U.S. Dollars as determined by the Administrative Agent or the Issuing Bank, as the case may be, at such time on the basis of the Applicable Spot Rate (determined in respect of the most recent Revaluation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The USA PATRIOT Act (Title III of Pub. L. 107-56 (signed into law October 26, 2001)).</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 Rules of Interpretation</w:t>
      </w:r>
      <w:r>
        <w:rPr>
          <w:rFonts w:ascii="Arial" w:cs="Arial" w:eastAsia="Arial" w:hAnsi="Arial"/>
          <w:sz w:val="18"/>
          <w:szCs w:val="18"/>
          <w:color w:val="auto"/>
        </w:rPr>
        <w:t>.</w:t>
      </w:r>
    </w:p>
    <w:p>
      <w:pPr>
        <w:spacing w:after="0" w:line="96" w:lineRule="exact"/>
        <w:rPr>
          <w:sz w:val="20"/>
          <w:szCs w:val="20"/>
          <w:color w:val="auto"/>
        </w:rPr>
      </w:pPr>
    </w:p>
    <w:p>
      <w:pPr>
        <w:ind w:left="460" w:right="440" w:firstLine="443"/>
        <w:spacing w:after="0" w:line="332" w:lineRule="auto"/>
        <w:tabs>
          <w:tab w:leader="none" w:pos="11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singular includes the plural and the plural includes the singular.</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reference to any law includes any amendment or modification to such law.</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reference to any Person includes its permitted successors and permitted assigns.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Accounting terms capitalized but not otherwise defined herein have the meanings assigned to them by generally accepted accounting principles applied on a consistent basis by the accounting entity to which they refer.</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80" w:right="259" w:bottom="1440" w:gutter="0" w:footer="0" w:header="0"/>
        </w:sectPr>
      </w:pPr>
    </w:p>
    <w:bookmarkStart w:id="34" w:name="page35"/>
    <w:bookmarkEnd w:id="34"/>
    <w:p>
      <w:pPr>
        <w:ind w:left="1120" w:hanging="217"/>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words “include”, “includes” and “including” are not limiting.</w:t>
      </w:r>
    </w:p>
    <w:p>
      <w:pPr>
        <w:spacing w:after="0" w:line="90" w:lineRule="exact"/>
        <w:rPr>
          <w:rFonts w:ascii="Arial" w:cs="Arial" w:eastAsia="Arial" w:hAnsi="Arial"/>
          <w:sz w:val="18"/>
          <w:szCs w:val="18"/>
          <w:color w:val="auto"/>
        </w:rPr>
      </w:pPr>
    </w:p>
    <w:p>
      <w:pPr>
        <w:ind w:left="460" w:right="32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 to a particular “§” refers to that section of this Agreement unless otherwise indicated.</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words “herein”, “hereof’, “hereunder” and words of like import shall refer to this Agreement as a whole and not to any particular section or subdivision of this Agreement.</w:t>
      </w:r>
    </w:p>
    <w:p>
      <w:pPr>
        <w:spacing w:after="0" w:line="45" w:lineRule="exact"/>
        <w:rPr>
          <w:sz w:val="20"/>
          <w:szCs w:val="20"/>
          <w:color w:val="auto"/>
        </w:rPr>
      </w:pPr>
    </w:p>
    <w:p>
      <w:pPr>
        <w:ind w:right="800" w:firstLine="913"/>
        <w:spacing w:after="0" w:line="339" w:lineRule="auto"/>
        <w:rPr>
          <w:sz w:val="20"/>
          <w:szCs w:val="20"/>
          <w:color w:val="auto"/>
        </w:rPr>
      </w:pPr>
      <w:r>
        <w:rPr>
          <w:rFonts w:ascii="Arial" w:cs="Arial" w:eastAsia="Arial" w:hAnsi="Arial"/>
          <w:sz w:val="16"/>
          <w:szCs w:val="16"/>
          <w:b w:val="1"/>
          <w:bCs w:val="1"/>
          <w:color w:val="auto"/>
        </w:rPr>
        <w:t>§1.3. Classification of Loans and Borrowings</w:t>
      </w:r>
      <w:r>
        <w:rPr>
          <w:rFonts w:ascii="Arial" w:cs="Arial" w:eastAsia="Arial" w:hAnsi="Arial"/>
          <w:sz w:val="16"/>
          <w:szCs w:val="16"/>
          <w:color w:val="auto"/>
        </w:rPr>
        <w:t>. For purposes of this Agreement, Loans may be classified and referred to by Class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(e.g</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“Syndicated Loan”) or by Type </w:t>
      </w:r>
      <w:r>
        <w:rPr>
          <w:rFonts w:ascii="Arial" w:cs="Arial" w:eastAsia="Arial" w:hAnsi="Arial"/>
          <w:sz w:val="16"/>
          <w:szCs w:val="16"/>
          <w:u w:val="single" w:color="auto"/>
          <w:color w:val="auto"/>
        </w:rPr>
        <w:t>(e.g</w:t>
      </w:r>
      <w:r>
        <w:rPr>
          <w:rFonts w:ascii="Arial" w:cs="Arial" w:eastAsia="Arial" w:hAnsi="Arial"/>
          <w:sz w:val="16"/>
          <w:szCs w:val="16"/>
          <w:color w:val="auto"/>
        </w:rPr>
        <w:t xml:space="preserve">., a “Eurodollar Loan”)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Syndicated Loan”).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b w:val="1"/>
          <w:bCs w:val="1"/>
          <w:u w:val="single" w:color="auto"/>
          <w:color w:val="auto"/>
        </w:rPr>
        <w:t>THE LOAN FACILITIES</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§2.1. Commitment to Lend</w:t>
      </w:r>
      <w:r>
        <w:rPr>
          <w:rFonts w:ascii="Arial" w:cs="Arial" w:eastAsia="Arial" w:hAnsi="Arial"/>
          <w:sz w:val="18"/>
          <w:szCs w:val="18"/>
          <w:color w:val="auto"/>
        </w:rPr>
        <w:t>.</w:t>
      </w:r>
    </w:p>
    <w:p>
      <w:pPr>
        <w:spacing w:after="0" w:line="96" w:lineRule="exact"/>
        <w:rPr>
          <w:sz w:val="20"/>
          <w:szCs w:val="20"/>
          <w:color w:val="auto"/>
        </w:rPr>
      </w:pPr>
    </w:p>
    <w:p>
      <w:pPr>
        <w:ind w:left="460" w:right="20" w:firstLine="443"/>
        <w:spacing w:after="0" w:line="294" w:lineRule="auto"/>
        <w:tabs>
          <w:tab w:leader="none" w:pos="11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of the outstanding principal amount of the Syndicated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principal amount of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Drawing Amount of outstanding Letters of Credit shall not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Competitive Bid Loans outstanding at such time.</w:t>
      </w:r>
    </w:p>
    <w:p>
      <w:pPr>
        <w:spacing w:after="0" w:line="34" w:lineRule="exact"/>
        <w:rPr>
          <w:rFonts w:ascii="Arial" w:cs="Arial" w:eastAsia="Arial" w:hAnsi="Arial"/>
          <w:sz w:val="16"/>
          <w:szCs w:val="16"/>
          <w:color w:val="auto"/>
        </w:rPr>
      </w:pPr>
    </w:p>
    <w:p>
      <w:pPr>
        <w:ind w:left="460" w:right="200" w:firstLine="443"/>
        <w:spacing w:after="0" w:line="259"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53"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§2.2. Facility Fee</w:t>
      </w:r>
      <w:r>
        <w:rPr>
          <w:rFonts w:ascii="Arial" w:cs="Arial" w:eastAsia="Arial" w:hAnsi="Arial"/>
          <w:sz w:val="16"/>
          <w:szCs w:val="16"/>
          <w:color w:val="auto"/>
        </w:rPr>
        <w:t>. The Borrower agrees to pay to the Administrative Agent for the account of the Banks a fee (the “Facility Fee”) on the Total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(whether or not utilized) equal to the Applicable 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 each calendar quarter for the immediately preceding calendar quarter, with the first such payment commencing on October 1, 2013,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280" w:right="259" w:bottom="1440" w:gutter="0" w:footer="0" w:header="0"/>
        </w:sectPr>
      </w:pPr>
    </w:p>
    <w:bookmarkStart w:id="35" w:name="page36"/>
    <w:bookmarkEnd w:id="3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 Reduction and Increase of Total Commitment</w:t>
      </w:r>
      <w:r>
        <w:rPr>
          <w:rFonts w:ascii="Arial" w:cs="Arial" w:eastAsia="Arial" w:hAnsi="Arial"/>
          <w:sz w:val="18"/>
          <w:szCs w:val="18"/>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§2.3.1 Reduction of Total Commitment</w:t>
      </w:r>
      <w:r>
        <w:rPr>
          <w:rFonts w:ascii="Arial" w:cs="Arial" w:eastAsia="Arial" w:hAnsi="Arial"/>
          <w:sz w:val="18"/>
          <w:szCs w:val="18"/>
          <w:color w:val="auto"/>
        </w:rPr>
        <w:t>.</w:t>
      </w:r>
    </w:p>
    <w:p>
      <w:pPr>
        <w:spacing w:after="0" w:line="96" w:lineRule="exact"/>
        <w:rPr>
          <w:sz w:val="20"/>
          <w:szCs w:val="20"/>
          <w:color w:val="auto"/>
        </w:rPr>
      </w:pPr>
    </w:p>
    <w:p>
      <w:pPr>
        <w:ind w:left="460" w:right="40" w:firstLine="443"/>
        <w:spacing w:after="0" w:line="290" w:lineRule="auto"/>
        <w:tabs>
          <w:tab w:leader="none" w:pos="1137"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Borrower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such Bank’s Commitment Percentage of the amount specified in such notice or, as the case may be,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 has provided to secure Reimbursement Obligations prior to or concurrently with such termination which would exceed the Total Commitment), and (B) all Loans then outstanding.</w:t>
      </w:r>
    </w:p>
    <w:p>
      <w:pPr>
        <w:spacing w:after="0" w:line="37"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Administrative Agent will notify the Banks promptly after receiving any notice delivered by the Borrower pursuant to this §2.3.1 and will distribute to each Bank a revised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to this Agreement.</w:t>
      </w:r>
    </w:p>
    <w:p>
      <w:pPr>
        <w:spacing w:after="0" w:line="45" w:lineRule="exact"/>
        <w:rPr>
          <w:sz w:val="20"/>
          <w:szCs w:val="20"/>
          <w:color w:val="auto"/>
        </w:rPr>
      </w:pPr>
    </w:p>
    <w:p>
      <w:pPr>
        <w:ind w:firstLine="1484"/>
        <w:spacing w:after="0" w:line="287" w:lineRule="auto"/>
        <w:rPr>
          <w:sz w:val="20"/>
          <w:szCs w:val="20"/>
          <w:color w:val="auto"/>
        </w:rPr>
      </w:pPr>
      <w:r>
        <w:rPr>
          <w:rFonts w:ascii="Arial" w:cs="Arial" w:eastAsia="Arial" w:hAnsi="Arial"/>
          <w:sz w:val="16"/>
          <w:szCs w:val="16"/>
          <w:b w:val="1"/>
          <w:bCs w:val="1"/>
          <w:color w:val="auto"/>
        </w:rPr>
        <w:t>§2.3.2 Increase of Total Commitment</w:t>
      </w:r>
      <w:r>
        <w:rPr>
          <w:rFonts w:ascii="Arial" w:cs="Arial" w:eastAsia="Arial" w:hAnsi="Arial"/>
          <w:sz w:val="16"/>
          <w:szCs w:val="16"/>
          <w:color w:val="auto"/>
        </w:rPr>
        <w:t>. Unless a Default or Event of Default has occurred and is continuing, the Borrower may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the approval of the Administrative Agent, that the Total Commitment be increased,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increase shall not, except with the consent of the Majority Banks, in any event exceed $500,000,000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amount, if any, by which the Total Commitment has been reduced as a result of the termination of the Commitments of any Bank pursuant to §5.12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 (iii) the Banks’ Commitment Percentages shall be correspondingly adjusted, as necessary, to reflect any increase in the Total Commitment and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amended to reflect such adjustments.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274" w:right="239" w:bottom="1440" w:gutter="0" w:footer="0" w:header="0"/>
        </w:sectPr>
      </w:pPr>
    </w:p>
    <w:bookmarkStart w:id="36" w:name="page37"/>
    <w:bookmarkEnd w:id="36"/>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prepay that portion of any Syndicated Loans outstanding on the effective date of any such increase to the extent necessary to keep the outstanding Syndicated Loans ratable with any revised Commitment Percentages arising from any nonratable increase in the Total Commitments under this Section.</w:t>
      </w:r>
    </w:p>
    <w:p>
      <w:pPr>
        <w:spacing w:after="0" w:line="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§2.4. Repayment of Loans; Evidence of Debt</w:t>
      </w:r>
      <w:r>
        <w:rPr>
          <w:rFonts w:ascii="Arial" w:cs="Arial" w:eastAsia="Arial" w:hAnsi="Arial"/>
          <w:sz w:val="18"/>
          <w:szCs w:val="18"/>
          <w:color w:val="auto"/>
        </w:rPr>
        <w:t>.</w:t>
      </w:r>
    </w:p>
    <w:p>
      <w:pPr>
        <w:spacing w:after="0" w:line="96" w:lineRule="exact"/>
        <w:rPr>
          <w:sz w:val="20"/>
          <w:szCs w:val="20"/>
          <w:color w:val="auto"/>
        </w:rPr>
      </w:pPr>
    </w:p>
    <w:p>
      <w:pPr>
        <w:ind w:left="460" w:right="20" w:firstLine="443"/>
        <w:spacing w:after="0" w:line="291" w:lineRule="auto"/>
        <w:tabs>
          <w:tab w:leader="none" w:pos="11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Borrower hereby unconditionally promises to pay (i) to the Administrative Agent for the pro rata account of the Banks, the then unpaid principal amount of the Syndicated Loans on the Maturity Date, (ii) to the Administrative Agent for the account of the applicable Bank, the then unpaid principal amount of such Bank’s Competitive Bid Loan on the last day of the Interest Period applicable to such Loan, and (iii) to the Swing Line Bank, for its account, the then unpaid principal amount of each Swing Line Loan on the earlier of the Maturity Date and the first date after such Swing Line Loan is made that is the 15</w:t>
      </w:r>
      <w:r>
        <w:rPr>
          <w:rFonts w:ascii="Arial" w:cs="Arial" w:eastAsia="Arial" w:hAnsi="Arial"/>
          <w:sz w:val="10"/>
          <w:szCs w:val="10"/>
          <w:color w:val="auto"/>
        </w:rPr>
        <w:t>th</w:t>
      </w:r>
      <w:r>
        <w:rPr>
          <w:rFonts w:ascii="Arial" w:cs="Arial" w:eastAsia="Arial" w:hAnsi="Arial"/>
          <w:sz w:val="16"/>
          <w:szCs w:val="16"/>
          <w:color w:val="auto"/>
        </w:rPr>
        <w:t xml:space="preserve"> or last day of a calendar month and is at least two Business Days after such Swing Line Loan is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each date that a Syndicated Loan or Competitive Bid Loan is made, the Borrower shall repay all Swing Line Loans then outstanding.</w:t>
      </w:r>
    </w:p>
    <w:p>
      <w:pPr>
        <w:spacing w:after="0" w:line="39" w:lineRule="exact"/>
        <w:rPr>
          <w:rFonts w:ascii="Arial" w:cs="Arial" w:eastAsia="Arial" w:hAnsi="Arial"/>
          <w:sz w:val="16"/>
          <w:szCs w:val="16"/>
          <w:color w:val="auto"/>
        </w:rPr>
      </w:pPr>
    </w:p>
    <w:p>
      <w:pPr>
        <w:ind w:left="460" w:firstLine="443"/>
        <w:spacing w:after="0" w:line="357" w:lineRule="auto"/>
        <w:tabs>
          <w:tab w:leader="none" w:pos="114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ind w:left="460" w:right="140" w:firstLine="443"/>
        <w:spacing w:after="0" w:line="256" w:lineRule="auto"/>
        <w:tabs>
          <w:tab w:leader="none" w:pos="11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62" w:lineRule="exact"/>
        <w:rPr>
          <w:rFonts w:ascii="Arial" w:cs="Arial" w:eastAsia="Arial" w:hAnsi="Arial"/>
          <w:sz w:val="18"/>
          <w:szCs w:val="18"/>
          <w:color w:val="auto"/>
        </w:rPr>
      </w:pPr>
    </w:p>
    <w:p>
      <w:pPr>
        <w:jc w:val="both"/>
        <w:ind w:left="460" w:right="380" w:firstLine="443"/>
        <w:spacing w:after="0" w:line="306" w:lineRule="auto"/>
        <w:tabs>
          <w:tab w:leader="none" w:pos="114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§2.4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Bank or the Administrative Agent to maintain such accounts or any error therein shall not in any manner affect the obligation of the Borrower to repay the Loans in accordance with the terms of this Agreement.</w:t>
      </w:r>
    </w:p>
    <w:p>
      <w:pPr>
        <w:spacing w:after="0" w:line="25" w:lineRule="exact"/>
        <w:rPr>
          <w:rFonts w:ascii="Arial" w:cs="Arial" w:eastAsia="Arial" w:hAnsi="Arial"/>
          <w:sz w:val="16"/>
          <w:szCs w:val="16"/>
          <w:color w:val="auto"/>
        </w:rPr>
      </w:pPr>
    </w:p>
    <w:p>
      <w:pPr>
        <w:ind w:left="460" w:right="80" w:firstLine="443"/>
        <w:spacing w:after="0" w:line="294" w:lineRule="auto"/>
        <w:tabs>
          <w:tab w:leader="none" w:pos="113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340"/>
          </w:cols>
          <w:pgMar w:left="240" w:top="280" w:right="319" w:bottom="1440" w:gutter="0" w:footer="0" w:header="0"/>
        </w:sectPr>
      </w:pPr>
    </w:p>
    <w:bookmarkStart w:id="37" w:name="page38"/>
    <w:bookmarkEnd w:id="37"/>
    <w:p>
      <w:pPr>
        <w:ind w:left="4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Interest on Loans</w:t>
      </w:r>
      <w:r>
        <w:rPr>
          <w:rFonts w:ascii="Arial" w:cs="Arial" w:eastAsia="Arial" w:hAnsi="Arial"/>
          <w:sz w:val="18"/>
          <w:szCs w:val="18"/>
          <w:color w:val="auto"/>
        </w:rPr>
        <w:t>.</w:t>
      </w:r>
    </w:p>
    <w:p>
      <w:pPr>
        <w:spacing w:after="0" w:line="96" w:lineRule="exact"/>
        <w:rPr>
          <w:sz w:val="20"/>
          <w:szCs w:val="20"/>
          <w:color w:val="auto"/>
        </w:rPr>
      </w:pPr>
    </w:p>
    <w:p>
      <w:pPr>
        <w:jc w:val="both"/>
        <w:ind w:left="-4" w:right="320" w:firstLine="443"/>
        <w:spacing w:after="0" w:line="357" w:lineRule="auto"/>
        <w:tabs>
          <w:tab w:leader="none" w:pos="673"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outstanding principal amount of Base Rate Syndicated Loans and Swing Line Loans shall bear interest at the rate per annum equal to the Applicable Base Rate. The outstanding principal amount of the Eurodollar Rate Syndicated Loans shall bear interest at the Applicable Eurodollar Rate.</w:t>
      </w:r>
    </w:p>
    <w:p>
      <w:pPr>
        <w:ind w:left="-4" w:right="180" w:firstLine="443"/>
        <w:spacing w:after="0" w:line="256" w:lineRule="auto"/>
        <w:tabs>
          <w:tab w:leader="none" w:pos="6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shall be payable (i) quarterly in arrears on the first Business Day of each calendar quarter, with the first such payment commencing October 1, 2013,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56" w:lineRule="exact"/>
        <w:rPr>
          <w:sz w:val="20"/>
          <w:szCs w:val="20"/>
          <w:color w:val="auto"/>
        </w:rPr>
      </w:pPr>
    </w:p>
    <w:p>
      <w:pPr>
        <w:ind w:left="456"/>
        <w:spacing w:after="0"/>
        <w:rPr>
          <w:sz w:val="20"/>
          <w:szCs w:val="20"/>
          <w:color w:val="auto"/>
        </w:rPr>
      </w:pPr>
      <w:r>
        <w:rPr>
          <w:rFonts w:ascii="Arial" w:cs="Arial" w:eastAsia="Arial" w:hAnsi="Arial"/>
          <w:sz w:val="18"/>
          <w:szCs w:val="18"/>
          <w:b w:val="1"/>
          <w:bCs w:val="1"/>
          <w:color w:val="auto"/>
        </w:rPr>
        <w:t>§2.6. Requests for Syndicated Loans</w:t>
      </w:r>
      <w:r>
        <w:rPr>
          <w:rFonts w:ascii="Arial" w:cs="Arial" w:eastAsia="Arial" w:hAnsi="Arial"/>
          <w:sz w:val="18"/>
          <w:szCs w:val="18"/>
          <w:color w:val="auto"/>
        </w:rPr>
        <w:t>.</w:t>
      </w:r>
    </w:p>
    <w:p>
      <w:pPr>
        <w:spacing w:after="0" w:line="96" w:lineRule="exact"/>
        <w:rPr>
          <w:sz w:val="20"/>
          <w:szCs w:val="20"/>
          <w:color w:val="auto"/>
        </w:rPr>
      </w:pPr>
    </w:p>
    <w:p>
      <w:pPr>
        <w:ind w:left="-4" w:firstLine="443"/>
        <w:spacing w:after="0" w:line="284" w:lineRule="auto"/>
        <w:tabs>
          <w:tab w:leader="none" w:pos="673"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The Borrower shall give to the Administrative Agent written notice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(or telephonic notice confirmed in writing or a facsimile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of each Syndicated Loan requested hereunder (a “Syndicated Loan Request”) appropriately completed and signed by an authorized officer of the Borrower not later than (a) 11:00 a.m. (New York time) on the proposed Drawdown Date of any Base Rate Loan, or</w:t>
      </w:r>
    </w:p>
    <w:p>
      <w:pPr>
        <w:spacing w:after="0" w:line="1" w:lineRule="exact"/>
        <w:rPr>
          <w:rFonts w:ascii="Arial" w:cs="Arial" w:eastAsia="Arial" w:hAnsi="Arial"/>
          <w:sz w:val="16"/>
          <w:szCs w:val="16"/>
          <w:color w:val="auto"/>
        </w:rPr>
      </w:pPr>
    </w:p>
    <w:p>
      <w:pPr>
        <w:ind w:left="-4" w:right="80" w:firstLine="4"/>
        <w:spacing w:after="0" w:line="288" w:lineRule="auto"/>
        <w:tabs>
          <w:tab w:leader="none" w:pos="2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11:00 a.m. (New York time) three (3)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41" w:lineRule="exact"/>
        <w:rPr>
          <w:rFonts w:ascii="Arial" w:cs="Arial" w:eastAsia="Arial" w:hAnsi="Arial"/>
          <w:sz w:val="16"/>
          <w:szCs w:val="16"/>
          <w:color w:val="auto"/>
        </w:rPr>
      </w:pPr>
    </w:p>
    <w:p>
      <w:pPr>
        <w:ind w:left="-4" w:right="40" w:firstLine="443"/>
        <w:spacing w:after="0" w:line="253" w:lineRule="auto"/>
        <w:tabs>
          <w:tab w:leader="none" w:pos="68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and changes occurring in the ordinary course of business that either individually or in the aggregate do not result in a Material Adverse Effect, or (ii) that such representations and warranties expressly relate only to an earlier date).</w:t>
      </w:r>
    </w:p>
    <w:p>
      <w:pPr>
        <w:spacing w:after="0" w:line="133" w:lineRule="exact"/>
        <w:rPr>
          <w:rFonts w:ascii="Arial" w:cs="Arial" w:eastAsia="Arial" w:hAnsi="Arial"/>
          <w:sz w:val="18"/>
          <w:szCs w:val="18"/>
          <w:color w:val="auto"/>
        </w:rPr>
      </w:pPr>
    </w:p>
    <w:p>
      <w:pPr>
        <w:ind w:left="5156" w:hanging="96"/>
        <w:spacing w:after="0"/>
        <w:tabs>
          <w:tab w:leader="none" w:pos="5156" w:val="left"/>
        </w:tabs>
        <w:numPr>
          <w:ilvl w:val="2"/>
          <w:numId w:val="22"/>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36"/>
          </w:cols>
          <w:pgMar w:left="704" w:top="274" w:right="259" w:bottom="1440" w:gutter="0" w:footer="0" w:header="0"/>
        </w:sectPr>
      </w:pPr>
    </w:p>
    <w:bookmarkStart w:id="38" w:name="page39"/>
    <w:bookmarkEnd w:id="38"/>
    <w:p>
      <w:pPr>
        <w:ind w:left="-443" w:right="340" w:firstLine="443"/>
        <w:spacing w:after="0" w:line="330" w:lineRule="auto"/>
        <w:tabs>
          <w:tab w:leader="none" w:pos="234"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promptly notify each Bank of each Syndicated Loan Request received by the Administrative Agent (i) on the proposed Drawdown Date of any Base Rate Loan, or (ii) three (3) Business Days prior to the proposed Drawdown Date of any Eurodollar Loan.</w:t>
      </w:r>
    </w:p>
    <w:p>
      <w:pPr>
        <w:spacing w:after="0" w:line="1" w:lineRule="exact"/>
        <w:rPr>
          <w:sz w:val="20"/>
          <w:szCs w:val="20"/>
          <w:color w:val="auto"/>
        </w:rPr>
      </w:pPr>
    </w:p>
    <w:p>
      <w:pPr>
        <w:ind w:left="17"/>
        <w:spacing w:after="0"/>
        <w:rPr>
          <w:sz w:val="20"/>
          <w:szCs w:val="20"/>
          <w:color w:val="auto"/>
        </w:rPr>
      </w:pPr>
      <w:r>
        <w:rPr>
          <w:rFonts w:ascii="Arial" w:cs="Arial" w:eastAsia="Arial" w:hAnsi="Arial"/>
          <w:sz w:val="18"/>
          <w:szCs w:val="18"/>
          <w:b w:val="1"/>
          <w:bCs w:val="1"/>
          <w:color w:val="auto"/>
        </w:rPr>
        <w:t>§2.7. Election of Eurodollar Rate; Notice of Election; Interest Periods; Minimum Amounts</w:t>
      </w:r>
      <w:r>
        <w:rPr>
          <w:rFonts w:ascii="Arial" w:cs="Arial" w:eastAsia="Arial" w:hAnsi="Arial"/>
          <w:sz w:val="18"/>
          <w:szCs w:val="18"/>
          <w:color w:val="auto"/>
        </w:rPr>
        <w:t>.</w:t>
      </w:r>
    </w:p>
    <w:p>
      <w:pPr>
        <w:spacing w:after="0" w:line="96" w:lineRule="exact"/>
        <w:rPr>
          <w:sz w:val="20"/>
          <w:szCs w:val="20"/>
          <w:color w:val="auto"/>
        </w:rPr>
      </w:pPr>
    </w:p>
    <w:p>
      <w:pPr>
        <w:ind w:left="-443" w:firstLine="443"/>
        <w:spacing w:after="0" w:line="254" w:lineRule="auto"/>
        <w:tabs>
          <w:tab w:leader="none" w:pos="2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At the Borrower’s option, so long as no Default or Event of Default has occurred and is then continuing, the Borrower may (i) elect to convert any Base Rate Syndicated Loan or a portion thereof to a Eurodollar Loan, (ii) at the time of any Syndicated Loan Request, specify that such requested Loan shall be a Eurodollar Loan, or (iii) upon expiration of the applicable Interest Period, elect to maintain an existing Eurodollar Loan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give notice to the Administrative Agent pursuant to §2.7(b) hereof. Upon determining any Eurodollar Rate, the Administrative Agent shall forthwith provide notice thereof to the Borrower and the Banks, and each such notice to the Borrower shall be considered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correct and binding, absent manifest error.</w:t>
      </w:r>
    </w:p>
    <w:p>
      <w:pPr>
        <w:spacing w:after="0" w:line="63" w:lineRule="exact"/>
        <w:rPr>
          <w:rFonts w:ascii="Arial" w:cs="Arial" w:eastAsia="Arial" w:hAnsi="Arial"/>
          <w:sz w:val="18"/>
          <w:szCs w:val="18"/>
          <w:color w:val="auto"/>
        </w:rPr>
      </w:pPr>
    </w:p>
    <w:p>
      <w:pPr>
        <w:ind w:left="-443" w:right="120" w:firstLine="443"/>
        <w:spacing w:after="0" w:line="288" w:lineRule="auto"/>
        <w:tabs>
          <w:tab w:leader="none" w:pos="2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Three (3) Business Days prior to the making of any Eurodollar Loan or the conversion of any Base Rate Syndicated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38" w:lineRule="exact"/>
        <w:rPr>
          <w:rFonts w:ascii="Arial" w:cs="Arial" w:eastAsia="Arial" w:hAnsi="Arial"/>
          <w:sz w:val="16"/>
          <w:szCs w:val="16"/>
          <w:color w:val="auto"/>
        </w:rPr>
      </w:pPr>
    </w:p>
    <w:p>
      <w:pPr>
        <w:ind w:left="237" w:hanging="237"/>
        <w:spacing w:after="0"/>
        <w:tabs>
          <w:tab w:leader="none" w:pos="237"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Borrower may not specify an Interest Period that would extend beyond the Maturity Date.</w:t>
      </w:r>
    </w:p>
    <w:p>
      <w:pPr>
        <w:spacing w:after="0" w:line="113" w:lineRule="exact"/>
        <w:rPr>
          <w:rFonts w:ascii="Arial" w:cs="Arial" w:eastAsia="Arial" w:hAnsi="Arial"/>
          <w:sz w:val="16"/>
          <w:szCs w:val="16"/>
          <w:color w:val="auto"/>
        </w:rPr>
      </w:pPr>
    </w:p>
    <w:p>
      <w:pPr>
        <w:ind w:left="-443" w:right="40" w:firstLine="443"/>
        <w:spacing w:after="0" w:line="268" w:lineRule="auto"/>
        <w:tabs>
          <w:tab w:leader="none" w:pos="2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50" w:lineRule="exact"/>
        <w:rPr>
          <w:rFonts w:ascii="Arial" w:cs="Arial" w:eastAsia="Arial" w:hAnsi="Arial"/>
          <w:sz w:val="18"/>
          <w:szCs w:val="18"/>
          <w:color w:val="auto"/>
        </w:rPr>
      </w:pPr>
    </w:p>
    <w:p>
      <w:pPr>
        <w:ind w:left="-443" w:right="60" w:firstLine="443"/>
        <w:spacing w:after="0" w:line="259" w:lineRule="auto"/>
        <w:tabs>
          <w:tab w:leader="none" w:pos="2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the terms and conditions of §5.8 hereof, if any Affected Bank demands compensation under §5.5(c) or (d) with respect to any Eurodollar Loan, the Borrower may at any time, upon at least three (3) Business Days’ prior written notice to the applicable Administrative Agent, elect to convert such Eurodollar Loan into a Base</w:t>
      </w:r>
    </w:p>
    <w:p>
      <w:pPr>
        <w:spacing w:after="0" w:line="126" w:lineRule="exact"/>
        <w:rPr>
          <w:rFonts w:ascii="Arial" w:cs="Arial" w:eastAsia="Arial" w:hAnsi="Arial"/>
          <w:sz w:val="18"/>
          <w:szCs w:val="18"/>
          <w:color w:val="auto"/>
        </w:rPr>
      </w:pPr>
    </w:p>
    <w:p>
      <w:pPr>
        <w:ind w:left="4717" w:hanging="96"/>
        <w:spacing w:after="0"/>
        <w:tabs>
          <w:tab w:leader="none" w:pos="4717"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497"/>
          </w:cols>
          <w:pgMar w:left="1143" w:top="280" w:right="259" w:bottom="1440" w:gutter="0" w:footer="0" w:header="0"/>
        </w:sectPr>
      </w:pPr>
    </w:p>
    <w:bookmarkStart w:id="39" w:name="page40"/>
    <w:bookmarkEnd w:id="39"/>
    <w:p>
      <w:pPr>
        <w:ind w:left="4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57"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b w:val="1"/>
          <w:bCs w:val="1"/>
          <w:color w:val="auto"/>
        </w:rPr>
        <w:t>§2.8. Funds for Syndicated Loans</w:t>
      </w:r>
      <w:r>
        <w:rPr>
          <w:rFonts w:ascii="Arial" w:cs="Arial" w:eastAsia="Arial" w:hAnsi="Arial"/>
          <w:sz w:val="16"/>
          <w:szCs w:val="16"/>
          <w:color w:val="auto"/>
        </w:rPr>
        <w:t>. Not later than 1:00 p.m. (New York time) on the proposed Drawdown Date of Syndicated Loans,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Banks will make available to the Administrative Agent at the Administrative Agent’s Office, in immediately available funds, the amount of its Commitment Percentage of the amount of the requested Loan. 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32" w:lineRule="exact"/>
        <w:rPr>
          <w:sz w:val="20"/>
          <w:szCs w:val="20"/>
          <w:color w:val="auto"/>
        </w:rPr>
      </w:pPr>
    </w:p>
    <w:p>
      <w:pPr>
        <w:ind w:right="340" w:firstLine="913"/>
        <w:spacing w:after="0" w:line="262" w:lineRule="auto"/>
        <w:rPr>
          <w:sz w:val="20"/>
          <w:szCs w:val="20"/>
          <w:color w:val="auto"/>
        </w:rPr>
      </w:pPr>
      <w:r>
        <w:rPr>
          <w:rFonts w:ascii="Arial" w:cs="Arial" w:eastAsia="Arial" w:hAnsi="Arial"/>
          <w:sz w:val="18"/>
          <w:szCs w:val="18"/>
          <w:b w:val="1"/>
          <w:bCs w:val="1"/>
          <w:color w:val="auto"/>
        </w:rPr>
        <w:t>§2.9. Maturity of the Loans and Reimbursement Obligations</w:t>
      </w:r>
      <w:r>
        <w:rPr>
          <w:rFonts w:ascii="Arial" w:cs="Arial" w:eastAsia="Arial" w:hAnsi="Arial"/>
          <w:sz w:val="18"/>
          <w:szCs w:val="18"/>
          <w:color w:val="auto"/>
        </w:rPr>
        <w:t>. The Borrower promises to pay on the Maturity Date, and there shall become</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absolutely due and payable on the Maturity Date, all of the Loans and unpaid Reimbursement Obligations outstanding on such date, together with any and all accrued and unpaid interest thereon and any fees and other amounts owing hereunder.</w:t>
      </w:r>
    </w:p>
    <w:p>
      <w:pPr>
        <w:spacing w:after="0" w:line="51" w:lineRule="exact"/>
        <w:rPr>
          <w:sz w:val="20"/>
          <w:szCs w:val="20"/>
          <w:color w:val="auto"/>
        </w:rPr>
      </w:pPr>
    </w:p>
    <w:p>
      <w:pPr>
        <w:ind w:right="400" w:firstLine="913"/>
        <w:spacing w:after="0" w:line="287" w:lineRule="auto"/>
        <w:rPr>
          <w:sz w:val="20"/>
          <w:szCs w:val="20"/>
          <w:color w:val="auto"/>
        </w:rPr>
      </w:pPr>
      <w:r>
        <w:rPr>
          <w:rFonts w:ascii="Arial" w:cs="Arial" w:eastAsia="Arial" w:hAnsi="Arial"/>
          <w:sz w:val="16"/>
          <w:szCs w:val="16"/>
          <w:b w:val="1"/>
          <w:bCs w:val="1"/>
          <w:color w:val="auto"/>
        </w:rPr>
        <w:t>§2.10. Optional Prepayments or Repayments of Loans</w:t>
      </w:r>
      <w:r>
        <w:rPr>
          <w:rFonts w:ascii="Arial" w:cs="Arial" w:eastAsia="Arial" w:hAnsi="Arial"/>
          <w:sz w:val="16"/>
          <w:szCs w:val="16"/>
          <w:color w:val="auto"/>
        </w:rPr>
        <w:t>. Subject to the terms and conditions of §5.8, the Borrower shall have the right, at its</w:t>
      </w:r>
      <w:r>
        <w:rPr>
          <w:rFonts w:ascii="Arial" w:cs="Arial" w:eastAsia="Arial" w:hAnsi="Arial"/>
          <w:sz w:val="16"/>
          <w:szCs w:val="16"/>
          <w:b w:val="1"/>
          <w:bCs w:val="1"/>
          <w:color w:val="auto"/>
        </w:rPr>
        <w:t xml:space="preserve"> </w:t>
      </w:r>
      <w:r>
        <w:rPr>
          <w:rFonts w:ascii="Arial" w:cs="Arial" w:eastAsia="Arial" w:hAnsi="Arial"/>
          <w:sz w:val="16"/>
          <w:szCs w:val="16"/>
          <w:color w:val="auto"/>
        </w:rPr>
        <w:t>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w:t>
      </w:r>
    </w:p>
    <w:p>
      <w:pPr>
        <w:spacing w:after="0" w:line="1" w:lineRule="exact"/>
        <w:rPr>
          <w:sz w:val="20"/>
          <w:szCs w:val="20"/>
          <w:color w:val="auto"/>
        </w:rPr>
      </w:pPr>
    </w:p>
    <w:p>
      <w:pPr>
        <w:ind w:right="80" w:firstLine="8"/>
        <w:spacing w:after="0" w:line="295" w:lineRule="auto"/>
        <w:tabs>
          <w:tab w:leader="none" w:pos="2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101" w:lineRule="exact"/>
        <w:rPr>
          <w:rFonts w:ascii="Arial" w:cs="Arial" w:eastAsia="Arial" w:hAnsi="Arial"/>
          <w:sz w:val="16"/>
          <w:szCs w:val="16"/>
          <w:color w:val="auto"/>
        </w:rPr>
      </w:pPr>
    </w:p>
    <w:p>
      <w:pPr>
        <w:ind w:left="5620" w:hanging="96"/>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00"/>
          </w:cols>
          <w:pgMar w:left="240" w:top="280" w:right="259" w:bottom="1440" w:gutter="0" w:footer="0" w:header="0"/>
        </w:sectPr>
      </w:pPr>
    </w:p>
    <w:bookmarkStart w:id="40" w:name="page41"/>
    <w:bookmarkEnd w:id="40"/>
    <w:p>
      <w:pPr>
        <w:ind w:left="45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§2.11. Swing Line Loans; Participations</w:t>
      </w:r>
      <w:r>
        <w:rPr>
          <w:rFonts w:ascii="Arial" w:cs="Arial" w:eastAsia="Arial" w:hAnsi="Arial"/>
          <w:sz w:val="18"/>
          <w:szCs w:val="18"/>
          <w:color w:val="auto"/>
        </w:rPr>
        <w:t>.</w:t>
      </w:r>
    </w:p>
    <w:p>
      <w:pPr>
        <w:spacing w:after="0" w:line="96" w:lineRule="exact"/>
        <w:rPr>
          <w:sz w:val="20"/>
          <w:szCs w:val="20"/>
          <w:color w:val="auto"/>
        </w:rPr>
      </w:pPr>
    </w:p>
    <w:p>
      <w:pPr>
        <w:ind w:left="-4" w:right="40" w:firstLine="443"/>
        <w:spacing w:after="0" w:line="285" w:lineRule="auto"/>
        <w:tabs>
          <w:tab w:leader="none" w:pos="673"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the Swing Line Bank, in reliance upon the agreements of the other Banks set forth in this §2.11, shall make loans (each such loan, a “Swing Line Loan”) to the Borrower on any Business Day from time to time between the Effective Date and the Maturity Date, upon notice by the Borrower to the Administrative Agent in an aggregate amount not to exceed at any time outstanding the amount of the Swing Line Sublimit, notwithstanding the fact that such Swing Line Loans, when aggregated with the Commitment Percentage of the Syndicated Loans and Maximum Drawing Amount of outstanding Letters of Credit of the Bank acting as Swing Line Bank, may exceed the amount of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Swing Line Loan, (i) the sum of the outstanding principal amount of the Syndicated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outstanding principal amount of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Maximum Drawing Amount of outstanding Letters of Credit shall not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amount of Competitive Bid Loans outstanding at such time, and (ii) the aggregate outstanding principal amount of the Syndicated Loans of any Bank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Bank’s Commitment Percentage of the outstanding principal amount of the Swing Line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Bank’s Commitment Percentage of the outstanding principal amount of the Maximum Drawing Amount of outstanding Letters of Credit shall not exceed such Bank’s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shall not use the proceeds of any Swing Line Loan to refinance any outstanding Swing Line Loan. Within the foregoing limits, and subject to the other terms and conditions hereof, the Borrower may borrow under this §2.11, prepay under §2.10, and reborrow under this §2.11. Each Swing Line Loan shall be a Base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45" w:lineRule="exact"/>
        <w:rPr>
          <w:rFonts w:ascii="Arial" w:cs="Arial" w:eastAsia="Arial" w:hAnsi="Arial"/>
          <w:sz w:val="16"/>
          <w:szCs w:val="16"/>
          <w:color w:val="auto"/>
        </w:rPr>
      </w:pPr>
    </w:p>
    <w:p>
      <w:pPr>
        <w:ind w:left="-4" w:right="60" w:firstLine="443"/>
        <w:spacing w:after="0" w:line="282" w:lineRule="auto"/>
        <w:tabs>
          <w:tab w:leader="none" w:pos="682"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Swing Line Borrowing shall be made upon the Borrower’s irrevocable notice to the Swing Line Bank and the Administrative Agent, which may be given by telephone. Each such notice must be received by the Swing Line Bank and the Administrative Agent not later than 1:00 p.m. (New York time). on the requested borrowing date, and shall specify (i) the amount to be borrowed, which shall be a minimum of $100,000, and (ii) the requested borrowing date, which shall be a Business Day. Each such telephonic notice must be confirmed promptly by delivery to the Swing Line Bank and the Administrative Agent of a written Swing Line Loan Request, appropriately completed and signed by an authorized officer of the Borrower.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(by telephone or in writing)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§2.11(a), or</w:t>
      </w:r>
    </w:p>
    <w:p>
      <w:pPr>
        <w:spacing w:after="0" w:line="5" w:lineRule="exact"/>
        <w:rPr>
          <w:rFonts w:ascii="Arial" w:cs="Arial" w:eastAsia="Arial" w:hAnsi="Arial"/>
          <w:sz w:val="16"/>
          <w:szCs w:val="16"/>
          <w:color w:val="auto"/>
        </w:rPr>
      </w:pPr>
    </w:p>
    <w:p>
      <w:pPr>
        <w:ind w:left="-4" w:firstLine="4"/>
        <w:spacing w:after="0" w:line="302" w:lineRule="auto"/>
        <w:tabs>
          <w:tab w:leader="none" w:pos="2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one or more of the applicable conditions specified in §11 is not then satisfied, then, subject to the terms and conditions hereof, the Swing Line Bank will, not later than 3:00 p.m. on the borrowing date specified in such Swing Line Loan Request, make the amount of its Swing Line Loan available to the Borrower at its office by crediting the account of the Borrower on the books of the Swing Line Bank in immediately available funds.</w:t>
      </w:r>
    </w:p>
    <w:p>
      <w:pPr>
        <w:spacing w:after="0" w:line="95" w:lineRule="exact"/>
        <w:rPr>
          <w:rFonts w:ascii="Arial" w:cs="Arial" w:eastAsia="Arial" w:hAnsi="Arial"/>
          <w:sz w:val="16"/>
          <w:szCs w:val="16"/>
          <w:color w:val="auto"/>
        </w:rPr>
      </w:pPr>
    </w:p>
    <w:p>
      <w:pPr>
        <w:ind w:left="5156" w:hanging="96"/>
        <w:spacing w:after="0"/>
        <w:tabs>
          <w:tab w:leader="none" w:pos="5156" w:val="left"/>
        </w:tabs>
        <w:numPr>
          <w:ilvl w:val="2"/>
          <w:numId w:val="27"/>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16"/>
          </w:cols>
          <w:pgMar w:left="704" w:top="274" w:right="279" w:bottom="1440" w:gutter="0" w:footer="0" w:header="0"/>
        </w:sectPr>
      </w:pPr>
    </w:p>
    <w:bookmarkStart w:id="41" w:name="page42"/>
    <w:bookmarkEnd w:id="41"/>
    <w:p>
      <w:pPr>
        <w:ind w:left="-443" w:firstLine="443"/>
        <w:spacing w:after="0" w:line="286" w:lineRule="auto"/>
        <w:tabs>
          <w:tab w:leader="none" w:pos="234"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Swing Line Bank at any time in its sole discretion may request, on behalf of the Borrower (which hereby irrevocably authorizes the Swing Line Bank to so request on its behalf), that each Bank make a Base Rate Syndicated Loan in an amount equal to such Bank’s Commitment Percentage of the amount of Swing Line Loans then outstanding. Such request shall be made in writing (which written request shall be deemed to be a Syndicated Loan Request for purposes hereof) and in accordance with the requirements of §2.6, without regard to the minimum and multiples specified therein, but subject to the unutilized portion of the Total Aggregate Commitments and the conditions set forth in §11. The Swing Line Bank shall furnish the Borrower with a copy of the applicable Syndicated Loan Request promptly after delivering such notice to the Administrative Agent. Each Bank shall make an amount equal to its Commitment Percentage of the amount specified in such Syndicated Loan Request available to the Administrative Agent in immediately available funds (and the Administrative Agent may apply any cash collateral or other credit support available with respect to the applicable Swing Line Loan) for the account of the Swing Line Bank at the Administrative Agent’s Office not later than 1:00 p.m. on the day specified in such Syndicated Loan Request, whereupon, subject to §2.11(d), each Bank that so makes funds available shall be deemed to have made a Base Rate Syndicated Loan to the Borrower in such amount. The Administrative Agent shall remit the funds so received to the Swing Line Bank.</w:t>
      </w:r>
    </w:p>
    <w:p>
      <w:pPr>
        <w:spacing w:after="0" w:line="46" w:lineRule="exact"/>
        <w:rPr>
          <w:rFonts w:ascii="Arial" w:cs="Arial" w:eastAsia="Arial" w:hAnsi="Arial"/>
          <w:sz w:val="16"/>
          <w:szCs w:val="16"/>
          <w:color w:val="auto"/>
        </w:rPr>
      </w:pPr>
    </w:p>
    <w:p>
      <w:pPr>
        <w:ind w:left="-443" w:right="100" w:firstLine="443"/>
        <w:spacing w:after="0" w:line="298" w:lineRule="auto"/>
        <w:tabs>
          <w:tab w:leader="none" w:pos="24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for any reason any Swing Line Loan cannot be refinanced by such a Syndicated Borrowing in accordance with §2.11(c), the request for Base Rate Syndicated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§2.11(c) shall be deemed payment in respect of such participation.</w:t>
      </w:r>
    </w:p>
    <w:p>
      <w:pPr>
        <w:spacing w:after="0" w:line="31" w:lineRule="exact"/>
        <w:rPr>
          <w:rFonts w:ascii="Arial" w:cs="Arial" w:eastAsia="Arial" w:hAnsi="Arial"/>
          <w:sz w:val="16"/>
          <w:szCs w:val="16"/>
          <w:color w:val="auto"/>
        </w:rPr>
      </w:pPr>
    </w:p>
    <w:p>
      <w:pPr>
        <w:ind w:left="-443" w:right="80" w:firstLine="443"/>
        <w:spacing w:after="0" w:line="288" w:lineRule="auto"/>
        <w:tabs>
          <w:tab w:leader="none" w:pos="23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Bank fails to make available to the Administrative Agent for the account of the Swing Line Bank any amount required to be paid by such Bank pursuant to the foregoing provisions of this §2.11 by the time specified herein,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greater of the Federal Funds Rate and a rate determined by the Swing Line Bank in accordance with banking industry practice on interbank compensation, plus any administrative, processing or similar fees customarily charged by the Swing Line Bank in connection with the foregoing. If such Bank pays such amount (with interest and fees as aforesaid), the amount so paid shall constitute such Bank’s Syndicated Loan included in the relevant Syndicated Borrowing or funded participation in the relevant Swing Line Loan, as the case may be. A certificate of the Swing Line Bank submitted to any Bank (through the Administrative Agent) with respect to any amounts owing under this paragraph shall be conclusive absent manifest error.</w:t>
      </w:r>
    </w:p>
    <w:p>
      <w:pPr>
        <w:spacing w:after="0" w:line="106" w:lineRule="exact"/>
        <w:rPr>
          <w:rFonts w:ascii="Arial" w:cs="Arial" w:eastAsia="Arial" w:hAnsi="Arial"/>
          <w:sz w:val="16"/>
          <w:szCs w:val="16"/>
          <w:color w:val="auto"/>
        </w:rPr>
      </w:pPr>
    </w:p>
    <w:p>
      <w:pPr>
        <w:ind w:left="4717" w:hanging="96"/>
        <w:spacing w:after="0"/>
        <w:tabs>
          <w:tab w:leader="none" w:pos="4717" w:val="left"/>
        </w:tabs>
        <w:numPr>
          <w:ilvl w:val="1"/>
          <w:numId w:val="28"/>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477"/>
          </w:cols>
          <w:pgMar w:left="1143" w:top="280" w:right="279" w:bottom="1440" w:gutter="0" w:footer="0" w:header="0"/>
        </w:sectPr>
      </w:pPr>
    </w:p>
    <w:bookmarkStart w:id="42" w:name="page43"/>
    <w:bookmarkEnd w:id="42"/>
    <w:p>
      <w:pPr>
        <w:ind w:left="460" w:firstLine="443"/>
        <w:spacing w:after="0" w:line="291" w:lineRule="auto"/>
        <w:tabs>
          <w:tab w:leader="none" w:pos="1117" w:val="left"/>
        </w:tabs>
        <w:numPr>
          <w:ilvl w:val="0"/>
          <w:numId w:val="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Bank’s obligation to make Syndicated Loans or to purchase and fund risk participations in Swing Line Loans pursuant to this §2.11 shall be absolute and unconditional and shall not be affected by any circumstance, including (A) any setoff, counterclaim, recoupment, defense or other right which such Bank may have against the Swing Line Bank, the Borrower or any other Person for any reason whatsoever, (B) the occurrence or continuance of a Default, or (C) any other occurrence, event or condition, whether or not similar to any of the foregoing; provided, that each Bank’s obligation to make Syndicated Loans pursuant to this §2.11 is subject to the conditions set forth in §11. No such funding of risk participations shall relieve or otherwise impair the obligation of the Borrower to repay Swing Line Loans, together with interest as provided herein.</w:t>
      </w:r>
    </w:p>
    <w:p>
      <w:pPr>
        <w:spacing w:after="0" w:line="39"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any time after any Bank has purchased and funded a risk participation in a Swing Line Loan, if the Swing Line Bank receives any payment on account of such Swing Line Loan, the Swing Line Bank will distribute to such Bank its Commitment Percentage thereof in the same funds as those received by the Swing Line Bank.</w:t>
      </w:r>
    </w:p>
    <w:p>
      <w:pPr>
        <w:spacing w:after="0" w:line="59" w:lineRule="exact"/>
        <w:rPr>
          <w:rFonts w:ascii="Arial" w:cs="Arial" w:eastAsia="Arial" w:hAnsi="Arial"/>
          <w:sz w:val="18"/>
          <w:szCs w:val="18"/>
          <w:color w:val="auto"/>
        </w:rPr>
      </w:pPr>
    </w:p>
    <w:p>
      <w:pPr>
        <w:ind w:left="460" w:right="60" w:firstLine="443"/>
        <w:spacing w:after="0" w:line="254" w:lineRule="auto"/>
        <w:tabs>
          <w:tab w:leader="none" w:pos="11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payment received by the Swing Line Bank in respect of principal or interest on any Swing Line Loan is required to be returned by the Swing Line Bank under any of the circumstances described in §33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Bank. The obligations of the Banks under this clause shall survive the payment in full of the Obligations and the termination of this Agreement.</w:t>
      </w:r>
    </w:p>
    <w:p>
      <w:pPr>
        <w:spacing w:after="0" w:line="63" w:lineRule="exact"/>
        <w:rPr>
          <w:rFonts w:ascii="Arial" w:cs="Arial" w:eastAsia="Arial" w:hAnsi="Arial"/>
          <w:sz w:val="18"/>
          <w:szCs w:val="18"/>
          <w:color w:val="auto"/>
        </w:rPr>
      </w:pPr>
    </w:p>
    <w:p>
      <w:pPr>
        <w:jc w:val="both"/>
        <w:ind w:left="460" w:right="80" w:firstLine="443"/>
        <w:spacing w:after="0" w:line="259"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Swing Line Bank shall be responsible for invoicing the Borrower for interest on the Swing Line Loans. Until each Bank funds its Base Rate Syndicated Loan or risk participation pursuant to this §2.11 to refinance such Bank’s Commitment Percentage of any Swing Line Loan, interest in respect of such Commitment Percentage shall be solely for the account of the Swing Line Bank.</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Borrower shall make all payments of principal and interest in respect of the Swing Line Loans directly to the Swing Line Bank.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Letter of Credit Commitments</w:t>
      </w:r>
      <w:r>
        <w:rPr>
          <w:rFonts w:ascii="Arial" w:cs="Arial" w:eastAsia="Arial" w:hAnsi="Arial"/>
          <w:sz w:val="18"/>
          <w:szCs w:val="18"/>
          <w:color w:val="auto"/>
        </w:rPr>
        <w:t>.</w:t>
      </w:r>
    </w:p>
    <w:p>
      <w:pPr>
        <w:spacing w:after="0" w:line="96" w:lineRule="exact"/>
        <w:rPr>
          <w:sz w:val="20"/>
          <w:szCs w:val="20"/>
          <w:color w:val="auto"/>
        </w:rPr>
      </w:pPr>
    </w:p>
    <w:p>
      <w:pPr>
        <w:ind w:left="460" w:right="100" w:firstLine="443"/>
        <w:spacing w:after="0" w:line="256" w:lineRule="auto"/>
        <w:tabs>
          <w:tab w:leader="none" w:pos="113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hereof and the receipt by the Administrative Agent of a written notice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 “Letter of Credit Request”) appropriately completed and signed by an authorized officer of the Borrower reflecting the Maximum Drawing Amount of all Letters of Credit (including the requested Letter of Credit), and receipt by an Issuing Bank, with a copy to the Administrative Agent, of a Letter of Credit Application appropriately completed and</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60"/>
          </w:cols>
          <w:pgMar w:left="240" w:top="280" w:right="299" w:bottom="1440" w:gutter="0" w:footer="0" w:header="0"/>
        </w:sectPr>
      </w:pPr>
    </w:p>
    <w:bookmarkStart w:id="43" w:name="page44"/>
    <w:bookmarkEnd w:id="43"/>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signed by an authorized officer of the Borrower,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aggregate outstanding amount of the Loans;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 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w:t>
      </w:r>
    </w:p>
    <w:p>
      <w:pPr>
        <w:spacing w:after="0" w:line="5" w:lineRule="exact"/>
        <w:rPr>
          <w:sz w:val="20"/>
          <w:szCs w:val="20"/>
          <w:color w:val="auto"/>
        </w:rPr>
      </w:pPr>
    </w:p>
    <w:p>
      <w:pPr>
        <w:ind w:firstLine="4"/>
        <w:spacing w:after="0" w:line="28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the issuance of the Letter of Credit would violate one or more material policies of such Issuing Bank applicable to letters of credit generally applied on a consistent basis to similarly situated letter of credit applicants, or (C) any Bank is at that time a Defaulting Bank, unless (x) such Issuing Bank has entered into arrangements, including the delivery of cash collateral or other credit support, satisfactory to such Issuing Bank (in its sole discretion), with the Borrower or such Bank to eliminate such Issuing Bank’s actual or potential fronting exposure with respect to such Defaulting Bank, or (y) such actual or potential fronting exposure with respect to such Defaulting Bank has been reallocated to Banks that are non-Defaulting Banks pursuant to clause (iv) of §5.14 and (iii) the aggregate face amount of all Letters of Credit issued by any one Issuing Bank shall not at any time exceed the amount set forth opposite the name of such Issuing Bank on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hereto. Each Issuing Bank will promptly confirm to the Administrative Agent the issuance of each Letter of Credit specifying the face amount thereof or any increase thereto, and the Administrative Agent will transmit such information to the Banks.</w:t>
      </w:r>
    </w:p>
    <w:p>
      <w:pPr>
        <w:spacing w:after="0" w:line="39" w:lineRule="exact"/>
        <w:rPr>
          <w:rFonts w:ascii="Arial" w:cs="Arial" w:eastAsia="Arial" w:hAnsi="Arial"/>
          <w:sz w:val="16"/>
          <w:szCs w:val="16"/>
          <w:color w:val="auto"/>
        </w:rPr>
      </w:pPr>
    </w:p>
    <w:p>
      <w:pPr>
        <w:ind w:left="700" w:hanging="257"/>
        <w:spacing w:after="0"/>
        <w:tabs>
          <w:tab w:leader="none" w:pos="7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Letter of Credit shall be denominated in Dollars or, in accordance with and subject to the terms of §3.1(e) hereof, in Canadian Dollars.</w:t>
      </w:r>
    </w:p>
    <w:p>
      <w:pPr>
        <w:spacing w:after="0" w:line="180" w:lineRule="exact"/>
        <w:rPr>
          <w:rFonts w:ascii="Arial" w:cs="Arial" w:eastAsia="Arial" w:hAnsi="Arial"/>
          <w:sz w:val="16"/>
          <w:szCs w:val="16"/>
          <w:color w:val="auto"/>
        </w:rPr>
      </w:pPr>
    </w:p>
    <w:p>
      <w:pPr>
        <w:ind w:left="5160" w:hanging="96"/>
        <w:spacing w:after="0"/>
        <w:tabs>
          <w:tab w:leader="none" w:pos="51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60"/>
          </w:cols>
          <w:pgMar w:left="700" w:top="280" w:right="239" w:bottom="1440" w:gutter="0" w:footer="0" w:header="0"/>
        </w:sectPr>
      </w:pPr>
    </w:p>
    <w:bookmarkStart w:id="44" w:name="page45"/>
    <w:bookmarkEnd w:id="44"/>
    <w:p>
      <w:pPr>
        <w:ind w:left="-443" w:firstLine="443"/>
        <w:spacing w:after="0" w:line="288" w:lineRule="auto"/>
        <w:tabs>
          <w:tab w:leader="none" w:pos="234" w:val="left"/>
        </w:tabs>
        <w:numPr>
          <w:ilvl w:val="0"/>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 pursuant to §3.2 (such agreement of a Bank being called herein the “Letter of Credit Participation” of such Bank). Each Bank agrees that its obligation to reimburse each Issuing Bank pursuant to this §3.1(c) shall not be affected in any way by any circumstance whatsoever other than the gross negligence or willful misconduct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making of a payment under a Letter of Credit against documents that appear on their face to substantially comply with the terms and conditions of such Letter of Credit shall not be deemed to be gross negligence or willful misconduct.</w:t>
      </w:r>
    </w:p>
    <w:p>
      <w:pPr>
        <w:spacing w:after="0" w:line="38" w:lineRule="exact"/>
        <w:rPr>
          <w:rFonts w:ascii="Arial" w:cs="Arial" w:eastAsia="Arial" w:hAnsi="Arial"/>
          <w:sz w:val="16"/>
          <w:szCs w:val="16"/>
          <w:color w:val="auto"/>
        </w:rPr>
      </w:pPr>
    </w:p>
    <w:p>
      <w:pPr>
        <w:jc w:val="both"/>
        <w:ind w:left="-443" w:right="80" w:firstLine="443"/>
        <w:spacing w:after="0" w:line="306" w:lineRule="auto"/>
        <w:tabs>
          <w:tab w:leader="none" w:pos="2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25" w:lineRule="exact"/>
        <w:rPr>
          <w:rFonts w:ascii="Arial" w:cs="Arial" w:eastAsia="Arial" w:hAnsi="Arial"/>
          <w:sz w:val="16"/>
          <w:szCs w:val="16"/>
          <w:color w:val="auto"/>
        </w:rPr>
      </w:pPr>
    </w:p>
    <w:p>
      <w:pPr>
        <w:ind w:left="-443" w:right="180" w:firstLine="443"/>
        <w:spacing w:after="0" w:line="294" w:lineRule="auto"/>
        <w:tabs>
          <w:tab w:leader="none" w:pos="23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 The Borrower shall be entitled to request that one or more Letters of Credit be denominated in Canadian Dollars for the account of any Canadian Subsidiary of the Borrower (each a “Canadian Dollar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34" w:lineRule="exact"/>
        <w:rPr>
          <w:rFonts w:ascii="Arial" w:cs="Arial" w:eastAsia="Arial" w:hAnsi="Arial"/>
          <w:sz w:val="16"/>
          <w:szCs w:val="16"/>
          <w:color w:val="auto"/>
        </w:rPr>
      </w:pPr>
    </w:p>
    <w:p>
      <w:pPr>
        <w:ind w:left="17" w:firstLine="421"/>
        <w:spacing w:after="0" w:line="332" w:lineRule="auto"/>
        <w:tabs>
          <w:tab w:leader="none" w:pos="696"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The Letter of Credit Application in respect of each Canadian Dollar Letter of Credit shall be signed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therein shall be deemed to alter the obligations of the Borrower under this Agreement in respect of any drawing under any such Letter of Credit.</w:t>
      </w:r>
    </w:p>
    <w:p>
      <w:pPr>
        <w:spacing w:after="0" w:line="4" w:lineRule="exact"/>
        <w:rPr>
          <w:rFonts w:ascii="Arial" w:cs="Arial" w:eastAsia="Arial" w:hAnsi="Arial"/>
          <w:sz w:val="16"/>
          <w:szCs w:val="16"/>
          <w:color w:val="auto"/>
        </w:rPr>
      </w:pPr>
    </w:p>
    <w:p>
      <w:pPr>
        <w:jc w:val="both"/>
        <w:ind w:left="17" w:right="340" w:firstLine="421"/>
        <w:spacing w:after="0" w:line="335" w:lineRule="auto"/>
        <w:tabs>
          <w:tab w:leader="none" w:pos="744" w:val="left"/>
        </w:tabs>
        <w:numPr>
          <w:ilvl w:val="1"/>
          <w:numId w:val="32"/>
        </w:numPr>
        <w:rPr>
          <w:rFonts w:ascii="Arial" w:cs="Arial" w:eastAsia="Arial" w:hAnsi="Arial"/>
          <w:sz w:val="15"/>
          <w:szCs w:val="15"/>
          <w:color w:val="auto"/>
        </w:rPr>
      </w:pPr>
      <w:r>
        <w:rPr>
          <w:rFonts w:ascii="Arial" w:cs="Arial" w:eastAsia="Arial" w:hAnsi="Arial"/>
          <w:sz w:val="15"/>
          <w:szCs w:val="15"/>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74" w:lineRule="exact"/>
        <w:rPr>
          <w:rFonts w:ascii="Arial" w:cs="Arial" w:eastAsia="Arial" w:hAnsi="Arial"/>
          <w:sz w:val="15"/>
          <w:szCs w:val="15"/>
          <w:color w:val="auto"/>
        </w:rPr>
      </w:pPr>
    </w:p>
    <w:p>
      <w:pPr>
        <w:ind w:left="4717" w:hanging="96"/>
        <w:spacing w:after="0"/>
        <w:tabs>
          <w:tab w:leader="none" w:pos="4717" w:val="left"/>
        </w:tabs>
        <w:numPr>
          <w:ilvl w:val="2"/>
          <w:numId w:val="32"/>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0477"/>
          </w:cols>
          <w:pgMar w:left="1143" w:top="280" w:right="279" w:bottom="1440" w:gutter="0" w:footer="0" w:header="0"/>
        </w:sectPr>
      </w:pPr>
    </w:p>
    <w:bookmarkStart w:id="45" w:name="page46"/>
    <w:bookmarkEnd w:id="45"/>
    <w:p>
      <w:pPr>
        <w:ind w:left="460" w:right="180" w:firstLine="443"/>
        <w:spacing w:after="0" w:line="268" w:lineRule="auto"/>
        <w:tabs>
          <w:tab w:leader="none" w:pos="1117"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hereof.</w:t>
      </w:r>
    </w:p>
    <w:p>
      <w:pPr>
        <w:spacing w:after="0" w:line="50" w:lineRule="exact"/>
        <w:rPr>
          <w:rFonts w:ascii="Arial" w:cs="Arial" w:eastAsia="Arial" w:hAnsi="Arial"/>
          <w:sz w:val="18"/>
          <w:szCs w:val="18"/>
          <w:color w:val="auto"/>
        </w:rPr>
      </w:pPr>
    </w:p>
    <w:p>
      <w:pPr>
        <w:ind w:left="460" w:right="60" w:firstLine="443"/>
        <w:spacing w:after="0" w:line="283" w:lineRule="auto"/>
        <w:tabs>
          <w:tab w:leader="none" w:pos="1147"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The parties acknowledge and agree that (i) certain of the Existing Letters of Credit have been issued by Bank Affiliates of Issuing Banks identified in </w:t>
      </w:r>
      <w:r>
        <w:rPr>
          <w:rFonts w:ascii="Arial" w:cs="Arial" w:eastAsia="Arial" w:hAnsi="Arial"/>
          <w:sz w:val="16"/>
          <w:szCs w:val="16"/>
          <w:u w:val="single" w:color="auto"/>
          <w:color w:val="auto"/>
        </w:rPr>
        <w:t>Schedule 3.1.2</w:t>
      </w:r>
      <w:r>
        <w:rPr>
          <w:rFonts w:ascii="Arial" w:cs="Arial" w:eastAsia="Arial" w:hAnsi="Arial"/>
          <w:sz w:val="16"/>
          <w:szCs w:val="16"/>
          <w:color w:val="auto"/>
        </w:rPr>
        <w:t xml:space="preserve"> hereof, and that (ii) an Issuing Bank may hereafter comply with the provisions of §3.1 in respect of the issuance of Canadian Dollar Letters of Credit by arranging for a Bank Affiliate of such Issuing Bank organized under the laws of Canada to issue such Canadian Dollar Letter of Credit (each Letter of Credit issued by a Bank Affiliate of an Issuing Bank as provided herein being herein referred to as a “Bank Affiliate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Bank shall, prior to such issuance, have notified the Administrative Agent and the Borrower of the identity of such Bank Affiliate. The parties agree that (1) each Bank Affiliate Letter of Credit is and shall be a “Letter of Credit” for all purposes of this Agreement;</w:t>
      </w:r>
    </w:p>
    <w:p>
      <w:pPr>
        <w:spacing w:after="0" w:line="1" w:lineRule="exact"/>
        <w:rPr>
          <w:rFonts w:ascii="Arial" w:cs="Arial" w:eastAsia="Arial" w:hAnsi="Arial"/>
          <w:sz w:val="16"/>
          <w:szCs w:val="16"/>
          <w:color w:val="auto"/>
        </w:rPr>
      </w:pPr>
    </w:p>
    <w:p>
      <w:pPr>
        <w:ind w:left="460" w:firstLine="4"/>
        <w:spacing w:after="0" w:line="287" w:lineRule="auto"/>
        <w:tabs>
          <w:tab w:leader="none" w:pos="7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reference in the definition of “Reimbursement Obligation” and in §3.2, §3.3 and §3.4 to an Issuing Bank shall be deemed to include the issuer of each such Bank Affiliate Letter of Credit; (3) notwithstanding the foregoing, the issuance, extension or renewal of each Letter of Credit shall remain subject to the conditions and requirements of §3.1 and §11, and each provision of this Agreement, including without limitation the last sentence of §3.1(a) and §3.5, requiring the giving of a notice hereunder by or to an Issuing Bank shall be deemed to refer to such Issuing Bank and not to such Bank Affiliate; and (4) the obligations of the Banks, the Borrower and the Guarantor to each Issuing Bank shall, in the case of each Bank Affiliate Letter of Credit, inure to the benefit of the Bank Affiliate issuing or having issued such Bank Affiliate Letter of Credit and be enforceable by such Bank Affiliate and/or by such Issuing Bank on behalf of such Bank Affiliate. Each Canadian Dollar Letter of Credit issued by a Canadian Bank Affiliate of an Issuing Bank shall be issued on a Business Day which is not a day on which banking institutions in Toronto and Montreal, Canada are authorized by law to close.</w:t>
      </w:r>
    </w:p>
    <w:p>
      <w:pPr>
        <w:spacing w:after="0" w:line="43" w:lineRule="exact"/>
        <w:rPr>
          <w:rFonts w:ascii="Arial" w:cs="Arial" w:eastAsia="Arial" w:hAnsi="Arial"/>
          <w:sz w:val="16"/>
          <w:szCs w:val="16"/>
          <w:color w:val="auto"/>
        </w:rPr>
      </w:pPr>
    </w:p>
    <w:p>
      <w:pPr>
        <w:ind w:left="460" w:right="580" w:firstLine="443"/>
        <w:spacing w:after="0" w:line="268" w:lineRule="auto"/>
        <w:tabs>
          <w:tab w:leader="none" w:pos="11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Unless otherwise expressly agreed by the Issuing Bank and the Borrower when a Letter of Credit is issued (including any such agreement applicable to an Existing Letter of Credit), the rules of the ISP shall apply to each standby Letter of Credit.</w:t>
      </w:r>
    </w:p>
    <w:p>
      <w:pPr>
        <w:spacing w:after="0" w:line="45" w:lineRule="exact"/>
        <w:rPr>
          <w:sz w:val="20"/>
          <w:szCs w:val="20"/>
          <w:color w:val="auto"/>
        </w:rPr>
      </w:pPr>
    </w:p>
    <w:p>
      <w:pPr>
        <w:ind w:right="460" w:firstLine="913"/>
        <w:spacing w:after="0" w:line="262" w:lineRule="auto"/>
        <w:rPr>
          <w:sz w:val="20"/>
          <w:szCs w:val="20"/>
          <w:color w:val="auto"/>
        </w:rPr>
      </w:pPr>
      <w:r>
        <w:rPr>
          <w:rFonts w:ascii="Arial" w:cs="Arial" w:eastAsia="Arial" w:hAnsi="Arial"/>
          <w:sz w:val="18"/>
          <w:szCs w:val="18"/>
          <w:b w:val="1"/>
          <w:bCs w:val="1"/>
          <w:color w:val="auto"/>
        </w:rPr>
        <w:t>§3.2. Reimbursement Obligation of the Borrower</w:t>
      </w:r>
      <w:r>
        <w:rPr>
          <w:rFonts w:ascii="Arial" w:cs="Arial" w:eastAsia="Arial" w:hAnsi="Arial"/>
          <w:sz w:val="18"/>
          <w:szCs w:val="18"/>
          <w:color w:val="auto"/>
        </w:rPr>
        <w:t>. In order to induce the Issuing Banks to issue, extend and renew each Letter of Credit,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hereby agrees to reimburse or pay to each Issuing Bank, with respect to each Letter of Credit issued, extended or renewed by such Issuing Bank hereunder, as follows:</w:t>
      </w:r>
    </w:p>
    <w:p>
      <w:pPr>
        <w:spacing w:after="0" w:line="57" w:lineRule="exact"/>
        <w:rPr>
          <w:sz w:val="20"/>
          <w:szCs w:val="20"/>
          <w:color w:val="auto"/>
        </w:rPr>
      </w:pPr>
    </w:p>
    <w:p>
      <w:pPr>
        <w:ind w:left="460" w:right="120" w:firstLine="443"/>
        <w:spacing w:after="0" w:line="294" w:lineRule="auto"/>
        <w:tabs>
          <w:tab w:leader="none" w:pos="11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Borrower does not reimburse such Issuing Bank on the</w:t>
      </w:r>
    </w:p>
    <w:p>
      <w:pPr>
        <w:spacing w:after="0" w:line="102" w:lineRule="exact"/>
        <w:rPr>
          <w:rFonts w:ascii="Arial" w:cs="Arial" w:eastAsia="Arial" w:hAnsi="Arial"/>
          <w:sz w:val="16"/>
          <w:szCs w:val="16"/>
          <w:color w:val="auto"/>
        </w:rPr>
      </w:pPr>
    </w:p>
    <w:p>
      <w:pPr>
        <w:ind w:left="5620" w:hanging="96"/>
        <w:spacing w:after="0"/>
        <w:tabs>
          <w:tab w:leader="none" w:pos="5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00"/>
          </w:cols>
          <w:pgMar w:left="240" w:top="280" w:right="259" w:bottom="1440" w:gutter="0" w:footer="0" w:header="0"/>
        </w:sectPr>
      </w:pPr>
    </w:p>
    <w:bookmarkStart w:id="46" w:name="page47"/>
    <w:bookmarkEnd w:id="46"/>
    <w:p>
      <w:pPr>
        <w:ind w:left="460" w:right="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Drawdown Date, such amount shall, provided that no Event of Default under §§12.1(g) or 12.1(h) has occurred, become automatically a Base Rate Syndicated Loan advanced hereunder in an amount equal to such sum (and the Administrative Agent shall notify the Banks upon receipt of the notice thereof from the applicable Issuing Bank pursuant to §3.5, which notice shall be deemed to constitute a Syndicated Loan Request and satisfy the requirements of §2.6); and</w:t>
      </w:r>
    </w:p>
    <w:p>
      <w:pPr>
        <w:spacing w:after="0" w:line="62" w:lineRule="exact"/>
        <w:rPr>
          <w:sz w:val="20"/>
          <w:szCs w:val="20"/>
          <w:color w:val="auto"/>
        </w:rPr>
      </w:pPr>
    </w:p>
    <w:p>
      <w:pPr>
        <w:ind w:left="460" w:right="80" w:firstLine="443"/>
        <w:spacing w:after="0" w:line="298" w:lineRule="auto"/>
        <w:tabs>
          <w:tab w:leader="none" w:pos="1147" w:val="left"/>
        </w:tabs>
        <w:numPr>
          <w:ilvl w:val="0"/>
          <w:numId w:val="36"/>
        </w:numPr>
        <w:rPr>
          <w:rFonts w:ascii="Arial" w:cs="Arial" w:eastAsia="Arial" w:hAnsi="Arial"/>
          <w:sz w:val="16"/>
          <w:szCs w:val="16"/>
          <w:color w:val="auto"/>
        </w:rPr>
      </w:pPr>
      <w:r>
        <w:rPr>
          <w:rFonts w:ascii="Arial" w:cs="Arial" w:eastAsia="Arial" w:hAnsi="Arial"/>
          <w:sz w:val="16"/>
          <w:szCs w:val="16"/>
          <w:color w:val="auto"/>
        </w:rPr>
        <w:t>upon the date that is five (5) Business Days prior to the Maturity Date (or, if such day is not a Business Day, the next preceding Business Day) or the acceleration of the Reimbursement Obligations with respect to all Letters of Credit in accordance with §12, an amount equal to the then Maximum Drawing Amount of all outstanding Letters of Credit shall be paid by the Borrower to the Administrative Agent to be held as cash collateral for the applicable Reimbursement Obligations, and the Borrower hereby grants to the Administrative Agent a security interest therein.</w:t>
      </w:r>
    </w:p>
    <w:p>
      <w:pPr>
        <w:spacing w:after="0" w:line="26"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§3.3. Obligations Absolute</w:t>
      </w:r>
      <w:r>
        <w:rPr>
          <w:rFonts w:ascii="Arial" w:cs="Arial" w:eastAsia="Arial" w:hAnsi="Arial"/>
          <w:sz w:val="16"/>
          <w:szCs w:val="16"/>
          <w:color w:val="auto"/>
        </w:rPr>
        <w:t>. The Borrower’s obligations under this §3 shall be absolute and unconditional under any and all circumstances and</w:t>
      </w:r>
      <w:r>
        <w:rPr>
          <w:rFonts w:ascii="Arial" w:cs="Arial" w:eastAsia="Arial" w:hAnsi="Arial"/>
          <w:sz w:val="16"/>
          <w:szCs w:val="16"/>
          <w:b w:val="1"/>
          <w:bCs w:val="1"/>
          <w:color w:val="auto"/>
        </w:rPr>
        <w:t xml:space="preserve"> </w:t>
      </w:r>
      <w:r>
        <w:rPr>
          <w:rFonts w:ascii="Arial" w:cs="Arial" w:eastAsia="Arial" w:hAnsi="Arial"/>
          <w:sz w:val="16"/>
          <w:szCs w:val="16"/>
          <w:color w:val="auto"/>
        </w:rPr>
        <w:t>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40" w:lineRule="exact"/>
        <w:rPr>
          <w:sz w:val="20"/>
          <w:szCs w:val="20"/>
          <w:color w:val="auto"/>
        </w:rPr>
      </w:pPr>
    </w:p>
    <w:p>
      <w:pPr>
        <w:ind w:firstLine="913"/>
        <w:spacing w:after="0" w:line="326" w:lineRule="auto"/>
        <w:rPr>
          <w:sz w:val="20"/>
          <w:szCs w:val="20"/>
          <w:color w:val="auto"/>
        </w:rPr>
      </w:pPr>
      <w:r>
        <w:rPr>
          <w:rFonts w:ascii="Arial" w:cs="Arial" w:eastAsia="Arial" w:hAnsi="Arial"/>
          <w:sz w:val="15"/>
          <w:szCs w:val="15"/>
          <w:b w:val="1"/>
          <w:bCs w:val="1"/>
          <w:color w:val="auto"/>
        </w:rPr>
        <w:t>§3.4. Reliance by the Issuing Banks</w:t>
      </w:r>
      <w:r>
        <w:rPr>
          <w:rFonts w:ascii="Arial" w:cs="Arial" w:eastAsia="Arial" w:hAnsi="Arial"/>
          <w:sz w:val="15"/>
          <w:szCs w:val="15"/>
          <w:color w:val="auto"/>
        </w:rPr>
        <w:t>. To the extent not inconsistent with §3.3, each Issuing Bank shall be entitled to rely, and shall be fully</w:t>
      </w:r>
      <w:r>
        <w:rPr>
          <w:rFonts w:ascii="Arial" w:cs="Arial" w:eastAsia="Arial" w:hAnsi="Arial"/>
          <w:sz w:val="15"/>
          <w:szCs w:val="15"/>
          <w:b w:val="1"/>
          <w:bCs w:val="1"/>
          <w:color w:val="auto"/>
        </w:rPr>
        <w:t xml:space="preserve"> </w:t>
      </w:r>
      <w:r>
        <w:rPr>
          <w:rFonts w:ascii="Arial" w:cs="Arial" w:eastAsia="Arial" w:hAnsi="Arial"/>
          <w:sz w:val="15"/>
          <w:szCs w:val="15"/>
          <w:color w:val="auto"/>
        </w:rPr>
        <w:t>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47" w:name="page48"/>
    <w:bookmarkEnd w:id="47"/>
    <w:p>
      <w:pPr>
        <w:ind w:firstLine="913"/>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§3.5. Notice Regarding Letters of Credit</w:t>
      </w:r>
      <w:r>
        <w:rPr>
          <w:rFonts w:ascii="Arial" w:cs="Arial" w:eastAsia="Arial" w:hAnsi="Arial"/>
          <w:sz w:val="16"/>
          <w:szCs w:val="16"/>
          <w:color w:val="auto"/>
        </w:rPr>
        <w:t>. One (1) Business Day prior to the issuance of any Letter of Credit or any amendment, extension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thereof, the applicable Issuing Bank shall notify the 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(or failure of the Borrower to reimburse such drawing in accordance with §3.2), such Issuing Bank shall notify the Administrative Agent of such payment (or failure), specifying the amount thereof and, in the case of a payment (or failure) under a Canadian Dollar Letter of Credit, the U.S. Dollar Equivalent thereof. Additionally, each Issuing Bank shall no later than the third Business Day following the last day of each month, provide to Administrative Agent a schedule of the Letters of Credit issued by it, in form and substance reasonably satisfactory to Administrative Agent, showing the date of issuance of each Letter of Credit, the account party, the original face amount (if any), the Maximum Drawing Amount, the expiration date, and the reference number of any Letter of Credit outstanding at any time during each month, and showing the aggregate amount (if any) payable by the Borrower to such Issuing Bank during such month. Promptly after the receipt of such schedule from each Issuing Bank, the Administrative Agent shall provide to all Banks a summary aggregating the schedules received from each of the Issuing Banks.</w:t>
      </w:r>
    </w:p>
    <w:p>
      <w:pPr>
        <w:spacing w:after="0" w:line="25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§3.6. Letter of Credit Fee; Fronting Fee</w:t>
      </w:r>
      <w:r>
        <w:rPr>
          <w:rFonts w:ascii="Arial" w:cs="Arial" w:eastAsia="Arial" w:hAnsi="Arial"/>
          <w:sz w:val="16"/>
          <w:szCs w:val="16"/>
          <w:color w:val="auto"/>
        </w:rPr>
        <w:t>. The Borrower shall pay a fee (the “Letter of Credit Fee”) equal to the Applicable L/C Rate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Maximum Drawing Amount to the Administrative Agent for the account of the Banks, to be shared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by the Banks in accordance with their respective Commitment Percentages; </w:t>
      </w:r>
      <w:r>
        <w:rPr>
          <w:rFonts w:ascii="Arial" w:cs="Arial" w:eastAsia="Arial" w:hAnsi="Arial"/>
          <w:sz w:val="16"/>
          <w:szCs w:val="16"/>
          <w:u w:val="single" w:color="auto"/>
          <w:color w:val="auto"/>
        </w:rPr>
        <w:t>provided</w:t>
      </w:r>
      <w:r>
        <w:rPr>
          <w:rFonts w:ascii="Arial" w:cs="Arial" w:eastAsia="Arial" w:hAnsi="Arial"/>
          <w:sz w:val="16"/>
          <w:szCs w:val="16"/>
          <w:color w:val="auto"/>
        </w:rPr>
        <w:t>,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 5.14(iv), with the balance of such fee, if any, payable to the Issuing Bank for its own account. The Letter of Credit Fee shall be payable quarterly in arrears on the third Business Day of each calendar quarter for the quarter just ended, with the first such payment being due on October 3, 2013, and on the Maturity Date. In addition, a fronting fee (the “</w:t>
      </w:r>
      <w:r>
        <w:rPr>
          <w:rFonts w:ascii="Arial" w:cs="Arial" w:eastAsia="Arial" w:hAnsi="Arial"/>
          <w:sz w:val="16"/>
          <w:szCs w:val="16"/>
          <w:u w:val="single" w:color="auto"/>
          <w:color w:val="auto"/>
        </w:rPr>
        <w:t>Fronting Fee</w:t>
      </w:r>
      <w:r>
        <w:rPr>
          <w:rFonts w:ascii="Arial" w:cs="Arial" w:eastAsia="Arial" w:hAnsi="Arial"/>
          <w:sz w:val="16"/>
          <w:szCs w:val="16"/>
          <w:color w:val="auto"/>
        </w:rPr>
        <w:t>”) with respect to each Letter of Credit shall be due and payable to each Issuing Bank at a rate of 0.15% per annum of the amount available to be drawn under such Letter of Credit. Such Fronting Fee shall be payable by the Borrower to such Issuing Bank for its account, and the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80"/>
          </w:cols>
          <w:pgMar w:left="240" w:top="274"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 </w:t>
      </w:r>
      <w:r>
        <w:rPr>
          <w:rFonts w:ascii="Arial" w:cs="Arial" w:eastAsia="Arial" w:hAnsi="Arial"/>
          <w:sz w:val="18"/>
          <w:szCs w:val="18"/>
          <w:b w:val="1"/>
          <w:bCs w:val="1"/>
          <w:u w:val="single" w:color="auto"/>
          <w:color w:val="auto"/>
        </w:rPr>
        <w:t>COMPETITIVE BID LOANS</w:t>
      </w:r>
      <w:r>
        <w:rPr>
          <w:rFonts w:ascii="Arial" w:cs="Arial" w:eastAsia="Arial" w:hAnsi="Arial"/>
          <w:sz w:val="18"/>
          <w:szCs w:val="18"/>
          <w:b w:val="1"/>
          <w:bCs w:val="1"/>
          <w:color w:val="auto"/>
        </w:rPr>
        <w:t>.</w:t>
      </w:r>
    </w:p>
    <w:p>
      <w:pPr>
        <w:spacing w:after="0" w:line="9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§4.1. The Competitive Bid Option</w:t>
      </w:r>
      <w:r>
        <w:rPr>
          <w:rFonts w:ascii="Arial" w:cs="Arial" w:eastAsia="Arial" w:hAnsi="Arial"/>
          <w:sz w:val="16"/>
          <w:szCs w:val="16"/>
          <w:color w:val="auto"/>
        </w:rPr>
        <w:t>. In addition to the Syndicated Loans made pursuant to §2 hereof, the Borrower may request Competitive Bid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Loans pursuant to the terms of this §4. The Banks may, but shall have no obligation to, make offers for Competitive Bid Loans and the Borrower may, but shall have no obligation to, accept such offers in the manner set forth in this §4. Notwithstanding any other provision herein to the contrary, at no time shall (x) the aggregate principal amount of Competitive Bid Loans outstanding at any time exceed the Total Commitment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sum of (a) the aggregate outstanding principal amount of Syndicated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outstanding principal amount of Swing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Maximum Drawing Amount of Letters of Credit, outstanding at such time, and (y) there be more than 10 Competitive Bid Loans outstanding at any time.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§4.2. Competitive Bid Loan Accounts; Competitive Bid Loans</w:t>
      </w:r>
      <w:r>
        <w:rPr>
          <w:rFonts w:ascii="Arial" w:cs="Arial" w:eastAsia="Arial" w:hAnsi="Arial"/>
          <w:sz w:val="18"/>
          <w:szCs w:val="18"/>
          <w:color w:val="auto"/>
        </w:rPr>
        <w:t>.</w:t>
      </w:r>
    </w:p>
    <w:p>
      <w:pPr>
        <w:spacing w:after="0" w:line="96" w:lineRule="exact"/>
        <w:rPr>
          <w:sz w:val="20"/>
          <w:szCs w:val="20"/>
          <w:color w:val="auto"/>
        </w:rPr>
      </w:pPr>
    </w:p>
    <w:p>
      <w:pPr>
        <w:ind w:left="460" w:right="140" w:firstLine="443"/>
        <w:spacing w:after="0" w:line="255"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§4.2, the Borrower’s obligations with respect to Competitive Bid Loans are to be evidenced only as stated herein and not by separate promissory notes.</w:t>
      </w:r>
    </w:p>
    <w:p>
      <w:pPr>
        <w:spacing w:after="0" w:line="61" w:lineRule="exact"/>
        <w:rPr>
          <w:rFonts w:ascii="Arial" w:cs="Arial" w:eastAsia="Arial" w:hAnsi="Arial"/>
          <w:sz w:val="18"/>
          <w:szCs w:val="18"/>
          <w:color w:val="auto"/>
        </w:rPr>
      </w:pPr>
    </w:p>
    <w:p>
      <w:pPr>
        <w:ind w:left="460" w:right="540" w:firstLine="443"/>
        <w:spacing w:after="0" w:line="259" w:lineRule="auto"/>
        <w:tabs>
          <w:tab w:leader="none" w:pos="113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59" w:lineRule="exact"/>
        <w:rPr>
          <w:rFonts w:ascii="Arial" w:cs="Arial" w:eastAsia="Arial" w:hAnsi="Arial"/>
          <w:sz w:val="18"/>
          <w:szCs w:val="18"/>
          <w:color w:val="auto"/>
        </w:rPr>
      </w:pPr>
    </w:p>
    <w:p>
      <w:pPr>
        <w:ind w:left="460" w:right="120" w:firstLine="443"/>
        <w:spacing w:after="0" w:line="291" w:lineRule="auto"/>
        <w:tabs>
          <w:tab w:leader="none" w:pos="11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3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§4.3. Competitive Bid Quote Request; Invitation for Competitive Bid Quotes</w:t>
      </w:r>
      <w:r>
        <w:rPr>
          <w:rFonts w:ascii="Arial" w:cs="Arial" w:eastAsia="Arial" w:hAnsi="Arial"/>
          <w:sz w:val="18"/>
          <w:szCs w:val="18"/>
          <w:color w:val="auto"/>
        </w:rPr>
        <w:t>.</w:t>
      </w:r>
    </w:p>
    <w:p>
      <w:pPr>
        <w:spacing w:after="0" w:line="96" w:lineRule="exact"/>
        <w:rPr>
          <w:sz w:val="20"/>
          <w:szCs w:val="20"/>
          <w:color w:val="auto"/>
        </w:rPr>
      </w:pPr>
    </w:p>
    <w:p>
      <w:pPr>
        <w:jc w:val="both"/>
        <w:ind w:left="460" w:right="40" w:firstLine="443"/>
        <w:spacing w:after="0" w:line="255" w:lineRule="auto"/>
        <w:tabs>
          <w:tab w:leader="none" w:pos="113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When the Borrower wishes to request offers to make Competitive Bid Loans under this §4, it shall transmit to the Administrative Agent by telex or facsimile a Competitive Bid Quote Request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 “Competitive Bid Quote Request”) appropriately completed and signed by an authorized officer of the Borrower so as to be received no later than 1:00 p.m. (New York time) (x) five (5) Business Days prior to the requested Drawdown Date in the case of a Eurodollar Competitive Bid Loan or (y) two (2) Business Days prior to the requested Drawdown Date in the case of an Absolute Competitive Bid Loan, specifying:</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320"/>
          </w:cols>
          <w:pgMar w:left="240" w:top="274" w:right="339" w:bottom="1440" w:gutter="0" w:footer="0" w:header="0"/>
        </w:sectPr>
      </w:pPr>
    </w:p>
    <w:bookmarkStart w:id="49" w:name="page50"/>
    <w:bookmarkEnd w:id="49"/>
    <w:p>
      <w:pPr>
        <w:ind w:left="920" w:right="220" w:firstLine="421"/>
        <w:spacing w:after="0" w:line="268" w:lineRule="auto"/>
        <w:tabs>
          <w:tab w:leader="none" w:pos="1549"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requested Drawdown Date (which must be a Business Day in the case of a Eurodollar Competitive Bid Loan or a Business Day in the case of an Absolute Competitive Bid Loan);</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aggregate amount of such Competitive Bid Loans, which shall be $10,000,000 or larger multiple of $1,000,000;</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duration of the Interest Period(s) applicable thereto, subject to the provisions of the definition of Interest Period; and</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Competitive Bid Quotes requested are for Eurodollar Competitive Bid Loans or Absolute Competitive Bid Loans.</w:t>
      </w:r>
    </w:p>
    <w:p>
      <w:pPr>
        <w:spacing w:after="0" w:line="113"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59" w:lineRule="exact"/>
        <w:rPr>
          <w:sz w:val="20"/>
          <w:szCs w:val="20"/>
          <w:color w:val="auto"/>
        </w:rPr>
      </w:pPr>
    </w:p>
    <w:p>
      <w:pPr>
        <w:ind w:left="460" w:right="60" w:firstLine="443"/>
        <w:spacing w:after="0" w:line="259"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Promptly upon receipt of a Competitive Bid Quote Request, the Administrative Agent shall send to the Banks by telecopy or facsimile transmission an Invitation for Competitive Bid Quotes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which shall constitute an invitation by the Borrower to each Bank to submit Competitive Bid Quotes in accordance with this §4.</w:t>
      </w:r>
    </w:p>
    <w:p>
      <w:pPr>
        <w:spacing w:after="0" w:line="53"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§4.4. Alternative Manner of Procedure</w:t>
      </w:r>
      <w:r>
        <w:rPr>
          <w:rFonts w:ascii="Arial" w:cs="Arial" w:eastAsia="Arial" w:hAnsi="Arial"/>
          <w:sz w:val="16"/>
          <w:szCs w:val="16"/>
          <w:color w:val="auto"/>
        </w:rPr>
        <w:t>. If, after receipt by the Administrative Agent and each of the Banks of a Competitive Bid Quote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Borrower in accordance with §4.3, the Administrative Agent or any Bank shall be unable to complete any procedure of the auction process described in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Submission and Contents of Competitive Bid Quotes</w:t>
      </w:r>
      <w:r>
        <w:rPr>
          <w:rFonts w:ascii="Arial" w:cs="Arial" w:eastAsia="Arial" w:hAnsi="Arial"/>
          <w:sz w:val="18"/>
          <w:szCs w:val="18"/>
          <w:color w:val="auto"/>
        </w:rPr>
        <w:t>.</w:t>
      </w:r>
    </w:p>
    <w:p>
      <w:pPr>
        <w:spacing w:after="0" w:line="96" w:lineRule="exact"/>
        <w:rPr>
          <w:sz w:val="20"/>
          <w:szCs w:val="20"/>
          <w:color w:val="auto"/>
        </w:rPr>
      </w:pPr>
    </w:p>
    <w:p>
      <w:pPr>
        <w:ind w:left="460" w:firstLine="443"/>
        <w:spacing w:after="0" w:line="253" w:lineRule="auto"/>
        <w:tabs>
          <w:tab w:leader="none" w:pos="1137"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Each Bank may, but shall be under no obligation to, submit a Competitive Bid Quote containing an offer or offers to make Competitive Bid Loans in response to any Competitive Bid Quote Request. Each Competitive Bid Quote must comply with the requirements of this §4.5 and must be submitted to the Administrative Agent by telex or facsimile transmission at its offices as specified in or pursuant to §22 not later than (x) 2:00 p.m. (New York time) on the fourth Business Day prior to the proposed Drawdown Date, in the case of a Eurodollar Competitive Bid Loan or (y) 10:00 a.m. (New York time) one Business Day prior to the proposed Drawdown Date, in the case of an Absolute Competitive Bid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Competitive Bid Quotes may be submitted by the Administrative Agent in its capacity as a Bank only if it submits its Competitive Bid Quote to the Borrower not later than (x) one hour prior to the deadline</w:t>
      </w:r>
    </w:p>
    <w:p>
      <w:pPr>
        <w:spacing w:after="0" w:line="133" w:lineRule="exact"/>
        <w:rPr>
          <w:rFonts w:ascii="Arial" w:cs="Arial" w:eastAsia="Arial" w:hAnsi="Arial"/>
          <w:sz w:val="18"/>
          <w:szCs w:val="18"/>
          <w:color w:val="auto"/>
        </w:rPr>
      </w:pPr>
    </w:p>
    <w:p>
      <w:pPr>
        <w:ind w:left="5620" w:hanging="96"/>
        <w:spacing w:after="0"/>
        <w:tabs>
          <w:tab w:leader="none" w:pos="56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80" w:right="239" w:bottom="1440" w:gutter="0" w:footer="0" w:header="0"/>
        </w:sectPr>
      </w:pPr>
    </w:p>
    <w:bookmarkStart w:id="50" w:name="page51"/>
    <w:bookmarkEnd w:id="5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other Banks, in the case of a Eurodollar Competitive Bid Loan or (y) 15 minutes prior to the deadline for the other Banks, in the case of an Absolute Competitive Bid Loan. Subject to the provisions of §§10 and 11 hereof, any Competitive Bid Quote so made shall be irrevocable except with the written consent of the Administrative Agent given on the instructions of the Borrower.</w:t>
      </w:r>
    </w:p>
    <w:p>
      <w:pPr>
        <w:spacing w:after="0" w:line="59" w:lineRule="exact"/>
        <w:rPr>
          <w:sz w:val="20"/>
          <w:szCs w:val="20"/>
          <w:color w:val="auto"/>
        </w:rPr>
      </w:pPr>
    </w:p>
    <w:p>
      <w:pPr>
        <w:ind w:left="700" w:hanging="257"/>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Each Competitive Bid Quote shall be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and shall in any case specify:</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proposed Drawdown Date;</w:t>
      </w:r>
    </w:p>
    <w:p>
      <w:pPr>
        <w:spacing w:after="0" w:line="90" w:lineRule="exact"/>
        <w:rPr>
          <w:rFonts w:ascii="Arial" w:cs="Arial" w:eastAsia="Arial" w:hAnsi="Arial"/>
          <w:sz w:val="18"/>
          <w:szCs w:val="18"/>
          <w:color w:val="auto"/>
        </w:rPr>
      </w:pPr>
    </w:p>
    <w:p>
      <w:pPr>
        <w:ind w:left="460" w:right="40" w:firstLine="421"/>
        <w:spacing w:after="0" w:line="298" w:lineRule="auto"/>
        <w:tabs>
          <w:tab w:leader="none" w:pos="1138"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Bank may be accepted;</w:t>
      </w:r>
    </w:p>
    <w:p>
      <w:pPr>
        <w:spacing w:after="0" w:line="31" w:lineRule="exact"/>
        <w:rPr>
          <w:rFonts w:ascii="Arial" w:cs="Arial" w:eastAsia="Arial" w:hAnsi="Arial"/>
          <w:sz w:val="16"/>
          <w:szCs w:val="16"/>
          <w:color w:val="auto"/>
        </w:rPr>
      </w:pPr>
    </w:p>
    <w:p>
      <w:pPr>
        <w:ind w:left="1180" w:hanging="299"/>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Interest Period(s) for which Competitive Bid Quotes are being submitted;</w:t>
      </w:r>
    </w:p>
    <w:p>
      <w:pPr>
        <w:spacing w:after="0" w:line="90" w:lineRule="exact"/>
        <w:rPr>
          <w:rFonts w:ascii="Arial" w:cs="Arial" w:eastAsia="Arial" w:hAnsi="Arial"/>
          <w:sz w:val="18"/>
          <w:szCs w:val="18"/>
          <w:color w:val="auto"/>
        </w:rPr>
      </w:pPr>
    </w:p>
    <w:p>
      <w:pPr>
        <w:jc w:val="both"/>
        <w:ind w:left="460" w:right="500" w:firstLine="421"/>
        <w:spacing w:after="0" w:line="259" w:lineRule="auto"/>
        <w:tabs>
          <w:tab w:leader="none" w:pos="117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59" w:lineRule="exact"/>
        <w:rPr>
          <w:rFonts w:ascii="Arial" w:cs="Arial" w:eastAsia="Arial" w:hAnsi="Arial"/>
          <w:sz w:val="18"/>
          <w:szCs w:val="18"/>
          <w:color w:val="auto"/>
        </w:rPr>
      </w:pPr>
    </w:p>
    <w:p>
      <w:pPr>
        <w:ind w:left="460" w:right="840" w:firstLine="421"/>
        <w:spacing w:after="0" w:line="268" w:lineRule="auto"/>
        <w:tabs>
          <w:tab w:leader="none" w:pos="11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case of an Absolute Competitive Bid Loan, the rate of interest per annum (specified to the nearest 1/10,000th of 1%) (the “Competitive Bid Rate”) offered for each such Absolute Competitive Bid Loan; and</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identity of the quoting Bank.</w:t>
      </w:r>
    </w:p>
    <w:p>
      <w:pPr>
        <w:spacing w:after="0" w:line="9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A Competitive Bid Quote may include up to five separate offers by the quoting Bank with respect to each Interest Period specified in the related Competitive Bid Quote Request.</w:t>
      </w:r>
    </w:p>
    <w:p>
      <w:pPr>
        <w:spacing w:after="0" w:line="51" w:lineRule="exact"/>
        <w:rPr>
          <w:sz w:val="20"/>
          <w:szCs w:val="20"/>
          <w:color w:val="auto"/>
        </w:rPr>
      </w:pPr>
    </w:p>
    <w:p>
      <w:pPr>
        <w:ind w:left="680" w:hanging="237"/>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Competitive Bid Quote shall be disregarded if it:</w:t>
      </w:r>
    </w:p>
    <w:p>
      <w:pPr>
        <w:spacing w:after="0" w:line="90" w:lineRule="exact"/>
        <w:rPr>
          <w:rFonts w:ascii="Arial" w:cs="Arial" w:eastAsia="Arial" w:hAnsi="Arial"/>
          <w:sz w:val="18"/>
          <w:szCs w:val="18"/>
          <w:color w:val="auto"/>
        </w:rPr>
      </w:pPr>
    </w:p>
    <w:p>
      <w:pPr>
        <w:ind w:left="1100" w:hanging="219"/>
        <w:spacing w:after="0"/>
        <w:tabs>
          <w:tab w:leader="none" w:pos="11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is not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contains qualifying, conditional or similar language;</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proposes terms other than or in addition to those set forth in the applicable Invitation for Competitive Bid Quotes; or</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arrives after the time set forth in §4.5(a) hereof.</w:t>
      </w:r>
    </w:p>
    <w:p>
      <w:pPr>
        <w:spacing w:after="0" w:line="157" w:lineRule="exact"/>
        <w:rPr>
          <w:rFonts w:ascii="Arial" w:cs="Arial" w:eastAsia="Arial" w:hAnsi="Arial"/>
          <w:sz w:val="18"/>
          <w:szCs w:val="18"/>
          <w:color w:val="auto"/>
        </w:rPr>
      </w:pPr>
    </w:p>
    <w:p>
      <w:pPr>
        <w:ind w:left="5160" w:hanging="96"/>
        <w:spacing w:after="0"/>
        <w:tabs>
          <w:tab w:leader="none" w:pos="51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20"/>
          </w:cols>
          <w:pgMar w:left="700" w:top="280" w:right="279" w:bottom="1440" w:gutter="0" w:footer="0" w:header="0"/>
        </w:sectPr>
      </w:pPr>
    </w:p>
    <w:bookmarkStart w:id="51" w:name="page52"/>
    <w:bookmarkEnd w:id="51"/>
    <w:p>
      <w:pPr>
        <w:ind w:firstLine="91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 Notice to Borrower</w:t>
      </w:r>
      <w:r>
        <w:rPr>
          <w:rFonts w:ascii="Arial" w:cs="Arial" w:eastAsia="Arial" w:hAnsi="Arial"/>
          <w:sz w:val="16"/>
          <w:szCs w:val="16"/>
          <w:color w:val="auto"/>
        </w:rPr>
        <w:t>. The Administrative Agent shall promptly notify the Borrower of the terms (x) of any Competitive Bid Quote submitted</w:t>
      </w:r>
      <w:r>
        <w:rPr>
          <w:rFonts w:ascii="Arial" w:cs="Arial" w:eastAsia="Arial" w:hAnsi="Arial"/>
          <w:sz w:val="16"/>
          <w:szCs w:val="16"/>
          <w:b w:val="1"/>
          <w:bCs w:val="1"/>
          <w:color w:val="auto"/>
        </w:rPr>
        <w:t xml:space="preserve"> </w:t>
      </w:r>
      <w:r>
        <w:rPr>
          <w:rFonts w:ascii="Arial" w:cs="Arial" w:eastAsia="Arial" w:hAnsi="Arial"/>
          <w:sz w:val="16"/>
          <w:szCs w:val="16"/>
          <w:color w:val="auto"/>
        </w:rPr>
        <w:t>by a Bank that is in accordance with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31" w:lineRule="exact"/>
        <w:rPr>
          <w:sz w:val="20"/>
          <w:szCs w:val="20"/>
          <w:color w:val="auto"/>
        </w:rPr>
      </w:pPr>
    </w:p>
    <w:p>
      <w:pPr>
        <w:jc w:val="both"/>
        <w:ind w:right="120" w:firstLine="913"/>
        <w:spacing w:after="0" w:line="301" w:lineRule="auto"/>
        <w:rPr>
          <w:sz w:val="20"/>
          <w:szCs w:val="20"/>
          <w:color w:val="auto"/>
        </w:rPr>
      </w:pPr>
      <w:r>
        <w:rPr>
          <w:rFonts w:ascii="Arial" w:cs="Arial" w:eastAsia="Arial" w:hAnsi="Arial"/>
          <w:sz w:val="16"/>
          <w:szCs w:val="16"/>
          <w:b w:val="1"/>
          <w:bCs w:val="1"/>
          <w:color w:val="auto"/>
        </w:rPr>
        <w:t>§4.7. Acceptance and Notice by Borrower and Administrative Agent</w:t>
      </w:r>
      <w:r>
        <w:rPr>
          <w:rFonts w:ascii="Arial" w:cs="Arial" w:eastAsia="Arial" w:hAnsi="Arial"/>
          <w:sz w:val="16"/>
          <w:szCs w:val="16"/>
          <w:color w:val="auto"/>
        </w:rPr>
        <w:t>. Not later than (x) 11:00 a.m. (New York time) on the third Business Day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prior to the proposed Drawdown Date, in the case of a Eurodollar Competitive Bid Loan or (y) 11:00 a.m. (New York time) on the proposed Drawdown Date, in the case of an Absolute Competitive Bid Loan, the Borrower shall notify the Administrative Agent of its acceptance or non-acceptance of each Competitive Bid Quote in substantially the form of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The Borrower may accept any Competitive Bid Quote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8" w:lineRule="exact"/>
        <w:rPr>
          <w:sz w:val="20"/>
          <w:szCs w:val="20"/>
          <w:color w:val="auto"/>
        </w:rPr>
      </w:pPr>
    </w:p>
    <w:p>
      <w:pPr>
        <w:ind w:left="920" w:right="260" w:firstLine="421"/>
        <w:spacing w:after="0" w:line="268" w:lineRule="auto"/>
        <w:tabs>
          <w:tab w:leader="none" w:pos="15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principal amount of each Competitive Bid Loan may not exceed the applicable amount set forth in the related Competitive Bid Quote Request;</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acceptance of offers may only be made on the basis of ascending Competitive Bid Margins or Competitive Bid Rates, as the case may be,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920" w:right="40" w:firstLine="421"/>
        <w:spacing w:after="0" w:line="268" w:lineRule="auto"/>
        <w:tabs>
          <w:tab w:leader="none" w:pos="16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Borrower may not accept any offer that is described in subsection 4.5(c) or that otherwise fails to comply with the requirements of this Agreement.</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56"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§4.8. Allocation by Administrative Agent</w:t>
      </w:r>
      <w:r>
        <w:rPr>
          <w:rFonts w:ascii="Arial" w:cs="Arial" w:eastAsia="Arial" w:hAnsi="Arial"/>
          <w:sz w:val="16"/>
          <w:szCs w:val="16"/>
          <w:color w:val="auto"/>
        </w:rPr>
        <w:t>. If offers are made by two or more Banks with the same Competitive Bid Margin or Competitive Bid</w:t>
      </w:r>
      <w:r>
        <w:rPr>
          <w:rFonts w:ascii="Arial" w:cs="Arial" w:eastAsia="Arial" w:hAnsi="Arial"/>
          <w:sz w:val="16"/>
          <w:szCs w:val="16"/>
          <w:b w:val="1"/>
          <w:bCs w:val="1"/>
          <w:color w:val="auto"/>
        </w:rPr>
        <w:t xml:space="preserve"> </w:t>
      </w:r>
      <w:r>
        <w:rPr>
          <w:rFonts w:ascii="Arial" w:cs="Arial" w:eastAsia="Arial" w:hAnsi="Arial"/>
          <w:sz w:val="16"/>
          <w:szCs w:val="16"/>
          <w:color w:val="auto"/>
        </w:rPr>
        <w:t>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274" w:right="259" w:bottom="1440" w:gutter="0" w:footer="0" w:header="0"/>
        </w:sectPr>
      </w:pPr>
    </w:p>
    <w:bookmarkStart w:id="52" w:name="page53"/>
    <w:bookmarkEnd w:id="52"/>
    <w:p>
      <w:pPr>
        <w:ind w:firstLine="913"/>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§4.9. Funding of Competitive Bid Loans</w:t>
      </w:r>
      <w:r>
        <w:rPr>
          <w:rFonts w:ascii="Arial" w:cs="Arial" w:eastAsia="Arial" w:hAnsi="Arial"/>
          <w:sz w:val="18"/>
          <w:szCs w:val="18"/>
          <w:color w:val="auto"/>
        </w:rPr>
        <w:t>. If, on or prior to the Drawdown Date of any Competitive Bid Loan, the Total Commitment has not</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in full and if, on such Drawdown Date, the applicable conditions of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5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b w:val="1"/>
          <w:bCs w:val="1"/>
          <w:color w:val="auto"/>
        </w:rPr>
        <w:t>§4.10. Funding Losses</w:t>
      </w:r>
      <w:r>
        <w:rPr>
          <w:rFonts w:ascii="Arial" w:cs="Arial" w:eastAsia="Arial" w:hAnsi="Arial"/>
          <w:sz w:val="18"/>
          <w:szCs w:val="18"/>
          <w:color w:val="auto"/>
        </w:rPr>
        <w:t>. If, after acceptance of any Competitive Bid Quote pursuant to §4, the Borrower (i) fails to borrow any Competitive Bid</w:t>
      </w:r>
      <w:r>
        <w:rPr>
          <w:rFonts w:ascii="Arial" w:cs="Arial" w:eastAsia="Arial" w:hAnsi="Arial"/>
          <w:sz w:val="18"/>
          <w:szCs w:val="18"/>
          <w:b w:val="1"/>
          <w:bCs w:val="1"/>
          <w:color w:val="auto"/>
        </w:rPr>
        <w:t xml:space="preserve"> </w:t>
      </w:r>
      <w:r>
        <w:rPr>
          <w:rFonts w:ascii="Arial" w:cs="Arial" w:eastAsia="Arial" w:hAnsi="Arial"/>
          <w:sz w:val="18"/>
          <w:szCs w:val="18"/>
          <w:color w:val="auto"/>
        </w:rPr>
        <w:t>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§5.8.</w:t>
      </w:r>
    </w:p>
    <w:p>
      <w:pPr>
        <w:spacing w:after="0" w:line="58"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§4.11. Repayment of Competitive Bid Loans; Interest</w:t>
      </w:r>
      <w:r>
        <w:rPr>
          <w:rFonts w:ascii="Arial" w:cs="Arial" w:eastAsia="Arial" w:hAnsi="Arial"/>
          <w:sz w:val="16"/>
          <w:szCs w:val="16"/>
          <w:color w:val="auto"/>
        </w:rPr>
        <w:t>. The principal of each Competitive Bid Loan shall become absolutely due and payable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u w:val="single" w:color="auto"/>
          <w:color w:val="auto"/>
        </w:rPr>
        <w:t>PROVISIONS RELATING TO ALL LOANS AND LETTERS OF CREDIT</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Payments</w:t>
      </w:r>
      <w:r>
        <w:rPr>
          <w:rFonts w:ascii="Arial" w:cs="Arial" w:eastAsia="Arial" w:hAnsi="Arial"/>
          <w:sz w:val="18"/>
          <w:szCs w:val="18"/>
          <w:color w:val="auto"/>
        </w:rPr>
        <w:t>.</w:t>
      </w:r>
    </w:p>
    <w:p>
      <w:pPr>
        <w:spacing w:after="0" w:line="96" w:lineRule="exact"/>
        <w:rPr>
          <w:sz w:val="20"/>
          <w:szCs w:val="20"/>
          <w:color w:val="auto"/>
        </w:rPr>
      </w:pPr>
    </w:p>
    <w:p>
      <w:pPr>
        <w:jc w:val="both"/>
        <w:ind w:left="460" w:right="40" w:firstLine="443"/>
        <w:spacing w:after="0" w:line="298" w:lineRule="auto"/>
        <w:tabs>
          <w:tab w:leader="none" w:pos="1137"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payments of principal, interest, Reimbursement Obligations, fees (other than the Fronting Fee) and any other amounts due hereunder or under any of the other Loan Documents shall be made to the Administrative Agent at the Administrative Agent’s Office in immediately available funds by 11:00 a.m. (New York time) on any due date. Subject to the provisions of §29, if a payment is received by the Administrative Agent at or before 1:00 p.m. (New York time) on any Business Day, the Administrative Agent shall on the same Business Day transfer in immediately available funds, as</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00"/>
          </w:cols>
          <w:pgMar w:left="240" w:top="274" w:right="259" w:bottom="1440" w:gutter="0" w:footer="0" w:header="0"/>
        </w:sectPr>
      </w:pPr>
    </w:p>
    <w:bookmarkStart w:id="53" w:name="page54"/>
    <w:bookmarkEnd w:id="53"/>
    <w:p>
      <w:pPr>
        <w:ind w:right="1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to (1) each of the Banks, their pro rata portion of such payment in accordance with their respective Commitment Percentages, in the case of payments with respect to Syndicated Loans and Letters of Credit, (2) the Swing Line Bank in the case of payments with respect to Swing Line Loans, and</w:t>
      </w:r>
    </w:p>
    <w:p>
      <w:pPr>
        <w:ind w:left="260" w:hanging="256"/>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appropriate Bank(s), in the case of payments with respect to Competitive Bid Loans. If such payment is received by the Administrative Agent after</w:t>
      </w:r>
    </w:p>
    <w:p>
      <w:pPr>
        <w:spacing w:after="0" w:line="32"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1:00 p.m. (New York time) on any Business Day, such transfer shall be made by the Administrative Agent to the applicable Bank(s) on the next Business Day.</w:t>
      </w:r>
    </w:p>
    <w:p>
      <w:pPr>
        <w:spacing w:after="0" w:line="56" w:lineRule="exact"/>
        <w:rPr>
          <w:rFonts w:ascii="Arial" w:cs="Arial" w:eastAsia="Arial" w:hAnsi="Arial"/>
          <w:sz w:val="16"/>
          <w:szCs w:val="16"/>
          <w:color w:val="auto"/>
        </w:rPr>
      </w:pPr>
    </w:p>
    <w:p>
      <w:pPr>
        <w:ind w:firstLine="443"/>
        <w:spacing w:after="0" w:line="286" w:lineRule="auto"/>
        <w:tabs>
          <w:tab w:leader="none" w:pos="68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 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46" w:lineRule="exact"/>
        <w:rPr>
          <w:rFonts w:ascii="Arial" w:cs="Arial" w:eastAsia="Arial" w:hAnsi="Arial"/>
          <w:sz w:val="16"/>
          <w:szCs w:val="16"/>
          <w:color w:val="auto"/>
        </w:rPr>
      </w:pPr>
    </w:p>
    <w:p>
      <w:pPr>
        <w:ind w:right="100" w:firstLine="443"/>
        <w:spacing w:after="0" w:line="287" w:lineRule="auto"/>
        <w:tabs>
          <w:tab w:leader="none" w:pos="67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Without limiting the generality of the foregoing, 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w:t>
      </w:r>
    </w:p>
    <w:p>
      <w:pPr>
        <w:spacing w:after="0" w:line="109" w:lineRule="exact"/>
        <w:rPr>
          <w:rFonts w:ascii="Arial" w:cs="Arial" w:eastAsia="Arial" w:hAnsi="Arial"/>
          <w:sz w:val="16"/>
          <w:szCs w:val="16"/>
          <w:color w:val="auto"/>
        </w:rPr>
      </w:pPr>
    </w:p>
    <w:p>
      <w:pPr>
        <w:ind w:left="5160" w:hanging="96"/>
        <w:spacing w:after="0"/>
        <w:tabs>
          <w:tab w:leader="none" w:pos="51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60"/>
          </w:cols>
          <w:pgMar w:left="700" w:top="280" w:right="239" w:bottom="1440" w:gutter="0" w:footer="0" w:header="0"/>
        </w:sectPr>
      </w:pPr>
    </w:p>
    <w:bookmarkStart w:id="54" w:name="page55"/>
    <w:bookmarkEnd w:id="5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on or before the date that any such letter or form expires or becomes obsolete or after the occurrence of any event requiring a change in the most recent form previously delivered by it to the Borrower and Administrative Agent, and such extensions or renewals thereof as may reasonably be requested by the Borrower or the Administrative Agent, certifying in the case of a Form W-8BEN or W-8ECI that 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 If a payment made to a Bank under any Loan Document would be subject to United States Federal withholding tax imposed by FATCA if such Bank were to fail to comply with the applicable reporting requirements of FATCA (including those contained in §1471(b) or 1472(b) of the Code, as applicable), such Bank shall deliver to the Borrower and the Administrative Agent at the time or times prescribed by law and at such time or times reasonably requested by the Borrower or the Administrative Agent such documentation prescribed by applicable law (including as prescribed by §1471(b)(3)(C)(i) of the Code) and such additional documentation reasonably requested by the Borrower or the Administrative Agent as may be necessary for the Borrower and the Administrative Agent to comply with their obligations under FATCA and to determine that such Bank has complied with such Bank’s obligations under FATCA or to determine the amount to deduct and withhold from such payment. Solely for purposes of this paragraph (c), “FATCA” shall include any amendments made to FATCA after the date of this Agreement. Each Bank agrees that if any form or certification it previously delivered pursuant to this paragraph (c) expires or becomes obsolete or inaccurate in any respect, it shall update such form or certification or promptly notify the Borrower and the Administrative Agent in writing of its legal inability to do so.</w:t>
      </w:r>
    </w:p>
    <w:p>
      <w:pPr>
        <w:spacing w:after="0" w:line="40" w:lineRule="exact"/>
        <w:rPr>
          <w:sz w:val="20"/>
          <w:szCs w:val="20"/>
          <w:color w:val="auto"/>
        </w:rPr>
      </w:pPr>
    </w:p>
    <w:p>
      <w:pPr>
        <w:ind w:right="40" w:firstLine="443"/>
        <w:spacing w:after="0" w:line="282" w:lineRule="auto"/>
        <w:tabs>
          <w:tab w:leader="none" w:pos="687"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pay any additional amounts to any Non-U.S. Bank in respect of United States Federal withholding tax pursuant to §5.1(b) or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 shall not apply to any transferee or New Lending Office as a result of an assignment, transfer or designation made at the request of the Borrower;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(ii) the obligation to pay such additional amounts would not have arisen but for a failure by such Non-U.S. Bank to comply with the provisions of paragraph (b) above; or (iii) such obligation is imposed under</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FATCA.</w:t>
      </w:r>
    </w:p>
    <w:p>
      <w:pPr>
        <w:spacing w:after="0" w:line="151" w:lineRule="exact"/>
        <w:rPr>
          <w:rFonts w:ascii="Arial" w:cs="Arial" w:eastAsia="Arial" w:hAnsi="Arial"/>
          <w:sz w:val="16"/>
          <w:szCs w:val="16"/>
          <w:color w:val="auto"/>
        </w:rPr>
      </w:pPr>
    </w:p>
    <w:p>
      <w:pPr>
        <w:ind w:left="5160" w:hanging="96"/>
        <w:spacing w:after="0"/>
        <w:tabs>
          <w:tab w:leader="none" w:pos="5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60"/>
          </w:cols>
          <w:pgMar w:left="700" w:top="280" w:right="239" w:bottom="1440" w:gutter="0" w:footer="0" w:header="0"/>
        </w:sectPr>
      </w:pPr>
    </w:p>
    <w:bookmarkStart w:id="55" w:name="page56"/>
    <w:bookmarkEnd w:id="55"/>
    <w:p>
      <w:pPr>
        <w:ind w:left="460" w:right="60" w:firstLine="443"/>
        <w:spacing w:after="0" w:line="259"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5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§5.2. Mandatory Repayments of the Loans</w:t>
      </w:r>
      <w:r>
        <w:rPr>
          <w:rFonts w:ascii="Arial" w:cs="Arial" w:eastAsia="Arial" w:hAnsi="Arial"/>
          <w:sz w:val="16"/>
          <w:szCs w:val="16"/>
          <w:color w:val="auto"/>
        </w:rPr>
        <w:t>. If at any time (including without limitation by reason of fluctuation in the rate of exchange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Canadian Dollar and the U.S. Dollar)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Swing Line Loans,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to Syndicated Loans, then to Competitive Bid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amount of cash collateral held by the Administrative Agent pursuant to this §5.2 exceeds the Maximum Drawing Amount required to be collateralized from time to time, the Administrative Agent shall return such excess to the Borrower.</w:t>
      </w:r>
    </w:p>
    <w:p>
      <w:pPr>
        <w:spacing w:after="0" w:line="31" w:lineRule="exact"/>
        <w:rPr>
          <w:sz w:val="20"/>
          <w:szCs w:val="20"/>
          <w:color w:val="auto"/>
        </w:rPr>
      </w:pPr>
    </w:p>
    <w:p>
      <w:pPr>
        <w:ind w:firstLine="913"/>
        <w:spacing w:after="0" w:line="316" w:lineRule="auto"/>
        <w:rPr>
          <w:sz w:val="20"/>
          <w:szCs w:val="20"/>
          <w:color w:val="auto"/>
        </w:rPr>
      </w:pPr>
      <w:r>
        <w:rPr>
          <w:rFonts w:ascii="Arial" w:cs="Arial" w:eastAsia="Arial" w:hAnsi="Arial"/>
          <w:sz w:val="15"/>
          <w:szCs w:val="15"/>
          <w:b w:val="1"/>
          <w:bCs w:val="1"/>
          <w:color w:val="auto"/>
        </w:rPr>
        <w:t>§5.3. Computations</w:t>
      </w:r>
      <w:r>
        <w:rPr>
          <w:rFonts w:ascii="Arial" w:cs="Arial" w:eastAsia="Arial" w:hAnsi="Arial"/>
          <w:sz w:val="15"/>
          <w:szCs w:val="15"/>
          <w:color w:val="auto"/>
        </w:rPr>
        <w:t>. Except as otherwise expressly provided herein, all computations of interest, Facility Fees, Letter of Credit Fees or other fees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shall be based on a 360-day year and paid for the actual number of days elapsed, except that computations based on the Base Rate (including Base Rate Loans determined by reference to the Eurodollar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any Interest Period for any Eurodollar Loan if such next succeeding Business Day falls in the next succeeding calendar month or after the Maturity Date, it shall be deemed to end on the next preceding Business Day.</w:t>
      </w:r>
    </w:p>
    <w:p>
      <w:pPr>
        <w:spacing w:after="0" w:line="1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§5.4. Illegality; Inability to Determine Eurodollar Rate</w:t>
      </w:r>
      <w:r>
        <w:rPr>
          <w:rFonts w:ascii="Arial" w:cs="Arial" w:eastAsia="Arial" w:hAnsi="Arial"/>
          <w:sz w:val="16"/>
          <w:szCs w:val="16"/>
          <w:color w:val="auto"/>
        </w:rPr>
        <w:t>. Notwithstanding any other provision of this Agreement (other than §5.10), if (a) the</w:t>
      </w:r>
      <w:r>
        <w:rPr>
          <w:rFonts w:ascii="Arial" w:cs="Arial" w:eastAsia="Arial" w:hAnsi="Arial"/>
          <w:sz w:val="16"/>
          <w:szCs w:val="16"/>
          <w:b w:val="1"/>
          <w:bCs w:val="1"/>
          <w:color w:val="auto"/>
        </w:rPr>
        <w:t xml:space="preserve"> </w:t>
      </w:r>
      <w:r>
        <w:rPr>
          <w:rFonts w:ascii="Arial" w:cs="Arial" w:eastAsia="Arial" w:hAnsi="Arial"/>
          <w:sz w:val="16"/>
          <w:szCs w:val="16"/>
          <w:color w:val="auto"/>
        </w:rPr>
        <w:t>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in connection with an existing or proposed Base Rate Loan bearing interest at the rate described in clause (c) of the definition of Base Rate, or (b) if the Majority Banks or the Administrative Agent, as applicable, shall reasonably determine with respect to Eurodollar Loans that (i) by reason of circumstances affecting any Eurodollar interbank market, adequate and reasonable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280" w:right="239" w:bottom="1440" w:gutter="0" w:footer="0" w:header="0"/>
        </w:sectPr>
      </w:pPr>
    </w:p>
    <w:bookmarkStart w:id="56" w:name="page57"/>
    <w:bookmarkEnd w:id="5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methods do not exist for ascertaining the Eurodollar Rate which would otherwise be applicable during any Interest Period, or (ii) deposits of Dollars in the relevant amount for the relevant Interest Period are not available to such Banks or the Administrative Agent in any Eurodollar interbank market, or (iii) the Eurodollar Rate does not or will not accurately reflect the cost to such Banks or the Administrative Agent of obtaining or maintaining the Eurodollar Loans during any Interest Period, then such Banks (through the Administrative Agent) or the Administrative Agent shall promptly give telephonic, telex or cable notice of such determination to the Borrower (which notice shall be conclusive and binding upon the Borrower). Upon such notification, the obligation of the Banks and the Administrative Agent to make Eurodollar Loans shall be suspended and, in the event of clauses (a) or (b)(i) or (ii) of the immediately preceding sentence, the utilization of the Eurodollar Rate component in determining the Base Rate shall be suspended, in each case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 Notwithstanding the foregoing, if the Administrative Agent or Majority Banks have made the determination that the circumstances in clause (b)(i) or (b)(ii) of the first sentence of this §5.4 applies with respect to any Eurodollar Loans (any such Loans, “Impacted Loans”), the Administrative Agent, in consultation with the Borrower and the Banks, may establish an alternative interest rate for the Impacted Loans, in which case such alternative interest rate shall apply with respect to Impacted Loans until (1) the Administrative Agent or Majority Banks revoke the notice delivered with respect to the Impacted Loans pursuant to the first sentence of this §5.4, (2) the Administrative Agent or the Majority Banks notify the Borrower and, in the case of any notice from the Majority Banks, the Administrative Agent that such alternative rate of interest does not adequately and fairly reflect the cost to such Banks for funding the Impacted Loans, or (3) any Bank determined that any law had made it unlawful, or any governmental or other regulatory body or official has asserted that it is unlawful for such Bank or its applicable lending office to make, maintain or fund Loans whose interest is determined by reference to such alternative rate of interest or to determine or charge interest based on such rate or any governmental or other regulatory body or official has imposed material restrictions on the authority of such Bank to do any of the foregoing and provides the Administrative Agent and the Borrower of written notice thereof.</w:t>
      </w:r>
    </w:p>
    <w:p>
      <w:pPr>
        <w:spacing w:after="0" w:line="4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§5.5. Additional Costs, Etc</w:t>
      </w:r>
      <w:r>
        <w:rPr>
          <w:rFonts w:ascii="Arial" w:cs="Arial" w:eastAsia="Arial" w:hAnsi="Arial"/>
          <w:sz w:val="16"/>
          <w:szCs w:val="16"/>
          <w:color w:val="auto"/>
        </w:rPr>
        <w:t>. If any present or future applicable law (which expression, as used herein, includes statutes,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included in such expression, regardless of the date enacted, adopted or issued) shall: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380"/>
          </w:cols>
          <w:pgMar w:left="240" w:top="280" w:right="279" w:bottom="1440" w:gutter="0" w:footer="0" w:header="0"/>
        </w:sectPr>
      </w:pPr>
    </w:p>
    <w:bookmarkStart w:id="57" w:name="page58"/>
    <w:bookmarkEnd w:id="57"/>
    <w:p>
      <w:pPr>
        <w:ind w:left="460" w:right="120" w:firstLine="443"/>
        <w:spacing w:after="0" w:line="259"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59"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59"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provided in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59" w:lineRule="exact"/>
        <w:rPr>
          <w:rFonts w:ascii="Arial" w:cs="Arial" w:eastAsia="Arial" w:hAnsi="Arial"/>
          <w:sz w:val="18"/>
          <w:szCs w:val="18"/>
          <w:color w:val="auto"/>
        </w:rPr>
      </w:pPr>
    </w:p>
    <w:p>
      <w:pPr>
        <w:ind w:left="920" w:firstLine="421"/>
        <w:spacing w:after="0" w:line="268" w:lineRule="auto"/>
        <w:tabs>
          <w:tab w:leader="none" w:pos="1549"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increase the cost to such Bank of making, funding, issuing, renewing, extending or maintaining the Loans or such Bank’s Commitment or issuing or participating in Letters of Credit;</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5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reduce the amount of principal, interest or other amount payable to such Bank hereunder on account of such Bank’s Commitment, the Loans or the Reimbursement Obligations; or</w:t>
      </w:r>
    </w:p>
    <w:p>
      <w:pPr>
        <w:spacing w:after="0" w:line="50" w:lineRule="exact"/>
        <w:rPr>
          <w:rFonts w:ascii="Arial" w:cs="Arial" w:eastAsia="Arial" w:hAnsi="Arial"/>
          <w:sz w:val="18"/>
          <w:szCs w:val="18"/>
          <w:color w:val="auto"/>
        </w:rPr>
      </w:pPr>
    </w:p>
    <w:p>
      <w:pPr>
        <w:ind w:left="920" w:right="380" w:firstLine="421"/>
        <w:spacing w:after="0" w:line="259" w:lineRule="auto"/>
        <w:tabs>
          <w:tab w:leader="none" w:pos="164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determination and allocation of amounts, if any, claimed by any Bank under this §5.5 are made on a reasonable basis in a manner consistent with such Bank’s treatment of customers of such Bank that such Bank considers, in its reasonable discretion, to be similar to the Borrower and having generally similar provisions in their agreements with such Bank.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280" w:right="259" w:bottom="1440" w:gutter="0" w:footer="0" w:header="0"/>
        </w:sectPr>
      </w:pPr>
    </w:p>
    <w:bookmarkStart w:id="58" w:name="page59"/>
    <w:bookmarkEnd w:id="58"/>
    <w:p>
      <w:pPr>
        <w:ind w:firstLine="913"/>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§5.6. Capital Adequacy</w:t>
      </w:r>
      <w:r>
        <w:rPr>
          <w:rFonts w:ascii="Arial" w:cs="Arial" w:eastAsia="Arial" w:hAnsi="Arial"/>
          <w:sz w:val="16"/>
          <w:szCs w:val="16"/>
          <w:color w:val="auto"/>
        </w:rPr>
        <w:t>. If any Bank shall have determined that, after the date hereof, (a) the adoption of any applicable law, rule or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regarding capital adequacy or liquidity requirements,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or liquidity requirements (whether or not having the force of law) of any such authority, central bank or comparable agency (which, notwithstanding anything herein to the contrary, shall include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regardless of the date enacted, adopted or issued),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or liquidity requirements,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and liquidity)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4" w:lineRule="exact"/>
        <w:rPr>
          <w:sz w:val="20"/>
          <w:szCs w:val="20"/>
          <w:color w:val="auto"/>
        </w:rPr>
      </w:pPr>
    </w:p>
    <w:p>
      <w:pPr>
        <w:jc w:val="both"/>
        <w:ind w:right="240" w:firstLine="913"/>
        <w:spacing w:after="0" w:line="258" w:lineRule="auto"/>
        <w:rPr>
          <w:sz w:val="20"/>
          <w:szCs w:val="20"/>
          <w:color w:val="auto"/>
        </w:rPr>
      </w:pPr>
      <w:r>
        <w:rPr>
          <w:rFonts w:ascii="Arial" w:cs="Arial" w:eastAsia="Arial" w:hAnsi="Arial"/>
          <w:sz w:val="18"/>
          <w:szCs w:val="18"/>
          <w:b w:val="1"/>
          <w:bCs w:val="1"/>
          <w:color w:val="auto"/>
        </w:rPr>
        <w:t>§5.7. Certificate</w:t>
      </w:r>
      <w:r>
        <w:rPr>
          <w:rFonts w:ascii="Arial" w:cs="Arial" w:eastAsia="Arial" w:hAnsi="Arial"/>
          <w:sz w:val="18"/>
          <w:szCs w:val="18"/>
          <w:color w:val="auto"/>
        </w:rPr>
        <w:t>. A certificate setting forth the additional amounts payable pursuant to §5.5 or §5.6 and a reasonable explanation of such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which are due, submitted by any Bank to the Borrower, shall be conclusive, absent manifest error, that such amounts are due and 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be entitled to additional amounts with respect to events or circumstances occurring more than one hundred and twenty (120) days prior to the delivery of such certificate.</w:t>
      </w:r>
    </w:p>
    <w:p>
      <w:pPr>
        <w:spacing w:after="0" w:line="55"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b w:val="1"/>
          <w:bCs w:val="1"/>
          <w:color w:val="auto"/>
        </w:rPr>
        <w:t>§5.8. Eurodollar and Competitive Bid Indemnity</w:t>
      </w:r>
      <w:r>
        <w:rPr>
          <w:rFonts w:ascii="Arial" w:cs="Arial" w:eastAsia="Arial" w:hAnsi="Arial"/>
          <w:sz w:val="16"/>
          <w:szCs w:val="16"/>
          <w:color w:val="auto"/>
        </w:rPr>
        <w:t>. The Borrower agrees to indemnify the Banks and the Administrative Agent and to hold them</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§2.7 or a Notice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274" w:right="239" w:bottom="1440" w:gutter="0" w:footer="0" w:header="0"/>
        </w:sectPr>
      </w:pPr>
    </w:p>
    <w:bookmarkStart w:id="59" w:name="page60"/>
    <w:bookmarkEnd w:id="5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Acceptance/Rejection of Competitive Bid Quote(s), or a notice pursuant to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33" w:lineRule="exact"/>
        <w:rPr>
          <w:sz w:val="20"/>
          <w:szCs w:val="20"/>
          <w:color w:val="auto"/>
        </w:rPr>
      </w:pPr>
    </w:p>
    <w:p>
      <w:pPr>
        <w:jc w:val="both"/>
        <w:ind w:right="40" w:firstLine="913"/>
        <w:spacing w:after="0" w:line="310" w:lineRule="auto"/>
        <w:rPr>
          <w:sz w:val="20"/>
          <w:szCs w:val="20"/>
          <w:color w:val="auto"/>
        </w:rPr>
      </w:pPr>
      <w:r>
        <w:rPr>
          <w:rFonts w:ascii="Arial" w:cs="Arial" w:eastAsia="Arial" w:hAnsi="Arial"/>
          <w:sz w:val="16"/>
          <w:szCs w:val="16"/>
          <w:b w:val="1"/>
          <w:bCs w:val="1"/>
          <w:color w:val="auto"/>
        </w:rPr>
        <w:t>§5.9. Interest on Overdue Amounts</w:t>
      </w:r>
      <w:r>
        <w:rPr>
          <w:rFonts w:ascii="Arial" w:cs="Arial" w:eastAsia="Arial" w:hAnsi="Arial"/>
          <w:sz w:val="16"/>
          <w:szCs w:val="16"/>
          <w:color w:val="auto"/>
        </w:rPr>
        <w:t>. Overdue principal and (to the extent permitted by applicable law) interest on the Loans and all other overdue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payable hereunder or under any of the other Loan Documents shall bear interest compounded monthly and payable on demand at a rate per annum equal to the Applicable Base Rate plus 2% per annum, until such amount shall be paid in full (after as well as before judgment).</w:t>
      </w:r>
    </w:p>
    <w:p>
      <w:pPr>
        <w:spacing w:after="0" w:line="1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§5.10. Interest Limitation</w:t>
      </w:r>
      <w:r>
        <w:rPr>
          <w:rFonts w:ascii="Arial" w:cs="Arial" w:eastAsia="Arial" w:hAnsi="Arial"/>
          <w:sz w:val="18"/>
          <w:szCs w:val="18"/>
          <w:color w:val="auto"/>
        </w:rPr>
        <w:t>. Notwithstanding any other term of this Agreement, any other Loan Document or any other document referred to herein</w:t>
      </w:r>
      <w:r>
        <w:rPr>
          <w:rFonts w:ascii="Arial" w:cs="Arial" w:eastAsia="Arial" w:hAnsi="Arial"/>
          <w:sz w:val="18"/>
          <w:szCs w:val="18"/>
          <w:b w:val="1"/>
          <w:bCs w:val="1"/>
          <w:color w:val="auto"/>
        </w:rPr>
        <w:t xml:space="preserve"> </w:t>
      </w:r>
      <w:r>
        <w:rPr>
          <w:rFonts w:ascii="Arial" w:cs="Arial" w:eastAsia="Arial" w:hAnsi="Arial"/>
          <w:sz w:val="18"/>
          <w:szCs w:val="18"/>
          <w:color w:val="auto"/>
        </w:rPr>
        <w:t>or therein, the maximum amount of interest which may be 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5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§5.11. Reasonable Efforts to Mitigate</w:t>
      </w:r>
      <w:r>
        <w:rPr>
          <w:rFonts w:ascii="Arial" w:cs="Arial" w:eastAsia="Arial" w:hAnsi="Arial"/>
          <w:sz w:val="16"/>
          <w:szCs w:val="16"/>
          <w:color w:val="auto"/>
        </w:rPr>
        <w:t>. Each Bank agrees that as promptly as practicable after it becomes aware of the occurrence of an event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existence of a condition that would cause it to be affected 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280" w:right="259" w:bottom="1440" w:gutter="0" w:footer="0" w:header="0"/>
        </w:sectPr>
      </w:pPr>
    </w:p>
    <w:bookmarkStart w:id="60" w:name="page61"/>
    <w:bookmarkEnd w:id="60"/>
    <w:p>
      <w:pPr>
        <w:ind w:firstLine="913"/>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§5.12. Replacement of Banks; Termination of Commitments</w:t>
      </w:r>
      <w:r>
        <w:rPr>
          <w:rFonts w:ascii="Arial" w:cs="Arial" w:eastAsia="Arial" w:hAnsi="Arial"/>
          <w:sz w:val="16"/>
          <w:szCs w:val="16"/>
          <w:color w:val="auto"/>
        </w:rPr>
        <w:t>. If any Bank (an “Affected Bank”) (i) makes demand upon the Borrower for (or if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Borrower is otherwise required to pay) amounts pursuant to §§5.5 or 5.6, (ii) is unable to make or maintain Eurodollar Loans as a result of a condition described in §5.4, (iii) is a Defaulting Bank, or (iv) is a Non-Consenting Bank (as defined below), the Borrower may, within 90 days of receipt of such demand, notice (or the occurrence of such other event causing the Borrower to be required to pay such compensation or causing §5.4 to be applicable), default or approval of such amendment, waiver or consent by the Majority Banks,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 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0" w:lineRule="exact"/>
        <w:rPr>
          <w:sz w:val="20"/>
          <w:szCs w:val="20"/>
          <w:color w:val="auto"/>
        </w:rPr>
      </w:pPr>
    </w:p>
    <w:p>
      <w:pPr>
        <w:ind w:left="1560" w:hanging="219"/>
        <w:spacing w:after="0"/>
        <w:tabs>
          <w:tab w:leader="none" w:pos="1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§20 (to the extent not waived);</w:t>
      </w:r>
    </w:p>
    <w:p>
      <w:pPr>
        <w:spacing w:after="0" w:line="90" w:lineRule="exact"/>
        <w:rPr>
          <w:rFonts w:ascii="Arial" w:cs="Arial" w:eastAsia="Arial" w:hAnsi="Arial"/>
          <w:sz w:val="18"/>
          <w:szCs w:val="18"/>
          <w:color w:val="auto"/>
        </w:rPr>
      </w:pPr>
    </w:p>
    <w:p>
      <w:pPr>
        <w:ind w:left="920" w:right="60" w:firstLine="421"/>
        <w:spacing w:after="0" w:line="294" w:lineRule="auto"/>
        <w:tabs>
          <w:tab w:leader="none" w:pos="1598"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subject to the provisions in §5.14 with respect to any Defaulting Bank in the case of reallocation of payments to such Defaulting Bank for amounts described in clauses first, sixth and seventh of such §5.14,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§§5.5, 5.6 and 5.8) from the assignee (to the extent of such outstanding principal and accrued interest and fees) or the Borrower (in the case of all other amounts);</w:t>
      </w:r>
    </w:p>
    <w:p>
      <w:pPr>
        <w:spacing w:after="0" w:line="34" w:lineRule="exact"/>
        <w:rPr>
          <w:rFonts w:ascii="Arial" w:cs="Arial" w:eastAsia="Arial" w:hAnsi="Arial"/>
          <w:sz w:val="16"/>
          <w:szCs w:val="16"/>
          <w:color w:val="auto"/>
        </w:rPr>
      </w:pPr>
    </w:p>
    <w:p>
      <w:pPr>
        <w:ind w:left="920" w:right="100" w:firstLine="421"/>
        <w:spacing w:after="0" w:line="268" w:lineRule="auto"/>
        <w:tabs>
          <w:tab w:leader="none" w:pos="16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any such assignment resulting from a claim for compensation under §§5.5 or 5.6, such assignment will result in a reduction in such compensation or payments thereafter;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274" w:right="279" w:bottom="1440" w:gutter="0" w:footer="0" w:header="0"/>
        </w:sectPr>
      </w:pPr>
    </w:p>
    <w:bookmarkStart w:id="61" w:name="page62"/>
    <w:bookmarkEnd w:id="61"/>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Borrower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Borrower’s written notice of such election and (ii) the date that the Borrower has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§§5.5, 5.6 and 5.8) (which payments and credit support may be held and applied to the Loans, interest, fees and other obligations of such Bank on a non-pro rata basis with payments made to the other Banks, notwithstanding the provisions of §29 to the contrary);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not 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(y) the Maximum Drawing Amount of outstanding Letters of Credit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(z) the amount of cash collateral or other credit support satisfactory to the Administrative Agent and each applicable Issuing Bank that the Borrower has provided to secure Reimbursement Obligations prior to or concurrently with such termination which would exceed the Total Commitment.</w:t>
      </w:r>
    </w:p>
    <w:p>
      <w:pPr>
        <w:spacing w:after="0" w:line="127" w:lineRule="exact"/>
        <w:rPr>
          <w:sz w:val="20"/>
          <w:szCs w:val="20"/>
          <w:color w:val="auto"/>
        </w:rPr>
      </w:pPr>
    </w:p>
    <w:p>
      <w:pPr>
        <w:ind w:right="120" w:firstLine="456"/>
        <w:spacing w:after="0" w:line="330" w:lineRule="auto"/>
        <w:rPr>
          <w:sz w:val="20"/>
          <w:szCs w:val="20"/>
          <w:color w:val="auto"/>
        </w:rPr>
      </w:pPr>
      <w:r>
        <w:rPr>
          <w:rFonts w:ascii="Arial" w:cs="Arial" w:eastAsia="Arial" w:hAnsi="Arial"/>
          <w:sz w:val="16"/>
          <w:szCs w:val="16"/>
          <w:color w:val="auto"/>
        </w:rPr>
        <w:t>For the purposes of this §5.12, a “Non-Consenting Bank” means a Bank that fails to approve an amendment, waiver or consent requested by the Borrower pursuant to §15.9 that has received the written approval of not less than the Majority Banks but also requires the approval of such Bank.</w:t>
      </w:r>
    </w:p>
    <w:p>
      <w:pPr>
        <w:spacing w:after="0" w:line="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b w:val="1"/>
          <w:bCs w:val="1"/>
          <w:color w:val="auto"/>
        </w:rPr>
        <w:t>§5.13. Advances by Administrative Agent</w:t>
      </w:r>
      <w:r>
        <w:rPr>
          <w:rFonts w:ascii="Arial" w:cs="Arial" w:eastAsia="Arial" w:hAnsi="Arial"/>
          <w:sz w:val="16"/>
          <w:szCs w:val="16"/>
          <w:color w:val="auto"/>
        </w:rPr>
        <w:t>. Unless the Administrative Agent shall have been notified in writing by any Bank prior to a borrowing</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that such Bank will not make the amount that would 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20"/>
          </w:cols>
          <w:pgMar w:left="240" w:top="280" w:right="239" w:bottom="1440" w:gutter="0" w:footer="0" w:header="0"/>
        </w:sectPr>
      </w:pPr>
    </w:p>
    <w:bookmarkStart w:id="62" w:name="page63"/>
    <w:bookmarkEnd w:id="62"/>
    <w:p>
      <w:pPr>
        <w:ind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§5.14. Defaulting Banks. </w:t>
      </w:r>
      <w:r>
        <w:rPr>
          <w:rFonts w:ascii="Arial" w:cs="Arial" w:eastAsia="Arial" w:hAnsi="Arial"/>
          <w:sz w:val="18"/>
          <w:szCs w:val="18"/>
          <w:color w:val="auto"/>
        </w:rPr>
        <w:t>Notwithstanding anything to the contrary contained in this Agreement, if any Bank becomes a Defaulting Bank, then, until</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 as such Bank is no longer a Defaulting Bank, to the extent permitted by applicable law:</w:t>
      </w:r>
    </w:p>
    <w:p>
      <w:pPr>
        <w:spacing w:after="0" w:line="45" w:lineRule="exact"/>
        <w:rPr>
          <w:sz w:val="20"/>
          <w:szCs w:val="20"/>
          <w:color w:val="auto"/>
        </w:rPr>
      </w:pPr>
    </w:p>
    <w:p>
      <w:pPr>
        <w:ind w:left="920" w:right="80" w:firstLine="421"/>
        <w:spacing w:after="0" w:line="268" w:lineRule="auto"/>
        <w:tabs>
          <w:tab w:leader="none" w:pos="15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Defaulting Bank’s right to approve or disapprove any amendment, waiver or consent with respect to this Agreement shall be restricted as set forth in §15.9;</w:t>
      </w:r>
    </w:p>
    <w:p>
      <w:pPr>
        <w:spacing w:after="0" w:line="50" w:lineRule="exact"/>
        <w:rPr>
          <w:rFonts w:ascii="Arial" w:cs="Arial" w:eastAsia="Arial" w:hAnsi="Arial"/>
          <w:sz w:val="18"/>
          <w:szCs w:val="18"/>
          <w:color w:val="auto"/>
        </w:rPr>
      </w:pPr>
    </w:p>
    <w:p>
      <w:pPr>
        <w:ind w:left="920" w:right="20" w:firstLine="421"/>
        <w:spacing w:after="0" w:line="284" w:lineRule="auto"/>
        <w:tabs>
          <w:tab w:leader="none" w:pos="15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Administrative Agent for the account of any such Bank on account of such Bank’s Syndicated Loans or from such Bank pursuant to §13, shall be applied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that Defaulting Bank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that Defaulting Bank to the Issuing Banks or Swing Line Bank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the Administrative Agent or requested by the Issuing Banks or Swing Line Bank, to be held as cash collateral for future funding obligations of that Defaulting Bank of any participation in any Swing Line Loan or Letter of Credit (and each such Bank hereby grants to the Administrative Agent a security interest therein); </w:t>
      </w:r>
      <w:r>
        <w:rPr>
          <w:rFonts w:ascii="Arial" w:cs="Arial" w:eastAsia="Arial" w:hAnsi="Arial"/>
          <w:sz w:val="16"/>
          <w:szCs w:val="16"/>
          <w:i w:val="1"/>
          <w:iCs w:val="1"/>
          <w:color w:val="auto"/>
        </w:rPr>
        <w:t>fourth</w:t>
      </w:r>
      <w:r>
        <w:rPr>
          <w:rFonts w:ascii="Arial" w:cs="Arial" w:eastAsia="Arial" w:hAnsi="Arial"/>
          <w:sz w:val="16"/>
          <w:szCs w:val="16"/>
          <w:color w:val="auto"/>
        </w:rPr>
        <w:t>, if the Borrower so requests (so long as no Default or Event of Default exists), to the funding of any Syndicated Loan in respect of which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Defaulting Bank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non-interest bearing deposit account and released in order to satisfy obligations of that Defaulting Bank to fund Syndicated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that Defaulting Bank as a result of that Defaulting Bank’s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that Defaulting Bank as a result of that Defaulting Bank’s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that Defaulting Bank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Syndicated Loans or Letter of Credit Participations in respect of which that Defaulting Bank has not fully funded its appropriate share and (y) such Loans or Letter of Credit Participations were made at a time when the conditions set forth in §11 were satisfied or waived, such payment shall be applied solely to pay the Loans of, and Letter of Credit Participations owed to, all non-Defaulting Banks on a pro rata basis prior to being applied to the payment of any Loans of, or Letter of Credit Participations owed to, that Defaulting Bank (and any such amounts paid or payable to a Defaulting Bank that are applied to pay amounts owed by a Defaulting Bank or to post cash collateral pursuant to this §5.14 shall be deemed paid to and redirected by such Defaulting Bank, and each Bank irrevocably consents hereto);</w:t>
      </w:r>
    </w:p>
    <w:p>
      <w:pPr>
        <w:spacing w:after="0" w:line="114" w:lineRule="exact"/>
        <w:rPr>
          <w:rFonts w:ascii="Arial" w:cs="Arial" w:eastAsia="Arial" w:hAnsi="Arial"/>
          <w:sz w:val="16"/>
          <w:szCs w:val="16"/>
          <w:color w:val="auto"/>
        </w:rPr>
      </w:pPr>
    </w:p>
    <w:p>
      <w:pPr>
        <w:ind w:left="5620" w:hanging="96"/>
        <w:spacing w:after="0"/>
        <w:tabs>
          <w:tab w:leader="none" w:pos="5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274" w:right="239" w:bottom="1440" w:gutter="0" w:footer="0" w:header="0"/>
        </w:sectPr>
      </w:pPr>
    </w:p>
    <w:bookmarkStart w:id="63" w:name="page64"/>
    <w:bookmarkEnd w:id="63"/>
    <w:p>
      <w:pPr>
        <w:ind w:left="-280" w:firstLine="421"/>
        <w:spacing w:after="0" w:line="253" w:lineRule="auto"/>
        <w:tabs>
          <w:tab w:leader="none" w:pos="44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Defaulting Bank (x) shall be entitled to receive Facility Fees only to extent allocable to the sum of (1) the outstanding amount of the Syndicated Loans funded by it and (2) its Commitment Percentage of the stated amount of Letters of Credit and Swing Line Loans for which it has provided cash collateral or other credit support satisfactory to each Issuing Bank (in its sole discretion) and the Swing Line Bank (in its sole discretion)(and the Borrower shall (A) be required to pay to each Issuing Bank and the Swing Line Bank, as applicable, the amount of such Facility Fee allocable to its fronting exposure arising from that Defaulting Bank and (B) not be required to pay the remaining amount of such fee that otherwise would have been required to have been paid to that Defaulting Bank) and (y) shall be limited in its right to receive Letter of Credit Fees as provided in §3.6;</w:t>
      </w:r>
    </w:p>
    <w:p>
      <w:pPr>
        <w:spacing w:after="0" w:line="66" w:lineRule="exact"/>
        <w:rPr>
          <w:rFonts w:ascii="Arial" w:cs="Arial" w:eastAsia="Arial" w:hAnsi="Arial"/>
          <w:sz w:val="18"/>
          <w:szCs w:val="18"/>
          <w:color w:val="auto"/>
        </w:rPr>
      </w:pPr>
    </w:p>
    <w:p>
      <w:pPr>
        <w:ind w:left="-280" w:firstLine="421"/>
        <w:spacing w:after="0" w:line="289" w:lineRule="auto"/>
        <w:tabs>
          <w:tab w:leader="none" w:pos="4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for purposes of computing the amount of the obligation of each non-Defaulting Bank to acquire, refinance or fund participations in Letters of Credit or Swing Line Loans hereunder, including, without limitation, under §3.1(c), the “Commitment Percentage” of each non-Defaulting Bank shall be computed without giving effect to the Commitment of that Defaulting Bank using a fraction the numerator of which is the Commitment of such non-Defaulting Bank and the denominator of which is the aggregate Commitments of all non-Defaulting Banks;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foregoing change in computation shall be given effect only if, at the date the applicable Bank becomes a Defaulting Bank, no Default or Event of Default exists, and (B) the aggregate obligation of each non-Defaulting Bank to acquire, refinance or fund participations in Letters of Credit and Swing Line Loans shall not exceed the positive difference, if any, of (1) the Commitment of that non-Defaulting Bank minus (2) the aggregate outstanding amount of the Syndicated Loans of that non-Defaulting Bank; and</w:t>
      </w:r>
    </w:p>
    <w:p>
      <w:pPr>
        <w:spacing w:after="0" w:line="37" w:lineRule="exact"/>
        <w:rPr>
          <w:rFonts w:ascii="Arial" w:cs="Arial" w:eastAsia="Arial" w:hAnsi="Arial"/>
          <w:sz w:val="16"/>
          <w:szCs w:val="16"/>
          <w:color w:val="auto"/>
        </w:rPr>
      </w:pPr>
    </w:p>
    <w:p>
      <w:pPr>
        <w:ind w:left="-280" w:firstLine="421"/>
        <w:spacing w:after="0" w:line="288" w:lineRule="auto"/>
        <w:tabs>
          <w:tab w:leader="none" w:pos="388" w:val="left"/>
        </w:tabs>
        <w:numPr>
          <w:ilvl w:val="0"/>
          <w:numId w:val="52"/>
        </w:numPr>
        <w:rPr>
          <w:rFonts w:ascii="Arial" w:cs="Arial" w:eastAsia="Arial" w:hAnsi="Arial"/>
          <w:sz w:val="16"/>
          <w:szCs w:val="16"/>
          <w:color w:val="auto"/>
        </w:rPr>
      </w:pPr>
      <w:r>
        <w:rPr>
          <w:rFonts w:ascii="Arial" w:cs="Arial" w:eastAsia="Arial" w:hAnsi="Arial"/>
          <w:sz w:val="16"/>
          <w:szCs w:val="16"/>
          <w:color w:val="auto"/>
        </w:rPr>
        <w:t>immediately upon the request of the Administrative Agent, the Swing Line Bank or any Issuing Bank and provided that such Defaulting Bank has not provided cash collateral or other credit support satisfactory to the Administrative Agent, the Swing Line Bank or each such Issuing Bank (in its sole discretion) (which each Bank hereby agrees to provide in the event that it becomes a Defaulting Bank), the Borrower shall (A) first, prepay Swing Line Loans in an amount equal to the Swing Line Bank’s fronting exposure for the Defaulting Bank’s participation of in any outstanding Swing Line Loans and (B) second, deliver to the Administrative Agent cash collateral or other credit support satisfactory to the Administrative Agent or each such Issuing Bank (in its sole discretion) (and the Borrower hereby grants to the Administrative Agent a security interest therein) in an amount sufficient to cover the fronting exposure of such Persons for the Defaulting Bank’s participation in any outstanding Letters of Credit, in each case, after giving effect to the reallocation of such exposure to the non-Defaulting Banks pursuant to clause (iv) above and any cash collateral or other credit support provided by the Defaulting Bank.</w:t>
      </w:r>
    </w:p>
    <w:p>
      <w:pPr>
        <w:spacing w:after="0" w:line="106" w:lineRule="exact"/>
        <w:rPr>
          <w:rFonts w:ascii="Arial" w:cs="Arial" w:eastAsia="Arial" w:hAnsi="Arial"/>
          <w:sz w:val="16"/>
          <w:szCs w:val="16"/>
          <w:color w:val="auto"/>
        </w:rPr>
      </w:pPr>
    </w:p>
    <w:p>
      <w:pPr>
        <w:ind w:left="4420" w:hanging="96"/>
        <w:spacing w:after="0"/>
        <w:tabs>
          <w:tab w:leader="none" w:pos="4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160"/>
          </w:cols>
          <w:pgMar w:left="1440" w:top="280" w:right="299" w:bottom="1440" w:gutter="0" w:footer="0" w:header="0"/>
        </w:sectPr>
      </w:pPr>
    </w:p>
    <w:bookmarkStart w:id="64" w:name="page65"/>
    <w:bookmarkEnd w:id="64"/>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Borrower, the Administrative Agent, the Swing Line Bank and the Issuing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(which may include arrangements with respect to any cash collateral or other credit support satisfactory to the Administrative Agent, the Swing Line Bank and each applicable Issuing Bank), such Bank will purchase such portion of outstanding Syndicated Loans of the other Banks or take such other actions as the Administrative Agent may determine to be necessary to cause the Syndicated Loans and funded and unfunded participations in Letters of Credit and Swing Line Loans to be held on a pro rata basis by the Banks in accordance with their Commitment Percentages (disregarding any portions not funded by other Defaulting Banks), whereupon such Bank will cease to be a Defaulting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Borrower while such Bank was a Defaulting Bank;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Bank to Bank will constitute a waiver or release of any claim of any party hereunder arising from such Bank’s having been a Defaulting Bank.</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So long as any Bank is a Defaulting Bank, the Swing Line Bank shall not be required to fund any Swing Line Loans unless it is satisfied that it will have no actual or potential fronting exposure with respect to such Defaulting Bank after giving effect to such Swing Line Loan.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color w:val="auto"/>
        </w:rPr>
        <w:t>. The Borrower (and the Guarantor, where applicable) represents and warrants to the Banks that:</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 Corporate Authority</w:t>
      </w:r>
      <w:r>
        <w:rPr>
          <w:rFonts w:ascii="Arial" w:cs="Arial" w:eastAsia="Arial" w:hAnsi="Arial"/>
          <w:sz w:val="18"/>
          <w:szCs w:val="18"/>
          <w:color w:val="auto"/>
        </w:rPr>
        <w:t>.</w:t>
      </w:r>
    </w:p>
    <w:p>
      <w:pPr>
        <w:spacing w:after="0" w:line="96" w:lineRule="exact"/>
        <w:rPr>
          <w:sz w:val="20"/>
          <w:szCs w:val="20"/>
          <w:color w:val="auto"/>
        </w:rPr>
      </w:pPr>
    </w:p>
    <w:p>
      <w:pPr>
        <w:ind w:left="460" w:right="160" w:firstLine="443"/>
        <w:spacing w:after="0" w:line="255" w:lineRule="auto"/>
        <w:tabs>
          <w:tab w:leader="none" w:pos="1137"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Incorporation; Good Standing</w:t>
      </w:r>
      <w:r>
        <w:rPr>
          <w:rFonts w:ascii="Arial" w:cs="Arial" w:eastAsia="Arial" w:hAnsi="Arial"/>
          <w:sz w:val="18"/>
          <w:szCs w:val="18"/>
          <w:color w:val="auto"/>
        </w:rPr>
        <w:t>. The Borrower and each of its Significant Subsidiaries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61" w:lineRule="exact"/>
        <w:rPr>
          <w:rFonts w:ascii="Arial" w:cs="Arial" w:eastAsia="Arial" w:hAnsi="Arial"/>
          <w:sz w:val="18"/>
          <w:szCs w:val="18"/>
          <w:color w:val="auto"/>
        </w:rPr>
      </w:pPr>
    </w:p>
    <w:p>
      <w:pPr>
        <w:ind w:left="460" w:firstLine="443"/>
        <w:spacing w:after="0" w:line="289" w:lineRule="auto"/>
        <w:tabs>
          <w:tab w:leader="none" w:pos="114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The execution, delivery and performance of its Loan Documents and the transactions contemplated hereby and thereby (i) are within the corporate authority of the Borrower and the Guarantor, (ii) 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420"/>
          </w:cols>
          <w:pgMar w:left="240" w:top="280" w:right="239" w:bottom="1440" w:gutter="0" w:footer="0" w:header="0"/>
        </w:sectPr>
      </w:pPr>
    </w:p>
    <w:bookmarkStart w:id="65" w:name="page66"/>
    <w:bookmarkEnd w:id="65"/>
    <w:p>
      <w:pPr>
        <w:ind w:left="460" w:right="120" w:firstLine="443"/>
        <w:spacing w:after="0" w:line="256" w:lineRule="auto"/>
        <w:tabs>
          <w:tab w:leader="none" w:pos="113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w:t>
      </w:r>
      <w:r>
        <w:rPr>
          <w:rFonts w:ascii="Arial" w:cs="Arial" w:eastAsia="Arial" w:hAnsi="Arial"/>
          <w:sz w:val="18"/>
          <w:szCs w:val="18"/>
          <w:color w:val="auto"/>
        </w:rPr>
        <w:t>.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56"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§6.2. Governmental and Other Approvals</w:t>
      </w:r>
      <w:r>
        <w:rPr>
          <w:rFonts w:ascii="Arial" w:cs="Arial" w:eastAsia="Arial" w:hAnsi="Arial"/>
          <w:sz w:val="18"/>
          <w:szCs w:val="18"/>
          <w:color w:val="auto"/>
        </w:rPr>
        <w:t>. The execution, delivery and performance of the Loan Documents by the Borrower and the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55" w:lineRule="exact"/>
        <w:rPr>
          <w:sz w:val="20"/>
          <w:szCs w:val="20"/>
          <w:color w:val="auto"/>
        </w:rPr>
      </w:pPr>
    </w:p>
    <w:p>
      <w:pPr>
        <w:ind w:right="400" w:firstLine="913"/>
        <w:spacing w:after="0" w:line="258" w:lineRule="auto"/>
        <w:rPr>
          <w:sz w:val="20"/>
          <w:szCs w:val="20"/>
          <w:color w:val="auto"/>
        </w:rPr>
      </w:pPr>
      <w:r>
        <w:rPr>
          <w:rFonts w:ascii="Arial" w:cs="Arial" w:eastAsia="Arial" w:hAnsi="Arial"/>
          <w:sz w:val="18"/>
          <w:szCs w:val="18"/>
          <w:b w:val="1"/>
          <w:bCs w:val="1"/>
          <w:color w:val="auto"/>
        </w:rPr>
        <w:t>§6.3. Title to Properties; Leases</w:t>
      </w:r>
      <w:r>
        <w:rPr>
          <w:rFonts w:ascii="Arial" w:cs="Arial" w:eastAsia="Arial" w:hAnsi="Arial"/>
          <w:sz w:val="18"/>
          <w:szCs w:val="18"/>
          <w:color w:val="auto"/>
        </w:rPr>
        <w:t>. The Borrower and its Subsidiaries own all of the assets reflected in the consolidated balance sheet as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Interim Balance Sheet Date or acquired since that date (except property and assets (a) operated under Capital Leases, (b) sold or otherwise disposed of in the ordinary course of business since that date, or (c) consolidated in accordance with variable entity guidance in FASB ASC 810), subject to no Liens except Permitted Liens.</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Financial Statements; Solvency</w:t>
      </w:r>
      <w:r>
        <w:rPr>
          <w:rFonts w:ascii="Arial" w:cs="Arial" w:eastAsia="Arial" w:hAnsi="Arial"/>
          <w:sz w:val="18"/>
          <w:szCs w:val="18"/>
          <w:color w:val="auto"/>
        </w:rPr>
        <w:t>.</w:t>
      </w:r>
    </w:p>
    <w:p>
      <w:pPr>
        <w:spacing w:after="0" w:line="96" w:lineRule="exact"/>
        <w:rPr>
          <w:sz w:val="20"/>
          <w:szCs w:val="20"/>
          <w:color w:val="auto"/>
        </w:rPr>
      </w:pPr>
    </w:p>
    <w:p>
      <w:pPr>
        <w:ind w:left="460" w:firstLine="443"/>
        <w:spacing w:after="0" w:line="287" w:lineRule="auto"/>
        <w:tabs>
          <w:tab w:leader="none" w:pos="113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109" w:lineRule="exact"/>
        <w:rPr>
          <w:rFonts w:ascii="Arial" w:cs="Arial" w:eastAsia="Arial" w:hAnsi="Arial"/>
          <w:sz w:val="16"/>
          <w:szCs w:val="16"/>
          <w:color w:val="auto"/>
        </w:rPr>
      </w:pPr>
    </w:p>
    <w:p>
      <w:pPr>
        <w:ind w:left="5620" w:hanging="96"/>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420"/>
          </w:cols>
          <w:pgMar w:left="240" w:top="280" w:right="239" w:bottom="1440" w:gutter="0" w:footer="0" w:header="0"/>
        </w:sectPr>
      </w:pPr>
    </w:p>
    <w:bookmarkStart w:id="66" w:name="page67"/>
    <w:bookmarkEnd w:id="66"/>
    <w:p>
      <w:pPr>
        <w:ind w:left="460" w:right="40" w:firstLine="443"/>
        <w:spacing w:after="0" w:line="306" w:lineRule="auto"/>
        <w:tabs>
          <w:tab w:leader="none" w:pos="1147"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on a consolidated basis (both before and after giving effect to the transactions contemplated by this Agreement) is solvent (</w:t>
      </w:r>
      <w:r>
        <w:rPr>
          <w:rFonts w:ascii="Arial" w:cs="Arial" w:eastAsia="Arial" w:hAnsi="Arial"/>
          <w:sz w:val="16"/>
          <w:szCs w:val="16"/>
          <w:u w:val="single" w:color="auto"/>
          <w:color w:val="auto"/>
        </w:rPr>
        <w:t>i.e</w:t>
      </w:r>
      <w:r>
        <w:rPr>
          <w:rFonts w:ascii="Arial" w:cs="Arial" w:eastAsia="Arial" w:hAnsi="Arial"/>
          <w:sz w:val="16"/>
          <w:szCs w:val="16"/>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20"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§6.5. No Material Changes, Etc</w:t>
      </w:r>
      <w:r>
        <w:rPr>
          <w:rFonts w:ascii="Arial" w:cs="Arial" w:eastAsia="Arial" w:hAnsi="Arial"/>
          <w:sz w:val="18"/>
          <w:szCs w:val="18"/>
          <w:color w:val="auto"/>
        </w:rPr>
        <w:t>. Since the Balance Sheet Date, there have been no material adverse changes in the consolidated financial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assets or liabilities (contingent or otherwise) of the Borrower and its Subsidiaries, taken as a whole, other than changes in the ordinary course of business which have not had a Material Adverse Effect.</w:t>
      </w:r>
    </w:p>
    <w:p>
      <w:pPr>
        <w:spacing w:after="0" w:line="51"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§6.6. Franchises, Patents, Copyrights, Etc</w:t>
      </w:r>
      <w:r>
        <w:rPr>
          <w:rFonts w:ascii="Arial" w:cs="Arial" w:eastAsia="Arial" w:hAnsi="Arial"/>
          <w:sz w:val="18"/>
          <w:szCs w:val="18"/>
          <w:color w:val="auto"/>
        </w:rPr>
        <w:t>. The Borrower and each of its Subsidiaries possess all franchises, patents, copyrights, trademarks, trade</w:t>
      </w:r>
      <w:r>
        <w:rPr>
          <w:rFonts w:ascii="Arial" w:cs="Arial" w:eastAsia="Arial" w:hAnsi="Arial"/>
          <w:sz w:val="18"/>
          <w:szCs w:val="18"/>
          <w:b w:val="1"/>
          <w:bCs w:val="1"/>
          <w:color w:val="auto"/>
        </w:rPr>
        <w:t xml:space="preserve"> </w:t>
      </w:r>
      <w:r>
        <w:rPr>
          <w:rFonts w:ascii="Arial" w:cs="Arial" w:eastAsia="Arial" w:hAnsi="Arial"/>
          <w:sz w:val="18"/>
          <w:szCs w:val="18"/>
          <w:color w:val="auto"/>
        </w:rPr>
        <w:t>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55" w:lineRule="exact"/>
        <w:rPr>
          <w:sz w:val="20"/>
          <w:szCs w:val="20"/>
          <w:color w:val="auto"/>
        </w:rPr>
      </w:pPr>
    </w:p>
    <w:p>
      <w:pPr>
        <w:jc w:val="both"/>
        <w:ind w:right="20" w:firstLine="913"/>
        <w:spacing w:after="0" w:line="310" w:lineRule="auto"/>
        <w:rPr>
          <w:sz w:val="20"/>
          <w:szCs w:val="20"/>
          <w:color w:val="auto"/>
        </w:rPr>
      </w:pPr>
      <w:r>
        <w:rPr>
          <w:rFonts w:ascii="Arial" w:cs="Arial" w:eastAsia="Arial" w:hAnsi="Arial"/>
          <w:sz w:val="16"/>
          <w:szCs w:val="16"/>
          <w:b w:val="1"/>
          <w:bCs w:val="1"/>
          <w:color w:val="auto"/>
        </w:rPr>
        <w:t>§6.7. Litigation</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6.7</w:t>
      </w:r>
      <w:r>
        <w:rPr>
          <w:rFonts w:ascii="Arial" w:cs="Arial" w:eastAsia="Arial" w:hAnsi="Arial"/>
          <w:sz w:val="16"/>
          <w:szCs w:val="16"/>
          <w:b w:val="1"/>
          <w:bCs w:val="1"/>
          <w:color w:val="auto"/>
        </w:rPr>
        <w:t xml:space="preserve"> </w:t>
      </w:r>
      <w:r>
        <w:rPr>
          <w:rFonts w:ascii="Arial" w:cs="Arial" w:eastAsia="Arial" w:hAnsi="Arial"/>
          <w:sz w:val="16"/>
          <w:szCs w:val="16"/>
          <w:color w:val="auto"/>
        </w:rPr>
        <w:t>or in the Disclosure Documents, there are no actions, suits, proceedings or investigations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16"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§6.8. No Materially Adverse Contracts, Etc. </w:t>
      </w:r>
      <w:r>
        <w:rPr>
          <w:rFonts w:ascii="Arial" w:cs="Arial" w:eastAsia="Arial" w:hAnsi="Arial"/>
          <w:sz w:val="18"/>
          <w:szCs w:val="18"/>
          <w:color w:val="auto"/>
        </w:rPr>
        <w:t>Neither the Borrower nor any of its Subsidiaries is subject to any charter, corporate or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58"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§6.9. Compliance With Other Instruments, Laws, Etc</w:t>
      </w:r>
      <w:r>
        <w:rPr>
          <w:rFonts w:ascii="Arial" w:cs="Arial" w:eastAsia="Arial" w:hAnsi="Arial"/>
          <w:sz w:val="18"/>
          <w:szCs w:val="18"/>
          <w:color w:val="auto"/>
        </w:rPr>
        <w:t>. Neither the Borrower nor any of its Subsidiaries is (a) violating any provision of its charter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55"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color w:val="auto"/>
        </w:rPr>
        <w:t>§6.10. Tax Status</w:t>
      </w:r>
      <w:r>
        <w:rPr>
          <w:rFonts w:ascii="Arial" w:cs="Arial" w:eastAsia="Arial" w:hAnsi="Arial"/>
          <w:sz w:val="18"/>
          <w:szCs w:val="18"/>
          <w:color w:val="auto"/>
        </w:rPr>
        <w:t>. The Borrower and its Subsidiaries have filed all federal, state, provincial and territorial income and all other tax returns,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§6.11. No Event of Default</w:t>
      </w:r>
      <w:r>
        <w:rPr>
          <w:rFonts w:ascii="Arial" w:cs="Arial" w:eastAsia="Arial" w:hAnsi="Arial"/>
          <w:sz w:val="18"/>
          <w:szCs w:val="18"/>
          <w:color w:val="auto"/>
        </w:rPr>
        <w:t>. No Default or Event of Default has occurred hereunder and is continuing.</w:t>
      </w:r>
    </w:p>
    <w:p>
      <w:pPr>
        <w:spacing w:after="0" w:line="90" w:lineRule="exact"/>
        <w:rPr>
          <w:sz w:val="20"/>
          <w:szCs w:val="20"/>
          <w:color w:val="auto"/>
        </w:rPr>
      </w:pPr>
    </w:p>
    <w:p>
      <w:pPr>
        <w:ind w:firstLine="913"/>
        <w:spacing w:after="0" w:line="334" w:lineRule="auto"/>
        <w:rPr>
          <w:sz w:val="20"/>
          <w:szCs w:val="20"/>
          <w:color w:val="auto"/>
        </w:rPr>
      </w:pPr>
      <w:r>
        <w:rPr>
          <w:rFonts w:ascii="Arial" w:cs="Arial" w:eastAsia="Arial" w:hAnsi="Arial"/>
          <w:sz w:val="16"/>
          <w:szCs w:val="16"/>
          <w:b w:val="1"/>
          <w:bCs w:val="1"/>
          <w:color w:val="auto"/>
        </w:rPr>
        <w:t>§6.12. Investment Company Act</w:t>
      </w:r>
      <w:r>
        <w:rPr>
          <w:rFonts w:ascii="Arial" w:cs="Arial" w:eastAsia="Arial" w:hAnsi="Arial"/>
          <w:sz w:val="16"/>
          <w:szCs w:val="16"/>
          <w:color w:val="auto"/>
        </w:rPr>
        <w:t>. Neither the Borrower nor any of its Subsidiaries is a “registered investment company”, or an “affiliated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a “principal underwriter” of a “registered investment company”, as such terms are defined in the Investment Company Act of 1940.</w:t>
      </w:r>
    </w:p>
    <w:p>
      <w:pPr>
        <w:spacing w:after="0" w:line="1" w:lineRule="exact"/>
        <w:rPr>
          <w:sz w:val="20"/>
          <w:szCs w:val="20"/>
          <w:color w:val="auto"/>
        </w:rPr>
      </w:pPr>
    </w:p>
    <w:p>
      <w:pPr>
        <w:ind w:right="120" w:firstLine="913"/>
        <w:spacing w:after="0" w:line="301" w:lineRule="auto"/>
        <w:rPr>
          <w:sz w:val="20"/>
          <w:szCs w:val="20"/>
          <w:color w:val="auto"/>
        </w:rPr>
      </w:pPr>
      <w:r>
        <w:rPr>
          <w:rFonts w:ascii="Arial" w:cs="Arial" w:eastAsia="Arial" w:hAnsi="Arial"/>
          <w:sz w:val="16"/>
          <w:szCs w:val="16"/>
          <w:b w:val="1"/>
          <w:bCs w:val="1"/>
          <w:color w:val="auto"/>
        </w:rPr>
        <w:t>§6.13. Absence of Financing Statements, Etc</w:t>
      </w:r>
      <w:r>
        <w:rPr>
          <w:rFonts w:ascii="Arial" w:cs="Arial" w:eastAsia="Arial" w:hAnsi="Arial"/>
          <w:sz w:val="16"/>
          <w:szCs w:val="16"/>
          <w:color w:val="auto"/>
        </w:rPr>
        <w:t>. Except as permitted by §8.1 of this Agreement, there is no Indebtedness senior to the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and except for Permitted Liens, there are no Liens, or any 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§6.14. Employee Benefit Plans</w:t>
      </w:r>
      <w:r>
        <w:rPr>
          <w:rFonts w:ascii="Arial" w:cs="Arial" w:eastAsia="Arial" w:hAnsi="Arial"/>
          <w:sz w:val="18"/>
          <w:szCs w:val="18"/>
          <w:color w:val="auto"/>
        </w:rPr>
        <w:t>.</w:t>
      </w:r>
    </w:p>
    <w:p>
      <w:pPr>
        <w:spacing w:after="0" w:line="90" w:lineRule="exact"/>
        <w:rPr>
          <w:sz w:val="20"/>
          <w:szCs w:val="20"/>
          <w:color w:val="auto"/>
        </w:rPr>
      </w:pPr>
    </w:p>
    <w:p>
      <w:pPr>
        <w:ind w:right="40" w:firstLine="1484"/>
        <w:spacing w:after="0" w:line="301" w:lineRule="auto"/>
        <w:rPr>
          <w:sz w:val="20"/>
          <w:szCs w:val="20"/>
          <w:color w:val="auto"/>
        </w:rPr>
      </w:pPr>
      <w:r>
        <w:rPr>
          <w:rFonts w:ascii="Arial" w:cs="Arial" w:eastAsia="Arial" w:hAnsi="Arial"/>
          <w:sz w:val="16"/>
          <w:szCs w:val="16"/>
          <w:b w:val="1"/>
          <w:bCs w:val="1"/>
          <w:color w:val="auto"/>
        </w:rPr>
        <w:t xml:space="preserve">§6.14.1 In General. </w:t>
      </w:r>
      <w:r>
        <w:rPr>
          <w:rFonts w:ascii="Arial" w:cs="Arial" w:eastAsia="Arial" w:hAnsi="Arial"/>
          <w:sz w:val="16"/>
          <w:szCs w:val="16"/>
          <w:color w:val="auto"/>
        </w:rPr>
        <w:t>Each Employee Benefit Plan has been maintained and operated in material compliance with the provisions of ERISA</w:t>
      </w:r>
      <w:r>
        <w:rPr>
          <w:rFonts w:ascii="Arial" w:cs="Arial" w:eastAsia="Arial" w:hAnsi="Arial"/>
          <w:sz w:val="16"/>
          <w:szCs w:val="16"/>
          <w:b w:val="1"/>
          <w:bCs w:val="1"/>
          <w:color w:val="auto"/>
        </w:rPr>
        <w:t xml:space="preserve"> </w:t>
      </w:r>
      <w:r>
        <w:rPr>
          <w:rFonts w:ascii="Arial" w:cs="Arial" w:eastAsia="Arial" w:hAnsi="Arial"/>
          <w:sz w:val="16"/>
          <w:szCs w:val="16"/>
          <w:color w:val="auto"/>
        </w:rPr>
        <w:t>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22" w:lineRule="exact"/>
        <w:rPr>
          <w:sz w:val="20"/>
          <w:szCs w:val="20"/>
          <w:color w:val="auto"/>
        </w:rPr>
      </w:pPr>
    </w:p>
    <w:p>
      <w:pPr>
        <w:ind w:right="20" w:firstLine="1484"/>
        <w:spacing w:after="0" w:line="256" w:lineRule="auto"/>
        <w:rPr>
          <w:sz w:val="20"/>
          <w:szCs w:val="20"/>
          <w:color w:val="auto"/>
        </w:rPr>
      </w:pPr>
      <w:r>
        <w:rPr>
          <w:rFonts w:ascii="Arial" w:cs="Arial" w:eastAsia="Arial" w:hAnsi="Arial"/>
          <w:sz w:val="18"/>
          <w:szCs w:val="18"/>
          <w:b w:val="1"/>
          <w:bCs w:val="1"/>
          <w:color w:val="auto"/>
        </w:rPr>
        <w:t xml:space="preserve">§6.14.2 Terminability of Welfare Plans. </w:t>
      </w:r>
      <w:r>
        <w:rPr>
          <w:rFonts w:ascii="Arial" w:cs="Arial" w:eastAsia="Arial" w:hAnsi="Arial"/>
          <w:sz w:val="18"/>
          <w:szCs w:val="18"/>
          <w:color w:val="auto"/>
        </w:rPr>
        <w:t>Under each Employee Benefit Plan which is an employee welfare benefit plan within the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of §3(1) or §3(2)(B) of ERISA, no benefits are due unless the event giving rise to the benefit entitlement occurs prior to plan termination (except as required by Title 1, Part 6 of ERISA). The Borrower or an ERISA Affiliate, as appropriate, may terminate each such employee welfare benefit plan at any time (or at any time subsequent to the expiration of any applicable bargaining agreement) in the discretion of the Borrower or such ERISA Affiliate without material liability to any Person.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280" w:right="239" w:bottom="1440" w:gutter="0" w:footer="0" w:header="0"/>
        </w:sectPr>
      </w:pPr>
    </w:p>
    <w:bookmarkStart w:id="68" w:name="page69"/>
    <w:bookmarkEnd w:id="68"/>
    <w:p>
      <w:pPr>
        <w:ind w:firstLine="1484"/>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§6.14.3 Guaranteed Pension Plans. </w:t>
      </w:r>
      <w:r>
        <w:rPr>
          <w:rFonts w:ascii="Arial" w:cs="Arial" w:eastAsia="Arial" w:hAnsi="Arial"/>
          <w:sz w:val="16"/>
          <w:szCs w:val="16"/>
          <w:color w:val="auto"/>
        </w:rPr>
        <w:t>Each contribution required to be made to a Guaranteed Pension Plan, whether required to be made to</w:t>
      </w:r>
      <w:r>
        <w:rPr>
          <w:rFonts w:ascii="Arial" w:cs="Arial" w:eastAsia="Arial" w:hAnsi="Arial"/>
          <w:sz w:val="16"/>
          <w:szCs w:val="16"/>
          <w:b w:val="1"/>
          <w:bCs w:val="1"/>
          <w:color w:val="auto"/>
        </w:rPr>
        <w:t xml:space="preserve"> </w:t>
      </w:r>
      <w:r>
        <w:rPr>
          <w:rFonts w:ascii="Arial" w:cs="Arial" w:eastAsia="Arial" w:hAnsi="Arial"/>
          <w:sz w:val="16"/>
          <w:szCs w:val="16"/>
          <w:color w:val="auto"/>
        </w:rPr>
        <w:t>avoid a violation of the minimum funding standards under §§412 and 430 of the Code, the notice or lien provisions of §303(k) of ERISA, or otherwise, has been timely made. No waiver of the minimum funding standards under §§412 and 430 of the Code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3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b w:val="1"/>
          <w:bCs w:val="1"/>
          <w:color w:val="auto"/>
        </w:rPr>
        <w:t xml:space="preserve">§6.14.4 Multiemployer Plans. </w:t>
      </w:r>
      <w:r>
        <w:rPr>
          <w:rFonts w:ascii="Arial" w:cs="Arial" w:eastAsia="Arial" w:hAnsi="Arial"/>
          <w:sz w:val="18"/>
          <w:szCs w:val="18"/>
          <w:color w:val="auto"/>
        </w:rPr>
        <w:t>Except for liabilities that have been discharged prior to the Effective Date or as to which accruals have been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prior to the Effective Date as reflected in the Disclosure Documents, neither the Borrower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 in reorganization or insolvent under and within the meaning of §4241 or §4245 of ERISA or that any Multiemployer Plan intends to terminate or has been terminated under §4041A of ERISA.</w:t>
      </w:r>
    </w:p>
    <w:p>
      <w:pPr>
        <w:spacing w:after="0" w:line="58"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color w:val="auto"/>
        </w:rPr>
        <w:t xml:space="preserve">§6.15. Environmental Compliance. </w:t>
      </w:r>
      <w:r>
        <w:rPr>
          <w:rFonts w:ascii="Arial" w:cs="Arial" w:eastAsia="Arial" w:hAnsi="Arial"/>
          <w:sz w:val="16"/>
          <w:szCs w:val="16"/>
          <w:color w:val="auto"/>
        </w:rPr>
        <w:t>The Borrower and its Subsidiaries have taken all steps that they have deemed reasonably necessary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investigate the past and present condition and usage of the Real Property and the operations conducted by the Borrower and its Subsidiaries and, based upon such diligent investigation, have determined that, except as set forth on </w:t>
      </w:r>
      <w:r>
        <w:rPr>
          <w:rFonts w:ascii="Arial" w:cs="Arial" w:eastAsia="Arial" w:hAnsi="Arial"/>
          <w:sz w:val="16"/>
          <w:szCs w:val="16"/>
          <w:u w:val="single" w:color="auto"/>
          <w:color w:val="auto"/>
        </w:rPr>
        <w:t>Schedule 6.15</w:t>
      </w:r>
      <w:r>
        <w:rPr>
          <w:rFonts w:ascii="Arial" w:cs="Arial" w:eastAsia="Arial" w:hAnsi="Arial"/>
          <w:sz w:val="16"/>
          <w:szCs w:val="16"/>
          <w:color w:val="auto"/>
        </w:rPr>
        <w:t xml:space="preserve"> or in the Disclosure Documents:</w:t>
      </w:r>
    </w:p>
    <w:p>
      <w:pPr>
        <w:spacing w:after="0" w:line="22" w:lineRule="exact"/>
        <w:rPr>
          <w:sz w:val="20"/>
          <w:szCs w:val="20"/>
          <w:color w:val="auto"/>
        </w:rPr>
      </w:pPr>
    </w:p>
    <w:p>
      <w:pPr>
        <w:ind w:left="460" w:right="20" w:firstLine="443"/>
        <w:spacing w:after="0" w:line="290" w:lineRule="auto"/>
        <w:tabs>
          <w:tab w:leader="none" w:pos="11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360"/>
          </w:cols>
          <w:pgMar w:left="240" w:top="274" w:right="299" w:bottom="1440" w:gutter="0" w:footer="0" w:header="0"/>
        </w:sectPr>
      </w:pPr>
    </w:p>
    <w:bookmarkStart w:id="69" w:name="page70"/>
    <w:bookmarkEnd w:id="69"/>
    <w:p>
      <w:pPr>
        <w:ind w:left="460" w:firstLine="443"/>
        <w:spacing w:after="0" w:line="286" w:lineRule="auto"/>
        <w:tabs>
          <w:tab w:leader="none" w:pos="1147" w:val="left"/>
        </w:tabs>
        <w:numPr>
          <w:ilvl w:val="1"/>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46" w:lineRule="exact"/>
        <w:rPr>
          <w:rFonts w:ascii="Arial" w:cs="Arial" w:eastAsia="Arial" w:hAnsi="Arial"/>
          <w:sz w:val="16"/>
          <w:szCs w:val="16"/>
          <w:color w:val="auto"/>
        </w:rPr>
      </w:pPr>
    </w:p>
    <w:p>
      <w:pPr>
        <w:ind w:left="460" w:right="60" w:firstLine="443"/>
        <w:spacing w:after="0" w:line="302" w:lineRule="auto"/>
        <w:tabs>
          <w:tab w:leader="none" w:pos="1137" w:val="left"/>
        </w:tabs>
        <w:numPr>
          <w:ilvl w:val="1"/>
          <w:numId w:val="58"/>
        </w:numPr>
        <w:rPr>
          <w:rFonts w:ascii="Arial" w:cs="Arial" w:eastAsia="Arial" w:hAnsi="Arial"/>
          <w:sz w:val="15"/>
          <w:szCs w:val="15"/>
          <w:color w:val="auto"/>
        </w:rPr>
      </w:pPr>
      <w:r>
        <w:rPr>
          <w:rFonts w:ascii="Arial" w:cs="Arial" w:eastAsia="Arial" w:hAnsi="Arial"/>
          <w:sz w:val="15"/>
          <w:szCs w:val="15"/>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 Borrower, its Significant Subsidiaries, or operators of the Real Property or other assets of the Borrower and its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Significant Subsidiaries; and</w:t>
      </w:r>
    </w:p>
    <w:p>
      <w:pPr>
        <w:ind w:left="460" w:right="400" w:firstLine="4"/>
        <w:spacing w:after="0" w:line="295" w:lineRule="auto"/>
        <w:tabs>
          <w:tab w:leader="none" w:pos="7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28" w:lineRule="exact"/>
        <w:rPr>
          <w:sz w:val="20"/>
          <w:szCs w:val="20"/>
          <w:color w:val="auto"/>
        </w:rPr>
      </w:pPr>
    </w:p>
    <w:p>
      <w:pPr>
        <w:ind w:right="140" w:firstLine="913"/>
        <w:spacing w:after="0" w:line="326" w:lineRule="auto"/>
        <w:rPr>
          <w:sz w:val="20"/>
          <w:szCs w:val="20"/>
          <w:color w:val="auto"/>
        </w:rPr>
      </w:pPr>
      <w:r>
        <w:rPr>
          <w:rFonts w:ascii="Arial" w:cs="Arial" w:eastAsia="Arial" w:hAnsi="Arial"/>
          <w:sz w:val="15"/>
          <w:szCs w:val="15"/>
          <w:b w:val="1"/>
          <w:bCs w:val="1"/>
          <w:color w:val="auto"/>
        </w:rPr>
        <w:t>§6.16. Disclosure</w:t>
      </w:r>
      <w:r>
        <w:rPr>
          <w:rFonts w:ascii="Arial" w:cs="Arial" w:eastAsia="Arial" w:hAnsi="Arial"/>
          <w:sz w:val="15"/>
          <w:szCs w:val="15"/>
          <w:color w:val="auto"/>
        </w:rPr>
        <w:t>. No representation or warranty made by the Borrower or the Guarantor in this Agreement or in any agreement, instrument,</w:t>
      </w:r>
      <w:r>
        <w:rPr>
          <w:rFonts w:ascii="Arial" w:cs="Arial" w:eastAsia="Arial" w:hAnsi="Arial"/>
          <w:sz w:val="15"/>
          <w:szCs w:val="15"/>
          <w:b w:val="1"/>
          <w:bCs w:val="1"/>
          <w:color w:val="auto"/>
        </w:rPr>
        <w:t xml:space="preserve"> </w:t>
      </w:r>
      <w:r>
        <w:rPr>
          <w:rFonts w:ascii="Arial" w:cs="Arial" w:eastAsia="Arial" w:hAnsi="Arial"/>
          <w:sz w:val="15"/>
          <w:szCs w:val="15"/>
          <w:color w:val="auto"/>
        </w:rPr>
        <w:t>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280" w:right="259" w:bottom="1440" w:gutter="0" w:footer="0" w:header="0"/>
        </w:sectPr>
      </w:pPr>
    </w:p>
    <w:bookmarkStart w:id="70" w:name="page71"/>
    <w:bookmarkEnd w:id="70"/>
    <w:p>
      <w:pPr>
        <w:ind w:right="100"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§6.17. Permits and Governmental Authority</w:t>
      </w:r>
      <w:r>
        <w:rPr>
          <w:rFonts w:ascii="Arial" w:cs="Arial" w:eastAsia="Arial" w:hAnsi="Arial"/>
          <w:sz w:val="16"/>
          <w:szCs w:val="16"/>
          <w:color w:val="auto"/>
        </w:rPr>
        <w:t>. All permits (other than those the absence of which could not reasonably be expected to have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Adverse Effect) required for the construction and operation of all landfills currently owned or operated by the Borrower or any of its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2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§6.18. Margin Stock</w:t>
      </w:r>
      <w:r>
        <w:rPr>
          <w:rFonts w:ascii="Arial" w:cs="Arial" w:eastAsia="Arial" w:hAnsi="Arial"/>
          <w:sz w:val="18"/>
          <w:szCs w:val="18"/>
          <w:color w:val="auto"/>
        </w:rPr>
        <w:t>. The Borrower is not engaged in the business of extending credit for the purpose of purchasing or carrying margin stock</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meaning of Regulation U issued by the Board of 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b w:val="1"/>
          <w:bCs w:val="1"/>
          <w:u w:val="single" w:color="auto"/>
          <w:color w:val="auto"/>
        </w:rPr>
        <w:t>AFFIRMATIVE COVENANTS OF THE BORROWER</w:t>
      </w:r>
      <w:r>
        <w:rPr>
          <w:rFonts w:ascii="Arial" w:cs="Arial" w:eastAsia="Arial" w:hAnsi="Arial"/>
          <w:sz w:val="18"/>
          <w:szCs w:val="18"/>
          <w:color w:val="auto"/>
        </w:rPr>
        <w:t>. The Borrower agrees that, so long as any Obligation or Letter of Credit is outstanding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Banks have any obligation to make Loans or any Issuing 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55" w:lineRule="exact"/>
        <w:rPr>
          <w:sz w:val="20"/>
          <w:szCs w:val="20"/>
          <w:color w:val="auto"/>
        </w:rPr>
      </w:pPr>
    </w:p>
    <w:p>
      <w:pPr>
        <w:ind w:right="440" w:firstLine="913"/>
        <w:spacing w:after="0" w:line="262" w:lineRule="auto"/>
        <w:rPr>
          <w:sz w:val="20"/>
          <w:szCs w:val="20"/>
          <w:color w:val="auto"/>
        </w:rPr>
      </w:pPr>
      <w:r>
        <w:rPr>
          <w:rFonts w:ascii="Arial" w:cs="Arial" w:eastAsia="Arial" w:hAnsi="Arial"/>
          <w:sz w:val="18"/>
          <w:szCs w:val="18"/>
          <w:b w:val="1"/>
          <w:bCs w:val="1"/>
          <w:color w:val="auto"/>
        </w:rPr>
        <w:t>§7.1. Punctual Payment</w:t>
      </w:r>
      <w:r>
        <w:rPr>
          <w:rFonts w:ascii="Arial" w:cs="Arial" w:eastAsia="Arial" w:hAnsi="Arial"/>
          <w:sz w:val="18"/>
          <w:szCs w:val="18"/>
          <w:color w:val="auto"/>
        </w:rPr>
        <w:t>. The Borrower will duly and punctually pay or cause to be paid the principal of and interest on the Loans, all</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Obligations, fees and other amounts provided for in this Agreement and the other Loan Documents, all in accordance with the terms of this Agreement and such other Loan Documents.</w:t>
      </w:r>
    </w:p>
    <w:p>
      <w:pPr>
        <w:spacing w:after="0" w:line="51"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b w:val="1"/>
          <w:bCs w:val="1"/>
          <w:color w:val="auto"/>
        </w:rPr>
        <w:t>§7.2. Maintenance of U.S. Office</w:t>
      </w:r>
      <w:r>
        <w:rPr>
          <w:rFonts w:ascii="Arial" w:cs="Arial" w:eastAsia="Arial" w:hAnsi="Arial"/>
          <w:sz w:val="18"/>
          <w:szCs w:val="18"/>
          <w:color w:val="auto"/>
        </w:rPr>
        <w:t>. The Borrower will maintain its chief executive offices at Houston, Texas, or at such other place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America as the Borrower shall designate upon 30 days’ prior written notice to the Administrative Agent.</w:t>
      </w:r>
    </w:p>
    <w:p>
      <w:pPr>
        <w:spacing w:after="0" w:line="39"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§7.3. Records and Accounts</w:t>
      </w:r>
      <w:r>
        <w:rPr>
          <w:rFonts w:ascii="Arial" w:cs="Arial" w:eastAsia="Arial" w:hAnsi="Arial"/>
          <w:sz w:val="18"/>
          <w:szCs w:val="18"/>
          <w:color w:val="auto"/>
        </w:rPr>
        <w:t>. The Borrower will, and will cause each of its Subsidiaries to, keep true and accurate records and books of account 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 Financial Statements, Certificates and Information</w:t>
      </w:r>
      <w:r>
        <w:rPr>
          <w:rFonts w:ascii="Arial" w:cs="Arial" w:eastAsia="Arial" w:hAnsi="Arial"/>
          <w:sz w:val="18"/>
          <w:szCs w:val="18"/>
          <w:color w:val="auto"/>
        </w:rPr>
        <w:t>. The Borrower will deliver to the Banks:</w:t>
      </w:r>
    </w:p>
    <w:p>
      <w:pPr>
        <w:spacing w:after="0" w:line="96" w:lineRule="exact"/>
        <w:rPr>
          <w:sz w:val="20"/>
          <w:szCs w:val="20"/>
          <w:color w:val="auto"/>
        </w:rPr>
      </w:pPr>
    </w:p>
    <w:p>
      <w:pPr>
        <w:ind w:left="460" w:firstLine="443"/>
        <w:spacing w:after="0" w:line="259" w:lineRule="auto"/>
        <w:tabs>
          <w:tab w:leader="none" w:pos="113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soon as practicable, but, in any event not later than 100 days after the end of each fiscal year of the Borrower, the consolidated balance sheet of the Borrower as at the end of such year, consolidated statements of cash flows, and the related consolidated statements of operations, each setting forth in comparative form the figures</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380"/>
          </w:cols>
          <w:pgMar w:left="240" w:top="274" w:right="279" w:bottom="1440" w:gutter="0" w:footer="0" w:header="0"/>
        </w:sectPr>
      </w:pPr>
    </w:p>
    <w:bookmarkStart w:id="71" w:name="page72"/>
    <w:bookmarkEnd w:id="7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39" w:lineRule="exact"/>
        <w:rPr>
          <w:sz w:val="20"/>
          <w:szCs w:val="20"/>
          <w:color w:val="auto"/>
        </w:rPr>
      </w:pPr>
    </w:p>
    <w:p>
      <w:pPr>
        <w:ind w:right="80" w:firstLine="443"/>
        <w:spacing w:after="0" w:line="290" w:lineRule="auto"/>
        <w:tabs>
          <w:tab w:leader="none" w:pos="6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37" w:lineRule="exact"/>
        <w:rPr>
          <w:rFonts w:ascii="Arial" w:cs="Arial" w:eastAsia="Arial" w:hAnsi="Arial"/>
          <w:sz w:val="16"/>
          <w:szCs w:val="16"/>
          <w:color w:val="auto"/>
        </w:rPr>
      </w:pPr>
    </w:p>
    <w:p>
      <w:pPr>
        <w:ind w:right="80" w:firstLine="443"/>
        <w:spacing w:after="0" w:line="290"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simultaneously with the delivery of the financial statements referred to in (a) and (b) above, a certificate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(the “Compliance Certificate”)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37" w:lineRule="exact"/>
        <w:rPr>
          <w:rFonts w:ascii="Arial" w:cs="Arial" w:eastAsia="Arial" w:hAnsi="Arial"/>
          <w:sz w:val="16"/>
          <w:szCs w:val="16"/>
          <w:color w:val="auto"/>
        </w:rPr>
      </w:pPr>
    </w:p>
    <w:p>
      <w:pPr>
        <w:ind w:right="20" w:firstLine="443"/>
        <w:spacing w:after="0" w:line="268"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promptly following the filing or mailing thereof, copies of all material of a financial nature filed with the Securities and Exchange Commission or sent to the Borrower’s and its Subsidiaries’ stockholders generally; and</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from time to time such other financial data and other information as any of the Banks may reasonably request through the Administrative Agent.</w:t>
      </w:r>
    </w:p>
    <w:p>
      <w:pPr>
        <w:spacing w:after="0" w:line="180" w:lineRule="exact"/>
        <w:rPr>
          <w:rFonts w:ascii="Arial" w:cs="Arial" w:eastAsia="Arial" w:hAnsi="Arial"/>
          <w:sz w:val="16"/>
          <w:szCs w:val="16"/>
          <w:color w:val="auto"/>
        </w:rPr>
      </w:pPr>
    </w:p>
    <w:p>
      <w:pPr>
        <w:ind w:left="5160" w:hanging="96"/>
        <w:spacing w:after="0"/>
        <w:tabs>
          <w:tab w:leader="none" w:pos="51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960"/>
          </w:cols>
          <w:pgMar w:left="700" w:top="280" w:right="239" w:bottom="1440" w:gutter="0" w:footer="0" w:header="0"/>
        </w:sectPr>
      </w:pPr>
    </w:p>
    <w:bookmarkStart w:id="72" w:name="page73"/>
    <w:bookmarkEnd w:id="72"/>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56" w:lineRule="exact"/>
        <w:rPr>
          <w:sz w:val="20"/>
          <w:szCs w:val="20"/>
          <w:color w:val="auto"/>
        </w:rPr>
      </w:pPr>
    </w:p>
    <w:p>
      <w:pPr>
        <w:ind w:right="140" w:firstLine="913"/>
        <w:spacing w:after="0" w:line="290" w:lineRule="auto"/>
        <w:rPr>
          <w:sz w:val="20"/>
          <w:szCs w:val="20"/>
          <w:color w:val="auto"/>
        </w:rPr>
      </w:pPr>
      <w:r>
        <w:rPr>
          <w:rFonts w:ascii="Arial" w:cs="Arial" w:eastAsia="Arial" w:hAnsi="Arial"/>
          <w:sz w:val="16"/>
          <w:szCs w:val="16"/>
          <w:b w:val="1"/>
          <w:bCs w:val="1"/>
          <w:color w:val="auto"/>
        </w:rPr>
        <w:t>§7.5. Existence and Conduct of Business</w:t>
      </w:r>
      <w:r>
        <w:rPr>
          <w:rFonts w:ascii="Arial" w:cs="Arial" w:eastAsia="Arial" w:hAnsi="Arial"/>
          <w:sz w:val="16"/>
          <w:szCs w:val="16"/>
          <w:color w:val="auto"/>
        </w:rPr>
        <w:t>. The Borrower will, and will cause each Significant Subsidiary to, do or cause to be done all things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preserve and keep in full force and effect its existence, 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31"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b w:val="1"/>
          <w:bCs w:val="1"/>
          <w:color w:val="auto"/>
        </w:rPr>
        <w:t>§7.6. Maintenance of Properties</w:t>
      </w:r>
      <w:r>
        <w:rPr>
          <w:rFonts w:ascii="Arial" w:cs="Arial" w:eastAsia="Arial" w:hAnsi="Arial"/>
          <w:sz w:val="16"/>
          <w:szCs w:val="16"/>
          <w:color w:val="auto"/>
        </w:rPr>
        <w:t>. The Borrower will, and will cause its Significant Subsidiaries to, cause all material properties used or useful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Significant Subsidiaries may be necessary so that the businesses carried on in connection therewith may be properly and advantageously conducted at all times;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§7.7. Insurance</w:t>
      </w:r>
      <w:r>
        <w:rPr>
          <w:rFonts w:ascii="Arial" w:cs="Arial" w:eastAsia="Arial" w:hAnsi="Arial"/>
          <w:sz w:val="16"/>
          <w:szCs w:val="16"/>
          <w:color w:val="auto"/>
        </w:rPr>
        <w:t>. The Borrower will, and will cause its Subsidiaries to, maintain insurance of the kinds, covering the risks (other than risks arising</w:t>
      </w:r>
      <w:r>
        <w:rPr>
          <w:rFonts w:ascii="Arial" w:cs="Arial" w:eastAsia="Arial" w:hAnsi="Arial"/>
          <w:sz w:val="16"/>
          <w:szCs w:val="16"/>
          <w:b w:val="1"/>
          <w:bCs w:val="1"/>
          <w:color w:val="auto"/>
        </w:rPr>
        <w:t xml:space="preserve"> </w:t>
      </w:r>
      <w:r>
        <w:rPr>
          <w:rFonts w:ascii="Arial" w:cs="Arial" w:eastAsia="Arial" w:hAnsi="Arial"/>
          <w:sz w:val="16"/>
          <w:szCs w:val="16"/>
          <w:color w:val="auto"/>
        </w:rPr>
        <w:t>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280" w:right="239" w:bottom="1440" w:gutter="0" w:footer="0" w:header="0"/>
        </w:sectPr>
      </w:pPr>
    </w:p>
    <w:bookmarkStart w:id="73" w:name="page74"/>
    <w:bookmarkEnd w:id="73"/>
    <w:p>
      <w:pPr>
        <w:ind w:firstLine="913"/>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§7.8. Taxes</w:t>
      </w:r>
      <w:r>
        <w:rPr>
          <w:rFonts w:ascii="Arial" w:cs="Arial" w:eastAsia="Arial" w:hAnsi="Arial"/>
          <w:sz w:val="16"/>
          <w:szCs w:val="16"/>
          <w:color w:val="auto"/>
        </w:rPr>
        <w:t>. The Borrower will, and will cause its Subsidiaries to, duly pay and discharge, or cause to be paid and discharged, before the same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Borrower or such Subsidiary will pay all such taxes, assessments, charges, levies or claims prior to the foreclosure on any Lien which may have attached as security therefor.</w:t>
      </w:r>
    </w:p>
    <w:p>
      <w:pPr>
        <w:spacing w:after="0" w:line="3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§7.9. Inspection of Properties, Books and Contracts</w:t>
      </w:r>
      <w:r>
        <w:rPr>
          <w:rFonts w:ascii="Arial" w:cs="Arial" w:eastAsia="Arial" w:hAnsi="Arial"/>
          <w:sz w:val="18"/>
          <w:szCs w:val="18"/>
          <w:color w:val="auto"/>
        </w:rPr>
        <w:t>. The Borrower will, and will cause its Significant Subsidiaries to, permit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or any Bank or any of their designated representatives, 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5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§7.10. Compliance with Laws, Contracts, Licenses and Permits; Maintenance of Material Licenses and Permits</w:t>
      </w:r>
      <w:r>
        <w:rPr>
          <w:rFonts w:ascii="Arial" w:cs="Arial" w:eastAsia="Arial" w:hAnsi="Arial"/>
          <w:sz w:val="16"/>
          <w:szCs w:val="16"/>
          <w:color w:val="auto"/>
        </w:rPr>
        <w:t>. The Borrower will,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34" w:lineRule="exact"/>
        <w:rPr>
          <w:sz w:val="20"/>
          <w:szCs w:val="20"/>
          <w:color w:val="auto"/>
        </w:rPr>
      </w:pPr>
    </w:p>
    <w:p>
      <w:pPr>
        <w:jc w:val="both"/>
        <w:ind w:right="140" w:firstLine="913"/>
        <w:spacing w:after="0" w:line="310" w:lineRule="auto"/>
        <w:rPr>
          <w:sz w:val="20"/>
          <w:szCs w:val="20"/>
          <w:color w:val="auto"/>
        </w:rPr>
      </w:pPr>
      <w:r>
        <w:rPr>
          <w:rFonts w:ascii="Arial" w:cs="Arial" w:eastAsia="Arial" w:hAnsi="Arial"/>
          <w:sz w:val="16"/>
          <w:szCs w:val="16"/>
          <w:b w:val="1"/>
          <w:bCs w:val="1"/>
          <w:color w:val="auto"/>
        </w:rPr>
        <w:t>§7.11. Environmental Indemnification</w:t>
      </w:r>
      <w:r>
        <w:rPr>
          <w:rFonts w:ascii="Arial" w:cs="Arial" w:eastAsia="Arial" w:hAnsi="Arial"/>
          <w:sz w:val="16"/>
          <w:szCs w:val="16"/>
          <w:color w:val="auto"/>
        </w:rPr>
        <w:t>. The Borrower covenants and agrees that it will indemnify and hold the Banks, the Issuing Banks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380"/>
          </w:cols>
          <w:pgMar w:left="240" w:top="274" w:right="279" w:bottom="1440" w:gutter="0" w:footer="0" w:header="0"/>
        </w:sectPr>
      </w:pPr>
    </w:p>
    <w:bookmarkStart w:id="74" w:name="page75"/>
    <w:bookmarkEnd w:id="74"/>
    <w:p>
      <w:pPr>
        <w:ind w:right="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8" w:lineRule="exact"/>
        <w:rPr>
          <w:sz w:val="20"/>
          <w:szCs w:val="20"/>
          <w:color w:val="auto"/>
        </w:rPr>
      </w:pPr>
    </w:p>
    <w:p>
      <w:pPr>
        <w:ind w:right="280" w:firstLine="913"/>
        <w:spacing w:after="0" w:line="262" w:lineRule="auto"/>
        <w:rPr>
          <w:sz w:val="20"/>
          <w:szCs w:val="20"/>
          <w:color w:val="auto"/>
        </w:rPr>
      </w:pPr>
      <w:r>
        <w:rPr>
          <w:rFonts w:ascii="Arial" w:cs="Arial" w:eastAsia="Arial" w:hAnsi="Arial"/>
          <w:sz w:val="18"/>
          <w:szCs w:val="18"/>
          <w:b w:val="1"/>
          <w:bCs w:val="1"/>
          <w:color w:val="auto"/>
        </w:rPr>
        <w:t>§7.12. Further Assurances</w:t>
      </w:r>
      <w:r>
        <w:rPr>
          <w:rFonts w:ascii="Arial" w:cs="Arial" w:eastAsia="Arial" w:hAnsi="Arial"/>
          <w:sz w:val="18"/>
          <w:szCs w:val="18"/>
          <w:color w:val="auto"/>
        </w:rPr>
        <w:t>. The Borrower and the Guarantor will cooperate with the Administrative Agent and execute such further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documents as the Administrative Agent shall reasonably request to carry out to the Majority Banks’ satisfaction the transactions contemplated by this Agreement.</w:t>
      </w:r>
    </w:p>
    <w:p>
      <w:pPr>
        <w:spacing w:after="0" w:line="51"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b w:val="1"/>
          <w:bCs w:val="1"/>
          <w:color w:val="auto"/>
        </w:rPr>
        <w:t>§7.13. Notice of Potential Claims or Litigation</w:t>
      </w:r>
      <w:r>
        <w:rPr>
          <w:rFonts w:ascii="Arial" w:cs="Arial" w:eastAsia="Arial" w:hAnsi="Arial"/>
          <w:sz w:val="18"/>
          <w:szCs w:val="18"/>
          <w:color w:val="auto"/>
        </w:rPr>
        <w:t>. The Borrower shall deliver to the Banks written notice of the initiation of any action, claim,</w:t>
      </w:r>
      <w:r>
        <w:rPr>
          <w:rFonts w:ascii="Arial" w:cs="Arial" w:eastAsia="Arial" w:hAnsi="Arial"/>
          <w:sz w:val="18"/>
          <w:szCs w:val="18"/>
          <w:b w:val="1"/>
          <w:bCs w:val="1"/>
          <w:color w:val="auto"/>
        </w:rPr>
        <w:t xml:space="preserve"> </w:t>
      </w:r>
      <w:r>
        <w:rPr>
          <w:rFonts w:ascii="Arial" w:cs="Arial" w:eastAsia="Arial" w:hAnsi="Arial"/>
          <w:sz w:val="18"/>
          <w:szCs w:val="18"/>
          <w:color w:val="auto"/>
        </w:rPr>
        <w:t>complaint, investigation or any other notice of dispute or litigation 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 be expected to have a Material Adverse Effect, whichever occurs later (and the Borrower will make such determination in each case as promptly as practicable).</w:t>
      </w:r>
    </w:p>
    <w:p>
      <w:pPr>
        <w:spacing w:after="0" w:line="58"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b w:val="1"/>
          <w:bCs w:val="1"/>
          <w:color w:val="auto"/>
        </w:rPr>
        <w:t>§7.14. Notice of Certain Events Concerning Environmental Claims</w:t>
      </w:r>
      <w:r>
        <w:rPr>
          <w:rFonts w:ascii="Arial" w:cs="Arial" w:eastAsia="Arial" w:hAnsi="Arial"/>
          <w:sz w:val="18"/>
          <w:szCs w:val="18"/>
          <w:color w:val="auto"/>
        </w:rPr>
        <w:t>. The Borrower will promptly, and in any event within ten (10) Business Days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Borrower’s obtaining knowledge thereof, notify the Banks in writing of any of the following events:</w:t>
      </w:r>
    </w:p>
    <w:p>
      <w:pPr>
        <w:spacing w:after="0" w:line="45" w:lineRule="exact"/>
        <w:rPr>
          <w:sz w:val="20"/>
          <w:szCs w:val="20"/>
          <w:color w:val="auto"/>
        </w:rPr>
      </w:pPr>
    </w:p>
    <w:p>
      <w:pPr>
        <w:ind w:left="920" w:firstLine="421"/>
        <w:spacing w:after="0" w:line="332" w:lineRule="auto"/>
        <w:tabs>
          <w:tab w:leader="none" w:pos="15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Borrower’s or any Significant Subsidiary’s obtaining knowledge of any violation of any Environmental Law regarding the Real Property or the Borrower’s or any Subsidiary’s operations which violation could reasonably be expected to have a Material Adverse Effect;</w:t>
      </w:r>
    </w:p>
    <w:p>
      <w:pPr>
        <w:spacing w:after="0" w:line="4" w:lineRule="exact"/>
        <w:rPr>
          <w:rFonts w:ascii="Arial" w:cs="Arial" w:eastAsia="Arial" w:hAnsi="Arial"/>
          <w:sz w:val="16"/>
          <w:szCs w:val="16"/>
          <w:color w:val="auto"/>
        </w:rPr>
      </w:pPr>
    </w:p>
    <w:p>
      <w:pPr>
        <w:ind w:left="920" w:right="600" w:firstLine="421"/>
        <w:spacing w:after="0" w:line="332" w:lineRule="auto"/>
        <w:tabs>
          <w:tab w:leader="none" w:pos="159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Borrower’s or any Significant Subsidiary’s obtaining knowledge of any potential or known Release, or threat of Release, of any Hazardous Substance at, from, or into the Real Property which could reasonably be expected to have a Material Adverse Effect;</w:t>
      </w:r>
    </w:p>
    <w:p>
      <w:pPr>
        <w:spacing w:after="0" w:line="4" w:lineRule="exact"/>
        <w:rPr>
          <w:rFonts w:ascii="Arial" w:cs="Arial" w:eastAsia="Arial" w:hAnsi="Arial"/>
          <w:sz w:val="16"/>
          <w:szCs w:val="16"/>
          <w:color w:val="auto"/>
        </w:rPr>
      </w:pPr>
    </w:p>
    <w:p>
      <w:pPr>
        <w:jc w:val="both"/>
        <w:ind w:left="920" w:right="40" w:firstLine="421"/>
        <w:spacing w:after="0" w:line="256" w:lineRule="auto"/>
        <w:tabs>
          <w:tab w:leader="none" w:pos="16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420"/>
          </w:cols>
          <w:pgMar w:left="240" w:top="280" w:right="239" w:bottom="1440" w:gutter="0" w:footer="0" w:header="0"/>
        </w:sectPr>
      </w:pPr>
    </w:p>
    <w:bookmarkStart w:id="75" w:name="page76"/>
    <w:bookmarkEnd w:id="75"/>
    <w:p>
      <w:pPr>
        <w:ind w:left="920"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 or</w:t>
      </w:r>
    </w:p>
    <w:p>
      <w:pPr>
        <w:spacing w:after="0" w:line="62" w:lineRule="exact"/>
        <w:rPr>
          <w:sz w:val="20"/>
          <w:szCs w:val="20"/>
          <w:color w:val="auto"/>
        </w:rPr>
      </w:pPr>
    </w:p>
    <w:p>
      <w:pPr>
        <w:ind w:left="920" w:right="60" w:firstLine="421"/>
        <w:spacing w:after="0" w:line="298" w:lineRule="auto"/>
        <w:tabs>
          <w:tab w:leader="none" w:pos="1637"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26"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§7.15. Notice of Default</w:t>
      </w:r>
      <w:r>
        <w:rPr>
          <w:rFonts w:ascii="Arial" w:cs="Arial" w:eastAsia="Arial" w:hAnsi="Arial"/>
          <w:sz w:val="16"/>
          <w:szCs w:val="16"/>
          <w:color w:val="auto"/>
        </w:rPr>
        <w:t>. The Borrower will promptly notify the Banks in writing of the occurrence of any Default or Event of Default. If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shall give any notice or take any other action in respect of a claimed default (whether or not constituting an Event of Default) under this Agreement or any other note, evidence of indebtedness, indenture or other obligation evidencing indebtedness in excess of $75,000,000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27" w:lineRule="exact"/>
        <w:rPr>
          <w:sz w:val="20"/>
          <w:szCs w:val="20"/>
          <w:color w:val="auto"/>
        </w:rPr>
      </w:pPr>
    </w:p>
    <w:p>
      <w:pPr>
        <w:ind w:right="40" w:firstLine="913"/>
        <w:spacing w:after="0" w:line="296" w:lineRule="auto"/>
        <w:rPr>
          <w:sz w:val="20"/>
          <w:szCs w:val="20"/>
          <w:color w:val="auto"/>
        </w:rPr>
      </w:pPr>
      <w:r>
        <w:rPr>
          <w:rFonts w:ascii="Arial" w:cs="Arial" w:eastAsia="Arial" w:hAnsi="Arial"/>
          <w:sz w:val="16"/>
          <w:szCs w:val="16"/>
          <w:b w:val="1"/>
          <w:bCs w:val="1"/>
          <w:color w:val="auto"/>
        </w:rPr>
        <w:t>§7.16. Use of Proceeds</w:t>
      </w:r>
      <w:r>
        <w:rPr>
          <w:rFonts w:ascii="Arial" w:cs="Arial" w:eastAsia="Arial" w:hAnsi="Arial"/>
          <w:sz w:val="16"/>
          <w:szCs w:val="16"/>
          <w:color w:val="auto"/>
        </w:rPr>
        <w:t>. The proceeds of the Loans shall be used for general corporate purposes, to provide working capital, to backstop commercial</w:t>
      </w:r>
      <w:r>
        <w:rPr>
          <w:rFonts w:ascii="Arial" w:cs="Arial" w:eastAsia="Arial" w:hAnsi="Arial"/>
          <w:sz w:val="16"/>
          <w:szCs w:val="16"/>
          <w:b w:val="1"/>
          <w:bCs w:val="1"/>
          <w:color w:val="auto"/>
        </w:rPr>
        <w:t xml:space="preserve"> </w:t>
      </w:r>
      <w:r>
        <w:rPr>
          <w:rFonts w:ascii="Arial" w:cs="Arial" w:eastAsia="Arial" w:hAnsi="Arial"/>
          <w:sz w:val="16"/>
          <w:szCs w:val="16"/>
          <w:color w:val="auto"/>
        </w:rPr>
        <w:t>paper, to provide letters of credit and as an extension and continuation of the Indebtedness of the Borrower and its Subsidiaries under the Existing Credit Agreement. After application of the proceeds of any Loan, not more than 25% of the value of the assets (either of the Borrower only or of the Borrower and its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2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§7.17. Certain Transactions</w:t>
      </w:r>
      <w:r>
        <w:rPr>
          <w:rFonts w:ascii="Arial" w:cs="Arial" w:eastAsia="Arial" w:hAnsi="Arial"/>
          <w:sz w:val="16"/>
          <w:szCs w:val="16"/>
          <w:color w:val="auto"/>
        </w:rPr>
        <w:t>. Except as disclosed in the Disclosure Documents prior to the Effective Date, and except for arm’s length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which the Borrower or any Subsidiary makes 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20"/>
          </w:cols>
          <w:pgMar w:left="240" w:top="280" w:right="239" w:bottom="1440" w:gutter="0" w:footer="0" w:header="0"/>
        </w:sectPr>
      </w:pPr>
    </w:p>
    <w:bookmarkStart w:id="76" w:name="page77"/>
    <w:bookmarkEnd w:id="76"/>
    <w:p>
      <w:pPr>
        <w:ind w:right="1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 </w:t>
      </w:r>
      <w:r>
        <w:rPr>
          <w:rFonts w:ascii="Arial" w:cs="Arial" w:eastAsia="Arial" w:hAnsi="Arial"/>
          <w:sz w:val="18"/>
          <w:szCs w:val="18"/>
          <w:b w:val="1"/>
          <w:bCs w:val="1"/>
          <w:u w:val="single" w:color="auto"/>
          <w:color w:val="auto"/>
        </w:rPr>
        <w:t>NEGATIVE COVENANTS OF THE BORROWER</w:t>
      </w:r>
      <w:r>
        <w:rPr>
          <w:rFonts w:ascii="Arial" w:cs="Arial" w:eastAsia="Arial" w:hAnsi="Arial"/>
          <w:sz w:val="18"/>
          <w:szCs w:val="18"/>
          <w:color w:val="auto"/>
        </w:rPr>
        <w:t>. The Borrower agrees that, so long as any Obligation or Letter of Credit is outstanding or the Banks</w:t>
      </w:r>
      <w:r>
        <w:rPr>
          <w:rFonts w:ascii="Arial" w:cs="Arial" w:eastAsia="Arial" w:hAnsi="Arial"/>
          <w:sz w:val="18"/>
          <w:szCs w:val="18"/>
          <w:b w:val="1"/>
          <w:bCs w:val="1"/>
          <w:color w:val="auto"/>
        </w:rPr>
        <w:t xml:space="preserve"> </w:t>
      </w:r>
      <w:r>
        <w:rPr>
          <w:rFonts w:ascii="Arial" w:cs="Arial" w:eastAsia="Arial" w:hAnsi="Arial"/>
          <w:sz w:val="18"/>
          <w:szCs w:val="18"/>
          <w:color w:val="auto"/>
        </w:rPr>
        <w:t>have any obligation to make Loans or any Issuing Bank 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55" w:lineRule="exact"/>
        <w:rPr>
          <w:sz w:val="20"/>
          <w:szCs w:val="20"/>
          <w:color w:val="auto"/>
        </w:rPr>
      </w:pPr>
    </w:p>
    <w:p>
      <w:pPr>
        <w:ind w:right="180" w:firstLine="913"/>
        <w:spacing w:after="0" w:line="258" w:lineRule="auto"/>
        <w:rPr>
          <w:sz w:val="20"/>
          <w:szCs w:val="20"/>
          <w:color w:val="auto"/>
        </w:rPr>
      </w:pPr>
      <w:r>
        <w:rPr>
          <w:rFonts w:ascii="Arial" w:cs="Arial" w:eastAsia="Arial" w:hAnsi="Arial"/>
          <w:sz w:val="18"/>
          <w:szCs w:val="18"/>
          <w:b w:val="1"/>
          <w:bCs w:val="1"/>
          <w:color w:val="auto"/>
        </w:rPr>
        <w:t>§8.1. Restrictions on Indebtedness</w:t>
      </w:r>
      <w:r>
        <w:rPr>
          <w:rFonts w:ascii="Arial" w:cs="Arial" w:eastAsia="Arial" w:hAnsi="Arial"/>
          <w:sz w:val="18"/>
          <w:szCs w:val="18"/>
          <w:color w:val="auto"/>
        </w:rPr>
        <w:t>. The Borrower will not permit any of its Subsidiaries to create, incur, assume, or be or remain liable,</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contingently or otherwise, with respect to any Indebtedness, or to become or be responsible in any manner (whether by agreement to purchase any obligations, stock, assets, goods or services, or to supply or advance any funds, assets, goods or services or otherwise) with respect to any Indebtedness, in each case, of any other Person other than the Borrower or any of its Subsidiaries, other than:</w:t>
      </w:r>
    </w:p>
    <w:p>
      <w:pPr>
        <w:spacing w:after="0" w:line="61" w:lineRule="exact"/>
        <w:rPr>
          <w:sz w:val="20"/>
          <w:szCs w:val="20"/>
          <w:color w:val="auto"/>
        </w:rPr>
      </w:pPr>
    </w:p>
    <w:p>
      <w:pPr>
        <w:ind w:left="460" w:firstLine="4"/>
        <w:spacing w:after="0" w:line="291" w:lineRule="auto"/>
        <w:tabs>
          <w:tab w:leader="none" w:pos="699"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Indebtedness of the Borrower’s Subsidiaries listed in </w:t>
      </w:r>
      <w:r>
        <w:rPr>
          <w:rFonts w:ascii="Arial" w:cs="Arial" w:eastAsia="Arial" w:hAnsi="Arial"/>
          <w:sz w:val="16"/>
          <w:szCs w:val="16"/>
          <w:u w:val="single" w:color="auto"/>
          <w:color w:val="auto"/>
        </w:rPr>
        <w:t>Schedule 8.1(a)</w:t>
      </w:r>
      <w:r>
        <w:rPr>
          <w:rFonts w:ascii="Arial" w:cs="Arial" w:eastAsia="Arial" w:hAnsi="Arial"/>
          <w:sz w:val="16"/>
          <w:szCs w:val="16"/>
          <w:color w:val="auto"/>
        </w:rPr>
        <w:t xml:space="preserve">, any extension, renewal or refinancing of such Indebtedness and any additional bonds issued and Capital Leases entered into from time to time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such Indebtedness is an extension, renewal or refinancing of existing Indebtedness, the terms and conditions of any such extensions, renewals or refinancings shall not increase the relative priority of such Indebtedness over the priority of the original Indebtedness, and (ii) in no event shall the aggregate outstanding principal amount of Indebtedness permitted by this §8.1(a) exceed the aggregate principal amount of the Indebtedness listed on </w:t>
      </w:r>
      <w:r>
        <w:rPr>
          <w:rFonts w:ascii="Arial" w:cs="Arial" w:eastAsia="Arial" w:hAnsi="Arial"/>
          <w:sz w:val="16"/>
          <w:szCs w:val="16"/>
          <w:u w:val="single" w:color="auto"/>
          <w:color w:val="auto"/>
        </w:rPr>
        <w:t>Schedule 8.1(a)</w:t>
      </w:r>
      <w:r>
        <w:rPr>
          <w:rFonts w:ascii="Arial" w:cs="Arial" w:eastAsia="Arial" w:hAnsi="Arial"/>
          <w:sz w:val="16"/>
          <w:szCs w:val="16"/>
          <w:color w:val="auto"/>
        </w:rPr>
        <w:t xml:space="preserve"> that is outstanding on the Effective Date (plus transaction costs, including premiums and fees, related thereto); and</w:t>
      </w:r>
    </w:p>
    <w:p>
      <w:pPr>
        <w:spacing w:after="0" w:line="39" w:lineRule="exact"/>
        <w:rPr>
          <w:rFonts w:ascii="Arial" w:cs="Arial" w:eastAsia="Arial" w:hAnsi="Arial"/>
          <w:sz w:val="16"/>
          <w:szCs w:val="16"/>
          <w:color w:val="auto"/>
        </w:rPr>
      </w:pPr>
    </w:p>
    <w:p>
      <w:pPr>
        <w:ind w:left="460" w:right="80" w:firstLine="4"/>
        <w:spacing w:after="0" w:line="294" w:lineRule="auto"/>
        <w:tabs>
          <w:tab w:leader="none" w:pos="709"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other Indebtedness of the Borrower’s Subsidiaries (other than of the Guarantor)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sum (without duplication) of (i) the aggregate outstanding principal amount of Indebtedness permitted under this §8.1(b),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aggregate outstanding principal amount of secured Indebtedness of the Borrower and its Subsidiaries permitted under subsections (k), (l) and (m) of the definition of “Permitted Liens”,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the aggregate amount of Indebtedness with respect to outstanding Permitted Receivables Transactions (determined in accordance with the proviso to the definition of “Indebtedness”), shall not exceed 15% of Consolidated Tangible Assets at any time.</w:t>
      </w:r>
    </w:p>
    <w:p>
      <w:pPr>
        <w:spacing w:after="0" w:line="2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§8.2. Restrictions on Liens</w:t>
      </w:r>
      <w:r>
        <w:rPr>
          <w:rFonts w:ascii="Arial" w:cs="Arial" w:eastAsia="Arial" w:hAnsi="Arial"/>
          <w:sz w:val="16"/>
          <w:szCs w:val="16"/>
          <w:color w:val="auto"/>
        </w:rPr>
        <w:t>. The Borrower will not, and will cause its Subsidiaries not to, create or incur or suffer to be created or incurred or to</w:t>
      </w:r>
      <w:r>
        <w:rPr>
          <w:rFonts w:ascii="Arial" w:cs="Arial" w:eastAsia="Arial" w:hAnsi="Arial"/>
          <w:sz w:val="16"/>
          <w:szCs w:val="16"/>
          <w:b w:val="1"/>
          <w:bCs w:val="1"/>
          <w:color w:val="auto"/>
        </w:rPr>
        <w:t xml:space="preserve"> </w:t>
      </w:r>
      <w:r>
        <w:rPr>
          <w:rFonts w:ascii="Arial" w:cs="Arial" w:eastAsia="Arial" w:hAnsi="Arial"/>
          <w:sz w:val="16"/>
          <w:szCs w:val="16"/>
          <w:color w:val="auto"/>
        </w:rPr>
        <w:t>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20"/>
          </w:cols>
          <w:pgMar w:left="240" w:top="274" w:right="239" w:bottom="1440" w:gutter="0" w:footer="0" w:header="0"/>
        </w:sectPr>
      </w:pPr>
    </w:p>
    <w:bookmarkStart w:id="77" w:name="page78"/>
    <w:bookmarkEnd w:id="77"/>
    <w:p>
      <w:pPr>
        <w:ind w:right="100" w:firstLine="456"/>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covenants of the Borrower and the Guarantor contained in this sentence shall only be in effect for so long as the Borrower or the Guarantor shall be similarly obligated under any other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 Event of Default shall occur for so long as such other Indebtedness becomes secured notwithstanding any actions taken by the Borrower or the Guarantor to ratably secure the Obligations and the Guaranteed Obligations hereunder.</w:t>
      </w:r>
    </w:p>
    <w:p>
      <w:pPr>
        <w:spacing w:after="0" w:line="1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§8.3. Restrictions on Investments</w:t>
      </w:r>
      <w:r>
        <w:rPr>
          <w:rFonts w:ascii="Arial" w:cs="Arial" w:eastAsia="Arial" w:hAnsi="Arial"/>
          <w:sz w:val="16"/>
          <w:szCs w:val="16"/>
          <w:color w:val="auto"/>
        </w:rPr>
        <w:t>. Except to the extent provided in §8.4, neither the Borrower nor any Subsidiary may make or permit to exist or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remain outstanding any Investment, other than Investments in 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Investments (excluding Investments in Cash Equivalents), does not exceed 15% of Consolidated Tangible Assets;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ability of the Subsidiaries of the Borrower to incur any Indebtedness in connection with any Investment permitted by this §8.3 shall be governed by §8.1.</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§8.4. Mergers, Consolidations, Sales</w:t>
      </w:r>
      <w:r>
        <w:rPr>
          <w:rFonts w:ascii="Arial" w:cs="Arial" w:eastAsia="Arial" w:hAnsi="Arial"/>
          <w:sz w:val="18"/>
          <w:szCs w:val="18"/>
          <w:color w:val="auto"/>
        </w:rPr>
        <w:t>.</w:t>
      </w:r>
    </w:p>
    <w:p>
      <w:pPr>
        <w:spacing w:after="0" w:line="96" w:lineRule="exact"/>
        <w:rPr>
          <w:sz w:val="20"/>
          <w:szCs w:val="20"/>
          <w:color w:val="auto"/>
        </w:rPr>
      </w:pPr>
    </w:p>
    <w:p>
      <w:pPr>
        <w:ind w:left="460" w:firstLine="443"/>
        <w:spacing w:after="0" w:line="306" w:lineRule="auto"/>
        <w:tabs>
          <w:tab w:leader="none" w:pos="1137"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w:t>
      </w:r>
    </w:p>
    <w:p>
      <w:pPr>
        <w:spacing w:after="0" w:line="102" w:lineRule="exact"/>
        <w:rPr>
          <w:rFonts w:ascii="Arial" w:cs="Arial" w:eastAsia="Arial" w:hAnsi="Arial"/>
          <w:sz w:val="15"/>
          <w:szCs w:val="15"/>
          <w:color w:val="auto"/>
        </w:rPr>
      </w:pPr>
    </w:p>
    <w:p>
      <w:pPr>
        <w:ind w:left="5620" w:hanging="96"/>
        <w:spacing w:after="0"/>
        <w:tabs>
          <w:tab w:leader="none" w:pos="56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400"/>
          </w:cols>
          <w:pgMar w:left="240" w:top="280" w:right="259" w:bottom="1440" w:gutter="0" w:footer="0" w:header="0"/>
        </w:sectPr>
      </w:pPr>
    </w:p>
    <w:bookmarkStart w:id="78" w:name="page79"/>
    <w:bookmarkEnd w:id="78"/>
    <w:p>
      <w:pPr>
        <w:ind w:left="452"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the ability of the Subsidiaries of the Borrower to incur any Indebtedness in connection with any transaction permitted pursuant to this §8.4 shall be governed by §8.1.</w:t>
      </w:r>
    </w:p>
    <w:p>
      <w:pPr>
        <w:spacing w:after="0" w:line="51" w:lineRule="exact"/>
        <w:rPr>
          <w:sz w:val="20"/>
          <w:szCs w:val="20"/>
          <w:color w:val="auto"/>
        </w:rPr>
      </w:pPr>
    </w:p>
    <w:p>
      <w:pPr>
        <w:ind w:left="452" w:right="40" w:firstLine="443"/>
        <w:spacing w:after="0" w:line="301" w:lineRule="auto"/>
        <w:tabs>
          <w:tab w:leader="none" w:pos="1139" w:val="left"/>
        </w:tabs>
        <w:numPr>
          <w:ilvl w:val="1"/>
          <w:numId w:val="66"/>
        </w:numPr>
        <w:rPr>
          <w:rFonts w:ascii="Arial" w:cs="Arial" w:eastAsia="Arial" w:hAnsi="Arial"/>
          <w:sz w:val="15"/>
          <w:szCs w:val="15"/>
          <w:color w:val="auto"/>
        </w:rPr>
      </w:pPr>
      <w:r>
        <w:rPr>
          <w:rFonts w:ascii="Arial" w:cs="Arial" w:eastAsia="Arial" w:hAnsi="Arial"/>
          <w:sz w:val="15"/>
          <w:szCs w:val="15"/>
          <w:color w:val="auto"/>
        </w:rPr>
        <w:t xml:space="preserve">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w:t>
      </w:r>
    </w:p>
    <w:p>
      <w:pPr>
        <w:spacing w:after="0" w:line="4" w:lineRule="exact"/>
        <w:rPr>
          <w:rFonts w:ascii="Arial" w:cs="Arial" w:eastAsia="Arial" w:hAnsi="Arial"/>
          <w:sz w:val="15"/>
          <w:szCs w:val="15"/>
          <w:color w:val="auto"/>
        </w:rPr>
      </w:pPr>
    </w:p>
    <w:p>
      <w:pPr>
        <w:ind w:left="792" w:hanging="336"/>
        <w:spacing w:after="0"/>
        <w:tabs>
          <w:tab w:leader="none" w:pos="7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days past due sold or assigned in the ordinary course of collecting past due accounts, or (iv) pursuant to a Permitted Receivables Transaction.</w:t>
      </w:r>
    </w:p>
    <w:p>
      <w:pPr>
        <w:spacing w:after="0" w:line="101" w:lineRule="exact"/>
        <w:rPr>
          <w:sz w:val="20"/>
          <w:szCs w:val="20"/>
          <w:color w:val="auto"/>
        </w:rPr>
      </w:pPr>
    </w:p>
    <w:p>
      <w:pPr>
        <w:ind w:left="912"/>
        <w:spacing w:after="0"/>
        <w:rPr>
          <w:sz w:val="20"/>
          <w:szCs w:val="20"/>
          <w:color w:val="auto"/>
        </w:rPr>
      </w:pPr>
      <w:r>
        <w:rPr>
          <w:rFonts w:ascii="Arial" w:cs="Arial" w:eastAsia="Arial" w:hAnsi="Arial"/>
          <w:sz w:val="16"/>
          <w:szCs w:val="16"/>
          <w:b w:val="1"/>
          <w:bCs w:val="1"/>
          <w:color w:val="auto"/>
        </w:rPr>
        <w:t>§8.5. Restricted Distributions and Redemptions</w:t>
      </w:r>
      <w:r>
        <w:rPr>
          <w:rFonts w:ascii="Arial" w:cs="Arial" w:eastAsia="Arial" w:hAnsi="Arial"/>
          <w:sz w:val="16"/>
          <w:szCs w:val="16"/>
          <w:color w:val="auto"/>
        </w:rPr>
        <w:t>. Neither the Borrower nor any of its Subsidiaries will (a) declare or pay any Distributions, or</w:t>
      </w:r>
    </w:p>
    <w:p>
      <w:pPr>
        <w:spacing w:after="0" w:line="44" w:lineRule="exact"/>
        <w:rPr>
          <w:sz w:val="20"/>
          <w:szCs w:val="20"/>
          <w:color w:val="auto"/>
        </w:rPr>
      </w:pPr>
    </w:p>
    <w:p>
      <w:pPr>
        <w:ind w:left="-8" w:right="140" w:firstLine="8"/>
        <w:spacing w:after="0" w:line="253" w:lineRule="auto"/>
        <w:tabs>
          <w:tab w:leader="none" w:pos="2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redeem, convert, retire or otherwise acquire shares of any class 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Significant Subsidiary will enter into any agreement restricting Distributions from such Significant Subsidiary to the Borrower.</w:t>
      </w:r>
    </w:p>
    <w:p>
      <w:pPr>
        <w:spacing w:after="0" w:line="5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§8.6. Employee Benefit Plans</w:t>
      </w:r>
      <w:r>
        <w:rPr>
          <w:rFonts w:ascii="Arial" w:cs="Arial" w:eastAsia="Arial" w:hAnsi="Arial"/>
          <w:sz w:val="18"/>
          <w:szCs w:val="18"/>
          <w:color w:val="auto"/>
        </w:rPr>
        <w:t>. None of the Borrower, any of its Subsidiaries, or any ERISA Affiliate will:</w:t>
      </w:r>
    </w:p>
    <w:p>
      <w:pPr>
        <w:spacing w:after="0" w:line="96" w:lineRule="exact"/>
        <w:rPr>
          <w:sz w:val="20"/>
          <w:szCs w:val="20"/>
          <w:color w:val="auto"/>
        </w:rPr>
      </w:pPr>
    </w:p>
    <w:p>
      <w:pPr>
        <w:ind w:left="452" w:right="200" w:firstLine="443"/>
        <w:spacing w:after="0" w:line="268" w:lineRule="auto"/>
        <w:tabs>
          <w:tab w:leader="none" w:pos="112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engage in any “prohibited transaction” within the meaning of §406 of ERISA or §4975 of the Code which could result in a material liability for the Borrower on a consolidated basis; or</w:t>
      </w:r>
    </w:p>
    <w:p>
      <w:pPr>
        <w:spacing w:after="0" w:line="50" w:lineRule="exact"/>
        <w:rPr>
          <w:rFonts w:ascii="Arial" w:cs="Arial" w:eastAsia="Arial" w:hAnsi="Arial"/>
          <w:sz w:val="18"/>
          <w:szCs w:val="18"/>
          <w:color w:val="auto"/>
        </w:rPr>
      </w:pPr>
    </w:p>
    <w:p>
      <w:pPr>
        <w:ind w:left="452" w:right="160" w:firstLine="443"/>
        <w:spacing w:after="0" w:line="268" w:lineRule="auto"/>
        <w:tabs>
          <w:tab w:leader="none" w:pos="11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permit any Guaranteed Pension Plan to be in “at risk” status or subject to the notice and lien provisions described in §303 of ERISA, whether or not a minimum funding waiver has been granted; or</w:t>
      </w:r>
    </w:p>
    <w:p>
      <w:pPr>
        <w:spacing w:after="0" w:line="50" w:lineRule="exact"/>
        <w:rPr>
          <w:rFonts w:ascii="Arial" w:cs="Arial" w:eastAsia="Arial" w:hAnsi="Arial"/>
          <w:sz w:val="18"/>
          <w:szCs w:val="18"/>
          <w:color w:val="auto"/>
        </w:rPr>
      </w:pPr>
    </w:p>
    <w:p>
      <w:pPr>
        <w:ind w:left="452" w:firstLine="443"/>
        <w:spacing w:after="0" w:line="332" w:lineRule="auto"/>
        <w:tabs>
          <w:tab w:leader="none" w:pos="11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fail to contribute to any Guaranteed Pension Plan to an extent which, or terminate any Guaranteed Pension Plan in a manner which, could result in the imposition of a lien or encumbrance on the assets of the Borrower or the Guarantor pursuant to §303 or §4068 of ERISA; or</w:t>
      </w:r>
    </w:p>
    <w:p>
      <w:pPr>
        <w:spacing w:after="0" w:line="71" w:lineRule="exact"/>
        <w:rPr>
          <w:rFonts w:ascii="Arial" w:cs="Arial" w:eastAsia="Arial" w:hAnsi="Arial"/>
          <w:sz w:val="16"/>
          <w:szCs w:val="16"/>
          <w:color w:val="auto"/>
        </w:rPr>
      </w:pPr>
    </w:p>
    <w:p>
      <w:pPr>
        <w:ind w:left="5612" w:hanging="96"/>
        <w:spacing w:after="0"/>
        <w:tabs>
          <w:tab w:leader="none" w:pos="5612" w:val="left"/>
        </w:tabs>
        <w:numPr>
          <w:ilvl w:val="1"/>
          <w:numId w:val="69"/>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1412"/>
          </w:cols>
          <w:pgMar w:left="248" w:top="280" w:right="239" w:bottom="1440" w:gutter="0" w:footer="0" w:header="0"/>
        </w:sectPr>
      </w:pPr>
    </w:p>
    <w:bookmarkStart w:id="79" w:name="page80"/>
    <w:bookmarkEnd w:id="79"/>
    <w:p>
      <w:pPr>
        <w:ind w:left="460" w:right="100" w:firstLine="443"/>
        <w:spacing w:after="0" w:line="306"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 attachments, in respect of each Guaranteed Pension Plan, and (ii) promptly upon receipt or dispatch, furnish to the Banks any notice, report or demand sent or received in respect of a Guaranteed Pension Plan under §§302, 303, 4041, 4042, 4043, 4063, 4065, 4066 and 4068 of ERISA, or in respect of a Multiemployer Plan, under §§4041A, 4202, 4219, 4242 or 4245 of ERISA.</w:t>
      </w:r>
    </w:p>
    <w:p>
      <w:pPr>
        <w:spacing w:after="0" w:line="137"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u w:val="single" w:color="auto"/>
          <w:color w:val="auto"/>
        </w:rPr>
        <w:t>FINANCIAL COVENANTS OF THE BORROWER</w:t>
      </w:r>
      <w:r>
        <w:rPr>
          <w:rFonts w:ascii="Arial" w:cs="Arial" w:eastAsia="Arial" w:hAnsi="Arial"/>
          <w:sz w:val="16"/>
          <w:szCs w:val="16"/>
          <w:color w:val="auto"/>
        </w:rPr>
        <w:t>. The Borrower agrees that, so long as any Obligation or Letter of Credit is outstanding or the Banks</w:t>
      </w:r>
      <w:r>
        <w:rPr>
          <w:rFonts w:ascii="Arial" w:cs="Arial" w:eastAsia="Arial" w:hAnsi="Arial"/>
          <w:sz w:val="16"/>
          <w:szCs w:val="16"/>
          <w:b w:val="1"/>
          <w:bCs w:val="1"/>
          <w:color w:val="auto"/>
        </w:rPr>
        <w:t xml:space="preserve"> </w:t>
      </w:r>
      <w:r>
        <w:rPr>
          <w:rFonts w:ascii="Arial" w:cs="Arial" w:eastAsia="Arial" w:hAnsi="Arial"/>
          <w:sz w:val="16"/>
          <w:szCs w:val="16"/>
          <w:color w:val="auto"/>
        </w:rPr>
        <w:t>have any obligation to make Loans or any Issuing Bank has any obligation to issue, extend or renew any Letter of Credit hereunder, or the Banks have any obligation to reimburse any Issuing Bank for drawings honored under any Letter of Credit, it shall comply with the following covenants:</w:t>
      </w:r>
    </w:p>
    <w:p>
      <w:pPr>
        <w:spacing w:after="0" w:line="16"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b w:val="1"/>
          <w:bCs w:val="1"/>
          <w:color w:val="auto"/>
        </w:rPr>
        <w:t>§9.1. Interest Coverage Ratio</w:t>
      </w:r>
      <w:r>
        <w:rPr>
          <w:rFonts w:ascii="Arial" w:cs="Arial" w:eastAsia="Arial" w:hAnsi="Arial"/>
          <w:sz w:val="18"/>
          <w:szCs w:val="18"/>
          <w:color w:val="auto"/>
        </w:rPr>
        <w:t>. As of the end of any fiscal quarter of the Borrower, the Borrower will not permit the ratio of (a) EBIT for the four</w:t>
      </w:r>
      <w:r>
        <w:rPr>
          <w:rFonts w:ascii="Arial" w:cs="Arial" w:eastAsia="Arial" w:hAnsi="Arial"/>
          <w:sz w:val="18"/>
          <w:szCs w:val="18"/>
          <w:b w:val="1"/>
          <w:bCs w:val="1"/>
          <w:color w:val="auto"/>
        </w:rPr>
        <w:t xml:space="preserve"> </w:t>
      </w:r>
      <w:r>
        <w:rPr>
          <w:rFonts w:ascii="Arial" w:cs="Arial" w:eastAsia="Arial" w:hAnsi="Arial"/>
          <w:sz w:val="18"/>
          <w:szCs w:val="18"/>
          <w:color w:val="auto"/>
        </w:rPr>
        <w:t>fiscal quarters then ending to (b) Consolidated Total Interest Expense for such period to be less than 2.75:1.00.</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§9.2. Total Debt to EBITDA</w:t>
      </w:r>
      <w:r>
        <w:rPr>
          <w:rFonts w:ascii="Arial" w:cs="Arial" w:eastAsia="Arial" w:hAnsi="Arial"/>
          <w:sz w:val="16"/>
          <w:szCs w:val="16"/>
          <w:color w:val="auto"/>
        </w:rPr>
        <w:t>. As of the end of any fiscal quarter of the Borrower, the Borrower will not permit the ratio of (a) Total Debt to</w:t>
      </w:r>
    </w:p>
    <w:p>
      <w:pPr>
        <w:spacing w:after="0" w:line="44" w:lineRule="exact"/>
        <w:rPr>
          <w:sz w:val="20"/>
          <w:szCs w:val="20"/>
          <w:color w:val="auto"/>
        </w:rPr>
      </w:pPr>
    </w:p>
    <w:p>
      <w:pPr>
        <w:ind w:right="40" w:firstLine="8"/>
        <w:spacing w:after="0" w:line="261"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EBITDA for the four fiscal quarters then ending to exceed (i) for each fiscal quarter of the Borrower ending before September 30, 2015, 3.75:1.00, and (ii) for each fiscal quarter of the Borrower ending on or after September 30, 2015, 3.50:1.00.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b w:val="1"/>
          <w:bCs w:val="1"/>
          <w:u w:val="single" w:color="auto"/>
          <w:color w:val="auto"/>
        </w:rPr>
        <w:t>CONDITIONS PRECEDENT</w:t>
      </w:r>
      <w:r>
        <w:rPr>
          <w:rFonts w:ascii="Arial" w:cs="Arial" w:eastAsia="Arial" w:hAnsi="Arial"/>
          <w:sz w:val="18"/>
          <w:szCs w:val="18"/>
          <w:color w:val="auto"/>
        </w:rPr>
        <w:t>.</w:t>
      </w:r>
    </w:p>
    <w:p>
      <w:pPr>
        <w:spacing w:after="0" w:line="90"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b w:val="1"/>
          <w:bCs w:val="1"/>
          <w:color w:val="auto"/>
        </w:rPr>
        <w:t>§10.1. Conditions To Effectiveness</w:t>
      </w:r>
      <w:r>
        <w:rPr>
          <w:rFonts w:ascii="Arial" w:cs="Arial" w:eastAsia="Arial" w:hAnsi="Arial"/>
          <w:sz w:val="18"/>
          <w:szCs w:val="18"/>
          <w:color w:val="auto"/>
        </w:rPr>
        <w:t>. The effectiveness of this Agreement as an amendment and restatement of the Existing Credit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the satisfaction of each of the following conditions precedent on or before July 30, 2013:</w:t>
      </w:r>
    </w:p>
    <w:p>
      <w:pPr>
        <w:spacing w:after="0" w:line="39" w:lineRule="exact"/>
        <w:rPr>
          <w:sz w:val="20"/>
          <w:szCs w:val="20"/>
          <w:color w:val="auto"/>
        </w:rPr>
      </w:pPr>
    </w:p>
    <w:p>
      <w:pPr>
        <w:jc w:val="both"/>
        <w:ind w:right="520" w:firstLine="1484"/>
        <w:spacing w:after="0" w:line="310" w:lineRule="auto"/>
        <w:rPr>
          <w:sz w:val="20"/>
          <w:szCs w:val="20"/>
          <w:color w:val="auto"/>
        </w:rPr>
      </w:pPr>
      <w:r>
        <w:rPr>
          <w:rFonts w:ascii="Arial" w:cs="Arial" w:eastAsia="Arial" w:hAnsi="Arial"/>
          <w:sz w:val="16"/>
          <w:szCs w:val="16"/>
          <w:b w:val="1"/>
          <w:bCs w:val="1"/>
          <w:color w:val="auto"/>
        </w:rPr>
        <w:t>§10.1.1 Corporate Action</w:t>
      </w:r>
      <w:r>
        <w:rPr>
          <w:rFonts w:ascii="Arial" w:cs="Arial" w:eastAsia="Arial" w:hAnsi="Arial"/>
          <w:sz w:val="16"/>
          <w:szCs w:val="16"/>
          <w:color w:val="auto"/>
        </w:rPr>
        <w:t>. All corporate action necessary for the valid execution, delivery and performance by the Borrower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16" w:lineRule="exact"/>
        <w:rPr>
          <w:sz w:val="20"/>
          <w:szCs w:val="20"/>
          <w:color w:val="auto"/>
        </w:rPr>
      </w:pPr>
    </w:p>
    <w:p>
      <w:pPr>
        <w:ind w:right="320" w:firstLine="1484"/>
        <w:spacing w:after="0" w:line="378" w:lineRule="auto"/>
        <w:rPr>
          <w:sz w:val="20"/>
          <w:szCs w:val="20"/>
          <w:color w:val="auto"/>
        </w:rPr>
      </w:pPr>
      <w:r>
        <w:rPr>
          <w:rFonts w:ascii="Arial" w:cs="Arial" w:eastAsia="Arial" w:hAnsi="Arial"/>
          <w:sz w:val="15"/>
          <w:szCs w:val="15"/>
          <w:b w:val="1"/>
          <w:bCs w:val="1"/>
          <w:color w:val="auto"/>
        </w:rPr>
        <w:t>§10.1.2 Loan Documents, Etc</w:t>
      </w:r>
      <w:r>
        <w:rPr>
          <w:rFonts w:ascii="Arial" w:cs="Arial" w:eastAsia="Arial" w:hAnsi="Arial"/>
          <w:sz w:val="15"/>
          <w:szCs w:val="15"/>
          <w:color w:val="auto"/>
        </w:rPr>
        <w:t>. Each of the Loan Documents and other documents listed on the closing agenda shall have been duly and</w:t>
      </w:r>
      <w:r>
        <w:rPr>
          <w:rFonts w:ascii="Arial" w:cs="Arial" w:eastAsia="Arial" w:hAnsi="Arial"/>
          <w:sz w:val="15"/>
          <w:szCs w:val="15"/>
          <w:b w:val="1"/>
          <w:bCs w:val="1"/>
          <w:color w:val="auto"/>
        </w:rPr>
        <w:t xml:space="preserve"> </w:t>
      </w:r>
      <w:r>
        <w:rPr>
          <w:rFonts w:ascii="Arial" w:cs="Arial" w:eastAsia="Arial" w:hAnsi="Arial"/>
          <w:sz w:val="15"/>
          <w:szCs w:val="15"/>
          <w:color w:val="auto"/>
        </w:rPr>
        <w:t>properly authorized, executed and delivered by the respective parties thereto and shall be in full force and effect in a form satisfactory to the Majority Banks.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280" w:right="239" w:bottom="1440" w:gutter="0" w:footer="0" w:header="0"/>
        </w:sectPr>
      </w:pPr>
    </w:p>
    <w:bookmarkStart w:id="80" w:name="page81"/>
    <w:bookmarkEnd w:id="80"/>
    <w:p>
      <w:pPr>
        <w:ind w:right="60" w:firstLine="1484"/>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§10.1.3 Certified Copies of Charter Documents</w:t>
      </w:r>
      <w:r>
        <w:rPr>
          <w:rFonts w:ascii="Arial" w:cs="Arial" w:eastAsia="Arial" w:hAnsi="Arial"/>
          <w:sz w:val="16"/>
          <w:szCs w:val="16"/>
          <w:color w:val="auto"/>
        </w:rPr>
        <w:t>. The Banks shall have received from each of the Borrower and the Guarantor, certified by</w:t>
      </w:r>
      <w:r>
        <w:rPr>
          <w:rFonts w:ascii="Arial" w:cs="Arial" w:eastAsia="Arial" w:hAnsi="Arial"/>
          <w:sz w:val="16"/>
          <w:szCs w:val="16"/>
          <w:b w:val="1"/>
          <w:bCs w:val="1"/>
          <w:color w:val="auto"/>
        </w:rPr>
        <w:t xml:space="preserve"> </w:t>
      </w:r>
      <w:r>
        <w:rPr>
          <w:rFonts w:ascii="Arial" w:cs="Arial" w:eastAsia="Arial" w:hAnsi="Arial"/>
          <w:sz w:val="16"/>
          <w:szCs w:val="16"/>
          <w:color w:val="auto"/>
        </w:rPr>
        <w:t>a duly authorized officer of such Person to be true and complete on the Effective Date, (a) its charter or other incorporation documents, (b) its by-laws and (c) good standing certificates and such foreign qualifications as may be requested by the Administrative Agent.</w:t>
      </w:r>
    </w:p>
    <w:p>
      <w:pPr>
        <w:spacing w:after="0" w:line="16" w:lineRule="exact"/>
        <w:rPr>
          <w:sz w:val="20"/>
          <w:szCs w:val="20"/>
          <w:color w:val="auto"/>
        </w:rPr>
      </w:pPr>
    </w:p>
    <w:p>
      <w:pPr>
        <w:ind w:right="40" w:firstLine="1484"/>
        <w:spacing w:after="0" w:line="301" w:lineRule="auto"/>
        <w:rPr>
          <w:sz w:val="20"/>
          <w:szCs w:val="20"/>
          <w:color w:val="auto"/>
        </w:rPr>
      </w:pPr>
      <w:r>
        <w:rPr>
          <w:rFonts w:ascii="Arial" w:cs="Arial" w:eastAsia="Arial" w:hAnsi="Arial"/>
          <w:sz w:val="16"/>
          <w:szCs w:val="16"/>
          <w:b w:val="1"/>
          <w:bCs w:val="1"/>
          <w:color w:val="auto"/>
        </w:rPr>
        <w:t>§10.1.4 Incumbency Certificate</w:t>
      </w:r>
      <w:r>
        <w:rPr>
          <w:rFonts w:ascii="Arial" w:cs="Arial" w:eastAsia="Arial" w:hAnsi="Arial"/>
          <w:sz w:val="16"/>
          <w:szCs w:val="16"/>
          <w:color w:val="auto"/>
        </w:rPr>
        <w:t>. The Banks shall have received an incumbency certificate, dated as of the Effective Date, signed by duly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officers of the Borrower and the Guarantor giving the 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22" w:lineRule="exact"/>
        <w:rPr>
          <w:sz w:val="20"/>
          <w:szCs w:val="20"/>
          <w:color w:val="auto"/>
        </w:rPr>
      </w:pPr>
    </w:p>
    <w:p>
      <w:pPr>
        <w:ind w:right="180" w:firstLine="1484"/>
        <w:spacing w:after="0" w:line="275" w:lineRule="auto"/>
        <w:rPr>
          <w:sz w:val="20"/>
          <w:szCs w:val="20"/>
          <w:color w:val="auto"/>
        </w:rPr>
      </w:pPr>
      <w:r>
        <w:rPr>
          <w:rFonts w:ascii="Arial" w:cs="Arial" w:eastAsia="Arial" w:hAnsi="Arial"/>
          <w:sz w:val="18"/>
          <w:szCs w:val="18"/>
          <w:b w:val="1"/>
          <w:bCs w:val="1"/>
          <w:color w:val="auto"/>
        </w:rPr>
        <w:t>§10.1.5 Summary of Insurance</w:t>
      </w:r>
      <w:r>
        <w:rPr>
          <w:rFonts w:ascii="Arial" w:cs="Arial" w:eastAsia="Arial" w:hAnsi="Arial"/>
          <w:sz w:val="18"/>
          <w:szCs w:val="18"/>
          <w:color w:val="auto"/>
        </w:rPr>
        <w:t>. The Administrative Agent shall have received a summary of the insurance coverage of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of the type described in §7.7.</w:t>
      </w:r>
    </w:p>
    <w:p>
      <w:pPr>
        <w:spacing w:after="0" w:line="39" w:lineRule="exact"/>
        <w:rPr>
          <w:sz w:val="20"/>
          <w:szCs w:val="20"/>
          <w:color w:val="auto"/>
        </w:rPr>
      </w:pPr>
    </w:p>
    <w:p>
      <w:pPr>
        <w:ind w:right="80" w:firstLine="1484"/>
        <w:spacing w:after="0" w:line="258" w:lineRule="auto"/>
        <w:rPr>
          <w:sz w:val="20"/>
          <w:szCs w:val="20"/>
          <w:color w:val="auto"/>
        </w:rPr>
      </w:pPr>
      <w:r>
        <w:rPr>
          <w:rFonts w:ascii="Arial" w:cs="Arial" w:eastAsia="Arial" w:hAnsi="Arial"/>
          <w:sz w:val="18"/>
          <w:szCs w:val="18"/>
          <w:b w:val="1"/>
          <w:bCs w:val="1"/>
          <w:color w:val="auto"/>
        </w:rPr>
        <w:t>§10.1.6 Opinion of Counsel</w:t>
      </w:r>
      <w:r>
        <w:rPr>
          <w:rFonts w:ascii="Arial" w:cs="Arial" w:eastAsia="Arial" w:hAnsi="Arial"/>
          <w:sz w:val="18"/>
          <w:szCs w:val="18"/>
          <w:color w:val="auto"/>
        </w:rPr>
        <w:t>. The Banks shall have received a favorable legal opinion from the Vice President and Assistant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of the Borrower and the Guarantor addressed to the Banks, dated 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55" w:lineRule="exact"/>
        <w:rPr>
          <w:sz w:val="20"/>
          <w:szCs w:val="20"/>
          <w:color w:val="auto"/>
        </w:rPr>
      </w:pPr>
    </w:p>
    <w:p>
      <w:pPr>
        <w:ind w:right="360" w:firstLine="1484"/>
        <w:spacing w:after="0" w:line="262" w:lineRule="auto"/>
        <w:rPr>
          <w:sz w:val="20"/>
          <w:szCs w:val="20"/>
          <w:color w:val="auto"/>
        </w:rPr>
      </w:pPr>
      <w:r>
        <w:rPr>
          <w:rFonts w:ascii="Arial" w:cs="Arial" w:eastAsia="Arial" w:hAnsi="Arial"/>
          <w:sz w:val="18"/>
          <w:szCs w:val="18"/>
          <w:b w:val="1"/>
          <w:bCs w:val="1"/>
          <w:color w:val="auto"/>
        </w:rPr>
        <w:t>§10.1.7 Satisfactory Financial Condition</w:t>
      </w:r>
      <w:r>
        <w:rPr>
          <w:rFonts w:ascii="Arial" w:cs="Arial" w:eastAsia="Arial" w:hAnsi="Arial"/>
          <w:sz w:val="18"/>
          <w:szCs w:val="18"/>
          <w:color w:val="auto"/>
        </w:rPr>
        <w:t>. Other than as disclosed in the Disclosure Documents, no material adverse change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in the financial condition, results of operations, business, properties or prospects of the Borrower and its Subsidiaries, taken as a whole, since the Balance Sheet Date.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§10.1.8 Payment of Closing Fees</w:t>
      </w:r>
      <w:r>
        <w:rPr>
          <w:rFonts w:ascii="Arial" w:cs="Arial" w:eastAsia="Arial" w:hAnsi="Arial"/>
          <w:sz w:val="16"/>
          <w:szCs w:val="16"/>
          <w:color w:val="auto"/>
        </w:rPr>
        <w:t>. The Borrower shall have paid the agreed-upon closing fees to the Administrative Agent and Banks.</w:t>
      </w:r>
    </w:p>
    <w:p>
      <w:pPr>
        <w:spacing w:after="0" w:line="113" w:lineRule="exact"/>
        <w:rPr>
          <w:sz w:val="20"/>
          <w:szCs w:val="20"/>
          <w:color w:val="auto"/>
        </w:rPr>
      </w:pPr>
    </w:p>
    <w:p>
      <w:pPr>
        <w:jc w:val="both"/>
        <w:ind w:right="340" w:firstLine="1484"/>
        <w:spacing w:after="0" w:line="262" w:lineRule="auto"/>
        <w:rPr>
          <w:sz w:val="20"/>
          <w:szCs w:val="20"/>
          <w:color w:val="auto"/>
        </w:rPr>
      </w:pPr>
      <w:r>
        <w:rPr>
          <w:rFonts w:ascii="Arial" w:cs="Arial" w:eastAsia="Arial" w:hAnsi="Arial"/>
          <w:sz w:val="18"/>
          <w:szCs w:val="18"/>
          <w:b w:val="1"/>
          <w:bCs w:val="1"/>
          <w:color w:val="auto"/>
        </w:rPr>
        <w:t>§10.1.9 Closing Certificate</w:t>
      </w:r>
      <w:r>
        <w:rPr>
          <w:rFonts w:ascii="Arial" w:cs="Arial" w:eastAsia="Arial" w:hAnsi="Arial"/>
          <w:sz w:val="18"/>
          <w:szCs w:val="18"/>
          <w:color w:val="auto"/>
        </w:rPr>
        <w:t>. The Borrower shall have delivered to the Administrative Agent a certificate, dated as of the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stating that, as of such date (a) the representations and warranties set forth herein and in the other Loan Documents are true and correct, and (b) no Default or Event of Default has occurred and is continuing.</w:t>
      </w:r>
    </w:p>
    <w:p>
      <w:pPr>
        <w:spacing w:after="0" w:line="51" w:lineRule="exact"/>
        <w:rPr>
          <w:sz w:val="20"/>
          <w:szCs w:val="20"/>
          <w:color w:val="auto"/>
        </w:rPr>
      </w:pPr>
    </w:p>
    <w:p>
      <w:pPr>
        <w:jc w:val="both"/>
        <w:ind w:right="20" w:firstLine="1484"/>
        <w:spacing w:after="0" w:line="262" w:lineRule="auto"/>
        <w:rPr>
          <w:sz w:val="20"/>
          <w:szCs w:val="20"/>
          <w:color w:val="auto"/>
        </w:rPr>
      </w:pPr>
      <w:r>
        <w:rPr>
          <w:rFonts w:ascii="Arial" w:cs="Arial" w:eastAsia="Arial" w:hAnsi="Arial"/>
          <w:sz w:val="18"/>
          <w:szCs w:val="18"/>
          <w:b w:val="1"/>
          <w:bCs w:val="1"/>
          <w:color w:val="auto"/>
        </w:rPr>
        <w:t>§10.1.10 USA Patriot Act</w:t>
      </w:r>
      <w:r>
        <w:rPr>
          <w:rFonts w:ascii="Arial" w:cs="Arial" w:eastAsia="Arial" w:hAnsi="Arial"/>
          <w:sz w:val="18"/>
          <w:szCs w:val="18"/>
          <w:color w:val="auto"/>
        </w:rPr>
        <w:t>. The Borrower shall have delivered all documentation and other information that the Administrative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Bank requests in order to comply with its ongoing obligations under applicable “know your customer” and anti-money laundering rules and regulations, including the USA Patriot Act.</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Without limiting the generality of the provisions of the last paragraph of §15.2, for purposes of determining compliance with the conditions specified in this §10,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274" w:right="239" w:bottom="1440" w:gutter="0" w:footer="0" w:header="0"/>
        </w:sectPr>
      </w:pPr>
    </w:p>
    <w:bookmarkStart w:id="81" w:name="page82"/>
    <w:bookmarkEnd w:id="81"/>
    <w:p>
      <w:pPr>
        <w:ind w:right="4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 </w:t>
      </w:r>
      <w:r>
        <w:rPr>
          <w:rFonts w:ascii="Arial" w:cs="Arial" w:eastAsia="Arial" w:hAnsi="Arial"/>
          <w:sz w:val="18"/>
          <w:szCs w:val="18"/>
          <w:b w:val="1"/>
          <w:bCs w:val="1"/>
          <w:u w:val="single" w:color="auto"/>
          <w:color w:val="auto"/>
        </w:rPr>
        <w:t>CONDITIONS TO ALL LOANS</w:t>
      </w:r>
      <w:r>
        <w:rPr>
          <w:rFonts w:ascii="Arial" w:cs="Arial" w:eastAsia="Arial" w:hAnsi="Arial"/>
          <w:sz w:val="18"/>
          <w:szCs w:val="18"/>
          <w:color w:val="auto"/>
        </w:rPr>
        <w:t>. The obligations of the Banks to make or continue for an additional Interest Period in accordance with §2.7 any Loan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 of any Issuing Bank to issue, extend, or renew any Letter of Credit at the time of and subsequent to the Effective Date is subject to the following conditions precedent:</w:t>
      </w:r>
    </w:p>
    <w:p>
      <w:pPr>
        <w:spacing w:after="0" w:line="5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§11.1. Representations True</w:t>
      </w:r>
      <w:r>
        <w:rPr>
          <w:rFonts w:ascii="Arial" w:cs="Arial" w:eastAsia="Arial" w:hAnsi="Arial"/>
          <w:sz w:val="16"/>
          <w:szCs w:val="16"/>
          <w:color w:val="auto"/>
        </w:rPr>
        <w:t>. The Borrower shall have certified to the Administrative Agent and the Banks that each of the representations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warranties of the Borrower and the Guarantor (as applicable) contained in this Agreement or in any document or instrument delivered pursuant to or in connection with this Agreement, other than the 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32"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b w:val="1"/>
          <w:bCs w:val="1"/>
          <w:color w:val="auto"/>
        </w:rPr>
        <w:t>§11.2. Performance; No Event of Default</w:t>
      </w:r>
      <w:r>
        <w:rPr>
          <w:rFonts w:ascii="Arial" w:cs="Arial" w:eastAsia="Arial" w:hAnsi="Arial"/>
          <w:sz w:val="16"/>
          <w:szCs w:val="16"/>
          <w:color w:val="auto"/>
        </w:rPr>
        <w:t>. The Borrower shall have performed and complied with all terms and conditions herein required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performed or complied with by it prior to or at the time of the 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30"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§11.3. Proceedings and Documents</w:t>
      </w:r>
      <w:r>
        <w:rPr>
          <w:rFonts w:ascii="Arial" w:cs="Arial" w:eastAsia="Arial" w:hAnsi="Arial"/>
          <w:sz w:val="16"/>
          <w:szCs w:val="16"/>
          <w:color w:val="auto"/>
        </w:rPr>
        <w:t>. All proceedings in connection with the transactions contemplated by this Agreement shall have been taken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documents incident thereto shall have been delivered to the 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w:t>
      </w:r>
      <w:r>
        <w:rPr>
          <w:rFonts w:ascii="Arial" w:cs="Arial" w:eastAsia="Arial" w:hAnsi="Arial"/>
          <w:sz w:val="18"/>
          <w:szCs w:val="18"/>
          <w:b w:val="1"/>
          <w:bCs w:val="1"/>
          <w:u w:val="single" w:color="auto"/>
          <w:color w:val="auto"/>
        </w:rPr>
        <w:t>EVENTS OF DEFAULT; ACCELERATION; TERMINATION OF COMMITMENT</w:t>
      </w:r>
      <w:r>
        <w:rPr>
          <w:rFonts w:ascii="Arial" w:cs="Arial" w:eastAsia="Arial" w:hAnsi="Arial"/>
          <w:sz w:val="18"/>
          <w:szCs w:val="18"/>
          <w:color w:val="auto"/>
        </w:rPr>
        <w:t>.</w:t>
      </w:r>
    </w:p>
    <w:p>
      <w:pPr>
        <w:spacing w:after="0" w:line="90" w:lineRule="exact"/>
        <w:rPr>
          <w:sz w:val="20"/>
          <w:szCs w:val="20"/>
          <w:color w:val="auto"/>
        </w:rPr>
      </w:pPr>
    </w:p>
    <w:p>
      <w:pPr>
        <w:ind w:right="320" w:firstLine="913"/>
        <w:spacing w:after="0" w:line="275" w:lineRule="auto"/>
        <w:rPr>
          <w:sz w:val="20"/>
          <w:szCs w:val="20"/>
          <w:color w:val="auto"/>
        </w:rPr>
      </w:pPr>
      <w:r>
        <w:rPr>
          <w:rFonts w:ascii="Arial" w:cs="Arial" w:eastAsia="Arial" w:hAnsi="Arial"/>
          <w:sz w:val="18"/>
          <w:szCs w:val="18"/>
          <w:b w:val="1"/>
          <w:bCs w:val="1"/>
          <w:color w:val="auto"/>
        </w:rPr>
        <w:t>§12.1. Events of Default and Acceleration</w:t>
      </w:r>
      <w:r>
        <w:rPr>
          <w:rFonts w:ascii="Arial" w:cs="Arial" w:eastAsia="Arial" w:hAnsi="Arial"/>
          <w:sz w:val="18"/>
          <w:szCs w:val="18"/>
          <w:color w:val="auto"/>
        </w:rPr>
        <w:t>. If any of the following events (“Events of Default” or, if the giving of notice or the lapse of time or</w:t>
      </w:r>
      <w:r>
        <w:rPr>
          <w:rFonts w:ascii="Arial" w:cs="Arial" w:eastAsia="Arial" w:hAnsi="Arial"/>
          <w:sz w:val="18"/>
          <w:szCs w:val="18"/>
          <w:b w:val="1"/>
          <w:bCs w:val="1"/>
          <w:color w:val="auto"/>
        </w:rPr>
        <w:t xml:space="preserve"> </w:t>
      </w:r>
      <w:r>
        <w:rPr>
          <w:rFonts w:ascii="Arial" w:cs="Arial" w:eastAsia="Arial" w:hAnsi="Arial"/>
          <w:sz w:val="18"/>
          <w:szCs w:val="18"/>
          <w:color w:val="auto"/>
        </w:rPr>
        <w:t>both is required, then, prior to such notice and/or lapse of time, “Defaults”) shall occur:</w:t>
      </w:r>
    </w:p>
    <w:p>
      <w:pPr>
        <w:spacing w:after="0" w:line="45" w:lineRule="exact"/>
        <w:rPr>
          <w:sz w:val="20"/>
          <w:szCs w:val="20"/>
          <w:color w:val="auto"/>
        </w:rPr>
      </w:pPr>
    </w:p>
    <w:p>
      <w:pPr>
        <w:ind w:left="46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Borrower shall fail to comply with any of the covenants contained in §§7.4, 7.5, 7.15, 7.16, 8 and 9 hereof;</w:t>
      </w:r>
    </w:p>
    <w:p>
      <w:pPr>
        <w:spacing w:after="0" w:line="90" w:lineRule="exact"/>
        <w:rPr>
          <w:rFonts w:ascii="Arial" w:cs="Arial" w:eastAsia="Arial" w:hAnsi="Arial"/>
          <w:sz w:val="18"/>
          <w:szCs w:val="18"/>
          <w:color w:val="auto"/>
        </w:rPr>
      </w:pPr>
    </w:p>
    <w:p>
      <w:pPr>
        <w:ind w:left="460" w:right="160" w:firstLine="443"/>
        <w:spacing w:after="0" w:line="259"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50" w:lineRule="exact"/>
        <w:rPr>
          <w:rFonts w:ascii="Arial" w:cs="Arial" w:eastAsia="Arial" w:hAnsi="Arial"/>
          <w:sz w:val="18"/>
          <w:szCs w:val="18"/>
          <w:color w:val="auto"/>
        </w:rPr>
      </w:pPr>
    </w:p>
    <w:p>
      <w:pPr>
        <w:ind w:left="460" w:right="20" w:firstLine="443"/>
        <w:spacing w:after="0" w:line="318" w:lineRule="auto"/>
        <w:tabs>
          <w:tab w:leader="none" w:pos="1117" w:val="left"/>
        </w:tabs>
        <w:numPr>
          <w:ilvl w:val="0"/>
          <w:numId w:val="72"/>
        </w:numPr>
        <w:rPr>
          <w:rFonts w:ascii="Arial" w:cs="Arial" w:eastAsia="Arial" w:hAnsi="Arial"/>
          <w:sz w:val="15"/>
          <w:szCs w:val="15"/>
          <w:color w:val="auto"/>
        </w:rPr>
      </w:pPr>
      <w:r>
        <w:rPr>
          <w:rFonts w:ascii="Arial" w:cs="Arial" w:eastAsia="Arial" w:hAnsi="Arial"/>
          <w:sz w:val="15"/>
          <w:szCs w:val="15"/>
          <w:color w:val="auto"/>
        </w:rPr>
        <w:t>if the Borrower or any of its Subsidiaries shall fail to pay when due, or within any applicable period of grace, any Indebtedness or obligations under Swap Contracts in an aggregate amount greater than $75,000,000, or fail to observe or perform any material term, covenant or agreement contained in any one or more agreements by which it is bound, evidencing or securing any Indebtedness or obligations under Swap Contracts in an aggregate amount greater than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18" w:lineRule="exact"/>
        <w:rPr>
          <w:rFonts w:ascii="Arial" w:cs="Arial" w:eastAsia="Arial" w:hAnsi="Arial"/>
          <w:sz w:val="15"/>
          <w:szCs w:val="15"/>
          <w:color w:val="auto"/>
        </w:rPr>
      </w:pPr>
    </w:p>
    <w:p>
      <w:pPr>
        <w:ind w:left="460" w:right="40" w:firstLine="443"/>
        <w:spacing w:after="0" w:line="289"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104" w:lineRule="exact"/>
        <w:rPr>
          <w:rFonts w:ascii="Arial" w:cs="Arial" w:eastAsia="Arial" w:hAnsi="Arial"/>
          <w:sz w:val="16"/>
          <w:szCs w:val="16"/>
          <w:color w:val="auto"/>
        </w:rPr>
      </w:pPr>
    </w:p>
    <w:p>
      <w:pPr>
        <w:ind w:left="5620" w:hanging="96"/>
        <w:spacing w:after="0"/>
        <w:tabs>
          <w:tab w:leader="none" w:pos="56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380"/>
          </w:cols>
          <w:pgMar w:left="240" w:top="274" w:right="279" w:bottom="1440" w:gutter="0" w:footer="0" w:header="0"/>
        </w:sectPr>
      </w:pPr>
    </w:p>
    <w:bookmarkStart w:id="83" w:name="page84"/>
    <w:bookmarkEnd w:id="83"/>
    <w:p>
      <w:pPr>
        <w:ind w:left="-443" w:right="60" w:firstLine="443"/>
        <w:spacing w:after="0" w:line="256" w:lineRule="auto"/>
        <w:tabs>
          <w:tab w:leader="none" w:pos="244"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62" w:lineRule="exact"/>
        <w:rPr>
          <w:rFonts w:ascii="Arial" w:cs="Arial" w:eastAsia="Arial" w:hAnsi="Arial"/>
          <w:sz w:val="18"/>
          <w:szCs w:val="18"/>
          <w:color w:val="auto"/>
        </w:rPr>
      </w:pPr>
    </w:p>
    <w:p>
      <w:pPr>
        <w:ind w:left="-443" w:right="100" w:firstLine="443"/>
        <w:spacing w:after="0" w:line="259" w:lineRule="auto"/>
        <w:tabs>
          <w:tab w:leader="none" w:pos="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$50,000,000 after taking into account any undisputed insurance coverage;</w:t>
      </w:r>
    </w:p>
    <w:p>
      <w:pPr>
        <w:spacing w:after="0" w:line="59" w:lineRule="exact"/>
        <w:rPr>
          <w:rFonts w:ascii="Arial" w:cs="Arial" w:eastAsia="Arial" w:hAnsi="Arial"/>
          <w:sz w:val="18"/>
          <w:szCs w:val="18"/>
          <w:color w:val="auto"/>
        </w:rPr>
      </w:pPr>
    </w:p>
    <w:p>
      <w:pPr>
        <w:ind w:left="-443" w:right="20" w:firstLine="443"/>
        <w:spacing w:after="0" w:line="254" w:lineRule="auto"/>
        <w:tabs>
          <w:tab w:leader="none" w:pos="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63" w:lineRule="exact"/>
        <w:rPr>
          <w:rFonts w:ascii="Arial" w:cs="Arial" w:eastAsia="Arial" w:hAnsi="Arial"/>
          <w:sz w:val="18"/>
          <w:szCs w:val="18"/>
          <w:color w:val="auto"/>
        </w:rPr>
      </w:pPr>
    </w:p>
    <w:p>
      <w:pPr>
        <w:ind w:left="-443" w:right="100" w:firstLine="443"/>
        <w:spacing w:after="0" w:line="318" w:lineRule="auto"/>
        <w:tabs>
          <w:tab w:leader="none" w:pos="244" w:val="left"/>
        </w:tabs>
        <w:numPr>
          <w:ilvl w:val="0"/>
          <w:numId w:val="73"/>
        </w:numPr>
        <w:rPr>
          <w:rFonts w:ascii="Arial" w:cs="Arial" w:eastAsia="Arial" w:hAnsi="Arial"/>
          <w:sz w:val="15"/>
          <w:szCs w:val="15"/>
          <w:color w:val="auto"/>
        </w:rPr>
      </w:pPr>
      <w:r>
        <w:rPr>
          <w:rFonts w:ascii="Arial" w:cs="Arial" w:eastAsia="Arial" w:hAnsi="Arial"/>
          <w:sz w:val="15"/>
          <w:szCs w:val="15"/>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8" w:lineRule="exact"/>
        <w:rPr>
          <w:rFonts w:ascii="Arial" w:cs="Arial" w:eastAsia="Arial" w:hAnsi="Arial"/>
          <w:sz w:val="15"/>
          <w:szCs w:val="15"/>
          <w:color w:val="auto"/>
        </w:rPr>
      </w:pPr>
    </w:p>
    <w:p>
      <w:pPr>
        <w:ind w:left="-443" w:firstLine="443"/>
        <w:spacing w:after="0" w:line="253" w:lineRule="auto"/>
        <w:tabs>
          <w:tab w:leader="none" w:pos="2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33" w:lineRule="exact"/>
        <w:rPr>
          <w:rFonts w:ascii="Arial" w:cs="Arial" w:eastAsia="Arial" w:hAnsi="Arial"/>
          <w:sz w:val="18"/>
          <w:szCs w:val="18"/>
          <w:color w:val="auto"/>
        </w:rPr>
      </w:pPr>
    </w:p>
    <w:p>
      <w:pPr>
        <w:ind w:left="4717" w:hanging="96"/>
        <w:spacing w:after="0"/>
        <w:tabs>
          <w:tab w:leader="none" w:pos="4717" w:val="left"/>
        </w:tabs>
        <w:numPr>
          <w:ilvl w:val="1"/>
          <w:numId w:val="73"/>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0437"/>
          </w:cols>
          <w:pgMar w:left="1143" w:top="280" w:right="319" w:bottom="1440" w:gutter="0" w:footer="0" w:header="0"/>
        </w:sectPr>
      </w:pPr>
    </w:p>
    <w:bookmarkStart w:id="84" w:name="page85"/>
    <w:bookmarkEnd w:id="84"/>
    <w:p>
      <w:pPr>
        <w:ind w:left="460" w:right="1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3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§12.2. Termination of Commitments</w:t>
      </w:r>
      <w:r>
        <w:rPr>
          <w:rFonts w:ascii="Arial" w:cs="Arial" w:eastAsia="Arial" w:hAnsi="Arial"/>
          <w:sz w:val="16"/>
          <w:szCs w:val="16"/>
          <w:color w:val="auto"/>
        </w:rPr>
        <w:t>. If any Event of Default pursuant to §§ 12.1(g) or 12.1(h) hereof shall occur with respect to the Borrower or</w:t>
      </w:r>
      <w:r>
        <w:rPr>
          <w:rFonts w:ascii="Arial" w:cs="Arial" w:eastAsia="Arial" w:hAnsi="Arial"/>
          <w:sz w:val="16"/>
          <w:szCs w:val="16"/>
          <w:b w:val="1"/>
          <w:bCs w:val="1"/>
          <w:color w:val="auto"/>
        </w:rPr>
        <w:t xml:space="preserve"> </w:t>
      </w:r>
      <w:r>
        <w:rPr>
          <w:rFonts w:ascii="Arial" w:cs="Arial" w:eastAsia="Arial" w:hAnsi="Arial"/>
          <w:sz w:val="16"/>
          <w:szCs w:val="16"/>
          <w:color w:val="auto"/>
        </w:rPr>
        <w:t>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32"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b w:val="1"/>
          <w:bCs w:val="1"/>
          <w:color w:val="auto"/>
        </w:rPr>
        <w:t>§12.3. Remedies</w:t>
      </w:r>
      <w:r>
        <w:rPr>
          <w:rFonts w:ascii="Arial" w:cs="Arial" w:eastAsia="Arial" w:hAnsi="Arial"/>
          <w:sz w:val="16"/>
          <w:szCs w:val="16"/>
          <w:color w:val="auto"/>
        </w:rPr>
        <w:t>. In case any one or more of the Events of Default shall have occurred and be continuing, and whether or not the Banks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accelerated the maturity of the Loans and other Obligations pursuant to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w:t>
      </w:r>
      <w:r>
        <w:rPr>
          <w:rFonts w:ascii="Arial" w:cs="Arial" w:eastAsia="Arial" w:hAnsi="Arial"/>
          <w:sz w:val="16"/>
          <w:szCs w:val="16"/>
          <w:u w:val="single" w:color="auto"/>
          <w:color w:val="auto"/>
        </w:rPr>
        <w:t>ex parte</w:t>
      </w:r>
      <w:r>
        <w:rPr>
          <w:rFonts w:ascii="Arial" w:cs="Arial" w:eastAsia="Arial" w:hAnsi="Arial"/>
          <w:sz w:val="16"/>
          <w:szCs w:val="16"/>
          <w:color w:val="auto"/>
        </w:rPr>
        <w:t xml:space="preserve"> appointment of a receiver, and, if such amount shall have become due, by declaration or otherwise, proceed to enforce the payment thereof or any legal or equitable right of such Bank,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b w:val="1"/>
          <w:bCs w:val="1"/>
          <w:u w:val="single" w:color="auto"/>
          <w:color w:val="auto"/>
        </w:rPr>
        <w:t>SETOFF</w:t>
      </w:r>
      <w:r>
        <w:rPr>
          <w:rFonts w:ascii="Arial" w:cs="Arial" w:eastAsia="Arial" w:hAnsi="Arial"/>
          <w:sz w:val="18"/>
          <w:szCs w:val="18"/>
          <w:color w:val="auto"/>
        </w:rPr>
        <w:t>. During the continuance of an Event of Default, any deposits or other sums credited by or due from any Bank to the Borrower and any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property of the Borrower in the possession of such Bank may be applied to or set off against the payment of the Obligations and any and all other liabilities, direct, or indirect, absolute or contingent, due or 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20"/>
          </w:cols>
          <w:pgMar w:left="240" w:top="280" w:right="239" w:bottom="1440" w:gutter="0" w:footer="0" w:header="0"/>
        </w:sectPr>
      </w:pPr>
    </w:p>
    <w:bookmarkStart w:id="85" w:name="page86"/>
    <w:bookmarkEnd w:id="85"/>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become due, now existing or hereafter arising, of the Borrower to the Banks or the Administrative Agent. Any amounts set off with respect to the Obligations shall, except to the extent §5.14 applies,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137"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Whether or not the transactions contemplated herein shall be consummated, the Borrower hereby promises to reimburse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§4 hereof.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b w:val="1"/>
          <w:bCs w:val="1"/>
          <w:u w:val="single" w:color="auto"/>
          <w:color w:val="auto"/>
        </w:rPr>
        <w:t>THE AGENTS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§15.1. Authorization and Action</w:t>
      </w:r>
      <w:r>
        <w:rPr>
          <w:rFonts w:ascii="Arial" w:cs="Arial" w:eastAsia="Arial" w:hAnsi="Arial"/>
          <w:sz w:val="18"/>
          <w:szCs w:val="18"/>
          <w:color w:val="auto"/>
        </w:rPr>
        <w:t>. Each Bank hereby irrevocably appoints Bank of America as Administrative Agent hereunder and authorizes Bank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America to take such action as Administrative Agent on its 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 instructions of the Majority Banks (or, when expressly required hereby, all of the Banks), and such instructions shall be binding upon all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5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§15.2. Administrative Agent’s Reliance, Etc</w:t>
      </w:r>
      <w:r>
        <w:rPr>
          <w:rFonts w:ascii="Arial" w:cs="Arial" w:eastAsia="Arial" w:hAnsi="Arial"/>
          <w:sz w:val="18"/>
          <w:szCs w:val="18"/>
          <w:color w:val="auto"/>
        </w:rPr>
        <w:t>. Neither the Administrative Agent nor any of its directors, officers, agents or employees shall be liable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any of the Banks for any action taken or omitted to be taken 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280" w:right="239" w:bottom="1440" w:gutter="0" w:footer="0" w:header="0"/>
        </w:sectPr>
      </w:pPr>
    </w:p>
    <w:bookmarkStart w:id="86" w:name="page87"/>
    <w:bookmarkEnd w:id="8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regardless of whether a Default has occurred and is continuing; (iii)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 Borrower or the Guarantor (or as to the contents of any certificate, report or other document delivered hereunder or thereunder)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39" w:lineRule="exact"/>
        <w:rPr>
          <w:sz w:val="20"/>
          <w:szCs w:val="20"/>
          <w:color w:val="auto"/>
        </w:rPr>
      </w:pPr>
    </w:p>
    <w:p>
      <w:pPr>
        <w:ind w:right="40" w:firstLine="913"/>
        <w:spacing w:after="0" w:line="310" w:lineRule="auto"/>
        <w:rPr>
          <w:sz w:val="20"/>
          <w:szCs w:val="20"/>
          <w:color w:val="auto"/>
        </w:rPr>
      </w:pPr>
      <w:r>
        <w:rPr>
          <w:rFonts w:ascii="Arial" w:cs="Arial" w:eastAsia="Arial" w:hAnsi="Arial"/>
          <w:sz w:val="15"/>
          <w:szCs w:val="15"/>
          <w:b w:val="1"/>
          <w:bCs w:val="1"/>
          <w:color w:val="auto"/>
        </w:rPr>
        <w:t>§15.3. Bank of America and Affiliates</w:t>
      </w:r>
      <w:r>
        <w:rPr>
          <w:rFonts w:ascii="Arial" w:cs="Arial" w:eastAsia="Arial" w:hAnsi="Arial"/>
          <w:sz w:val="15"/>
          <w:szCs w:val="15"/>
          <w:color w:val="auto"/>
        </w:rPr>
        <w:t>. With respect to its Commitment, Bank of America shall have the same rights and powers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and under the other Loan Documents as any other Bank and may exercise the same as though it were not the Administrative Agent, and the term “Bank” or “Banks” shall, unless otherwise expressly indicated, include Bank of America in its individual capacity. Bank of America and its Bank Affiliates may accept deposits from, lend money to, act as trustee under indentures of, and generally engage in any kind of business with, the Borrower, the Guarantor, any of their Subsidiaries and any Person who may do business with or own securities of the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provided, that the exculpatory provisions of this Agreement (including the provisions in §15) shall apply to any such sub-agent.</w:t>
      </w:r>
    </w:p>
    <w:p>
      <w:pPr>
        <w:spacing w:after="0" w:line="21"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§15.4. Bank Credit Decision</w:t>
      </w:r>
      <w:r>
        <w:rPr>
          <w:rFonts w:ascii="Arial" w:cs="Arial" w:eastAsia="Arial" w:hAnsi="Arial"/>
          <w:sz w:val="18"/>
          <w:szCs w:val="18"/>
          <w:color w:val="auto"/>
        </w:rPr>
        <w:t>. Each Bank acknowledges that it has, independently and without reliance upon the Administrative Agent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Bank and based on the financial statements referred to in §6.4 and such other documents and information as it has deemed appropriate, made its own credit analysis and decision to enter into this Agreement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280" w:right="239" w:bottom="1440" w:gutter="0" w:footer="0" w:header="0"/>
        </w:sectPr>
      </w:pPr>
    </w:p>
    <w:bookmarkStart w:id="87" w:name="page88"/>
    <w:bookmarkEnd w:id="87"/>
    <w:p>
      <w:pPr>
        <w:jc w:val="both"/>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5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§15.5. Indemnification</w:t>
      </w:r>
      <w:r>
        <w:rPr>
          <w:rFonts w:ascii="Arial" w:cs="Arial" w:eastAsia="Arial" w:hAnsi="Arial"/>
          <w:sz w:val="16"/>
          <w:szCs w:val="16"/>
          <w:color w:val="auto"/>
        </w:rPr>
        <w:t>. The Banks agree to indemnify the Administrative Agent (to the extent not reimbursed by the Borrower), ratably according</w:t>
      </w:r>
      <w:r>
        <w:rPr>
          <w:rFonts w:ascii="Arial" w:cs="Arial" w:eastAsia="Arial" w:hAnsi="Arial"/>
          <w:sz w:val="16"/>
          <w:szCs w:val="16"/>
          <w:b w:val="1"/>
          <w:bCs w:val="1"/>
          <w:color w:val="auto"/>
        </w:rPr>
        <w:t xml:space="preserve"> </w:t>
      </w:r>
      <w:r>
        <w:rPr>
          <w:rFonts w:ascii="Arial" w:cs="Arial" w:eastAsia="Arial" w:hAnsi="Arial"/>
          <w:sz w:val="16"/>
          <w:szCs w:val="16"/>
          <w:color w:val="auto"/>
        </w:rPr>
        <w:t>to the respective amounts of their Commitments as most 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3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b w:val="1"/>
          <w:bCs w:val="1"/>
          <w:color w:val="auto"/>
        </w:rPr>
        <w:t>§15.6. Successor Administrative Agent</w:t>
      </w:r>
      <w:r>
        <w:rPr>
          <w:rFonts w:ascii="Arial" w:cs="Arial" w:eastAsia="Arial" w:hAnsi="Arial"/>
          <w:sz w:val="16"/>
          <w:szCs w:val="16"/>
          <w:color w:val="auto"/>
        </w:rPr>
        <w:t>. The Administrative Agent may resign at any time by giving written notice thereof to the Banks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and may be removed at any time with or without cause 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 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280" w:right="259" w:bottom="1440" w:gutter="0" w:footer="0" w:header="0"/>
        </w:sectPr>
      </w:pPr>
    </w:p>
    <w:bookmarkStart w:id="88" w:name="page89"/>
    <w:bookmarkEnd w:id="8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not already discharged therefrom as provided above in this Section). After any retiring Administrative Agent’s resignation or removal hereunder as Administrative Agent, the provisions of this §15 and §16 shall inure to its benefit as to any actions taken or omitted to be taken by it while it was Administrative Agent under this Agreement.</w:t>
      </w:r>
    </w:p>
    <w:p>
      <w:pPr>
        <w:spacing w:after="0" w:line="33" w:lineRule="exact"/>
        <w:rPr>
          <w:sz w:val="20"/>
          <w:szCs w:val="20"/>
          <w:color w:val="auto"/>
        </w:rPr>
      </w:pPr>
    </w:p>
    <w:p>
      <w:pPr>
        <w:ind w:right="200" w:firstLine="913"/>
        <w:spacing w:after="0" w:line="334" w:lineRule="auto"/>
        <w:rPr>
          <w:sz w:val="20"/>
          <w:szCs w:val="20"/>
          <w:color w:val="auto"/>
        </w:rPr>
      </w:pPr>
      <w:r>
        <w:rPr>
          <w:rFonts w:ascii="Arial" w:cs="Arial" w:eastAsia="Arial" w:hAnsi="Arial"/>
          <w:sz w:val="16"/>
          <w:szCs w:val="16"/>
          <w:b w:val="1"/>
          <w:bCs w:val="1"/>
          <w:color w:val="auto"/>
        </w:rPr>
        <w:t>§15.7. Lead Arrangers, Etc</w:t>
      </w:r>
      <w:r>
        <w:rPr>
          <w:rFonts w:ascii="Arial" w:cs="Arial" w:eastAsia="Arial" w:hAnsi="Arial"/>
          <w:sz w:val="16"/>
          <w:szCs w:val="16"/>
          <w:color w:val="auto"/>
        </w:rPr>
        <w:t>. The parties identified on the cover hereof as Lead Arrangers and Joint Bookrunners, Documentation Agents and Co-Documentation Agents shall have no obligations or liabilities under this Agreement and the other Loan Documents.</w:t>
      </w:r>
    </w:p>
    <w:p>
      <w:pPr>
        <w:spacing w:after="0" w:line="1" w:lineRule="exact"/>
        <w:rPr>
          <w:sz w:val="20"/>
          <w:szCs w:val="20"/>
          <w:color w:val="auto"/>
        </w:rPr>
      </w:pPr>
    </w:p>
    <w:p>
      <w:pPr>
        <w:ind w:right="60" w:firstLine="913"/>
        <w:spacing w:after="0" w:line="310" w:lineRule="auto"/>
        <w:rPr>
          <w:sz w:val="20"/>
          <w:szCs w:val="20"/>
          <w:color w:val="auto"/>
        </w:rPr>
      </w:pPr>
      <w:r>
        <w:rPr>
          <w:rFonts w:ascii="Arial" w:cs="Arial" w:eastAsia="Arial" w:hAnsi="Arial"/>
          <w:sz w:val="16"/>
          <w:szCs w:val="16"/>
          <w:b w:val="1"/>
          <w:bCs w:val="1"/>
          <w:color w:val="auto"/>
        </w:rPr>
        <w:t>§15.8. Documents</w:t>
      </w:r>
      <w:r>
        <w:rPr>
          <w:rFonts w:ascii="Arial" w:cs="Arial" w:eastAsia="Arial" w:hAnsi="Arial"/>
          <w:sz w:val="16"/>
          <w:szCs w:val="16"/>
          <w:color w:val="auto"/>
        </w:rPr>
        <w:t>. The Administrative Agent will forward to each Bank, promptly after receipt thereof, a copy of each notice or other document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furnished to the Administrative Agent for such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16"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§15.9. Action by the Banks, Consents, Amendments, Waivers, Etc. </w:t>
      </w:r>
      <w:r>
        <w:rPr>
          <w:rFonts w:ascii="Arial" w:cs="Arial" w:eastAsia="Arial" w:hAnsi="Arial"/>
          <w:sz w:val="16"/>
          <w:szCs w:val="16"/>
          <w:color w:val="auto"/>
        </w:rPr>
        <w:t>(a) No failure or delay by the Administrative Agent, any Issuing Bank or any</w:t>
      </w:r>
      <w:r>
        <w:rPr>
          <w:rFonts w:ascii="Arial" w:cs="Arial" w:eastAsia="Arial" w:hAnsi="Arial"/>
          <w:sz w:val="16"/>
          <w:szCs w:val="16"/>
          <w:b w:val="1"/>
          <w:bCs w:val="1"/>
          <w:color w:val="auto"/>
        </w:rPr>
        <w:t xml:space="preserve"> </w:t>
      </w:r>
      <w:r>
        <w:rPr>
          <w:rFonts w:ascii="Arial" w:cs="Arial" w:eastAsia="Arial" w:hAnsi="Arial"/>
          <w:sz w:val="16"/>
          <w:szCs w:val="16"/>
          <w:color w:val="auto"/>
        </w:rPr>
        <w:t>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38" w:lineRule="exact"/>
        <w:rPr>
          <w:sz w:val="20"/>
          <w:szCs w:val="20"/>
          <w:color w:val="auto"/>
        </w:rPr>
      </w:pPr>
    </w:p>
    <w:p>
      <w:pPr>
        <w:ind w:left="460" w:right="120" w:firstLine="443"/>
        <w:spacing w:after="0" w:line="254"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§3.1(a) hereof with respect to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neither this Agreement nor any provision hereof may be waived, amended or modified except pursuant to an agreement or agreements in writing entered into by the Borrower and the Majority Banks or by the Borrower and the Administrative Agent with the consent of the Majority Banks;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 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w:t>
      </w:r>
    </w:p>
    <w:p>
      <w:pPr>
        <w:spacing w:after="0" w:line="130" w:lineRule="exact"/>
        <w:rPr>
          <w:rFonts w:ascii="Arial" w:cs="Arial" w:eastAsia="Arial" w:hAnsi="Arial"/>
          <w:sz w:val="18"/>
          <w:szCs w:val="18"/>
          <w:color w:val="auto"/>
        </w:rPr>
      </w:pPr>
    </w:p>
    <w:p>
      <w:pPr>
        <w:ind w:left="5620" w:hanging="96"/>
        <w:spacing w:after="0"/>
        <w:tabs>
          <w:tab w:leader="none" w:pos="56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1420"/>
          </w:cols>
          <w:pgMar w:left="240" w:top="280" w:right="239" w:bottom="1440" w:gutter="0" w:footer="0" w:header="0"/>
        </w:sectPr>
      </w:pPr>
    </w:p>
    <w:bookmarkStart w:id="89" w:name="page90"/>
    <w:bookmarkEnd w:id="89"/>
    <w:p>
      <w:pPr>
        <w:ind w:left="460" w:right="2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without the written consent of each Bank; or (vi) change any of the provisions of this §15.9 or any provision of this Agreement requiring action by all the Banks, or the percentage of Banks constituting “Majority Banks”, without the written consent of each Bank;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no such agreement shall amend, modify or otherwise affect the rights or duties of the Administrative Agent, the Swing Line Bank or any Issuing Bank hereunder without the prior written consent of the Administrative Agent, the Swing Line Bank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w:t>
      </w:r>
    </w:p>
    <w:p>
      <w:pPr>
        <w:spacing w:after="0" w:line="4" w:lineRule="exact"/>
        <w:rPr>
          <w:sz w:val="20"/>
          <w:szCs w:val="20"/>
          <w:color w:val="auto"/>
        </w:rPr>
      </w:pPr>
    </w:p>
    <w:p>
      <w:pPr>
        <w:ind w:left="460" w:right="60" w:firstLine="4"/>
        <w:spacing w:after="0" w:line="255" w:lineRule="auto"/>
        <w:tabs>
          <w:tab w:leader="none" w:pos="7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Commitment of any Defaulting Bank may not be increased or extended without the consent of such Bank and (y) any waiver, amendment or modification requiring the consent of all Banks or each affected Bank that by its terms affects any Defaulting Bank disproportionately adversely than other affected Banks shall require the consent of such Defaulting Bank.</w:t>
      </w:r>
    </w:p>
    <w:p>
      <w:pPr>
        <w:spacing w:after="0" w:line="138"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 The Borrower agrees to indemnify and hold harmless the Banks, the Issuing Banks, the Lead Arrangers and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and their affiliates, as well as their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any investigation, enforcement matter, proceeding or litigation, or the preparation therefor, the Banks, the Issuing 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In the case of an investigation, litigation or proceeding to which the indemnity in this §16 applies, such indemnity shall be effective, subject to the limitations herein, whether or not such investigation, litigation or proceeding is brought by the Borrower, the Borrower’s equityholders, affiliates or creditors or such an indemnified party, whether or not such indemnified party is otherwise a party thereto and whether or not the transactions contemplated hereby are consummated. The covenants of this §16 shall survive payment or satisfaction of payment of amounts owing with respect to any Note or the Loans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400"/>
          </w:cols>
          <w:pgMar w:left="240" w:top="280" w:right="259" w:bottom="1440" w:gutter="0" w:footer="0" w:header="0"/>
        </w:sectPr>
      </w:pPr>
    </w:p>
    <w:bookmarkStart w:id="90" w:name="page91"/>
    <w:bookmarkEnd w:id="90"/>
    <w:p>
      <w:pPr>
        <w:ind w:right="4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b w:val="1"/>
          <w:bCs w:val="1"/>
          <w:u w:val="single" w:color="auto"/>
          <w:color w:val="auto"/>
        </w:rPr>
        <w:t>WITHHOLDING TAXES</w:t>
      </w:r>
      <w:r>
        <w:rPr>
          <w:rFonts w:ascii="Arial" w:cs="Arial" w:eastAsia="Arial" w:hAnsi="Arial"/>
          <w:sz w:val="18"/>
          <w:szCs w:val="18"/>
          <w:color w:val="auto"/>
        </w:rPr>
        <w:t>. The Borrower hereby agrees that:</w:t>
      </w:r>
    </w:p>
    <w:p>
      <w:pPr>
        <w:spacing w:after="0" w:line="96" w:lineRule="exact"/>
        <w:rPr>
          <w:sz w:val="20"/>
          <w:szCs w:val="20"/>
          <w:color w:val="auto"/>
        </w:rPr>
      </w:pPr>
    </w:p>
    <w:p>
      <w:pPr>
        <w:ind w:left="460" w:right="200" w:firstLine="443"/>
        <w:spacing w:after="0" w:line="303" w:lineRule="auto"/>
        <w:tabs>
          <w:tab w:leader="none" w:pos="1137" w:val="left"/>
        </w:tabs>
        <w:numPr>
          <w:ilvl w:val="1"/>
          <w:numId w:val="76"/>
        </w:numPr>
        <w:rPr>
          <w:rFonts w:ascii="Arial" w:cs="Arial" w:eastAsia="Arial" w:hAnsi="Arial"/>
          <w:sz w:val="15"/>
          <w:szCs w:val="15"/>
          <w:color w:val="auto"/>
        </w:rPr>
      </w:pPr>
      <w:r>
        <w:rPr>
          <w:rFonts w:ascii="Arial" w:cs="Arial" w:eastAsia="Arial" w:hAnsi="Arial"/>
          <w:sz w:val="15"/>
          <w:szCs w:val="15"/>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(including, without limitation, the Issuing Banks), (i) taxes imposed on, or measured by, its net income or profits,</w:t>
      </w:r>
    </w:p>
    <w:p>
      <w:pPr>
        <w:spacing w:after="0" w:line="1" w:lineRule="exact"/>
        <w:rPr>
          <w:rFonts w:ascii="Arial" w:cs="Arial" w:eastAsia="Arial" w:hAnsi="Arial"/>
          <w:sz w:val="15"/>
          <w:szCs w:val="15"/>
          <w:color w:val="auto"/>
        </w:rPr>
      </w:pPr>
    </w:p>
    <w:p>
      <w:pPr>
        <w:ind w:left="460" w:firstLine="4"/>
        <w:spacing w:after="0" w:line="284" w:lineRule="auto"/>
        <w:tabs>
          <w:tab w:leader="none" w:pos="71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(iv) taxes imposed by reason of its failure to comply with any applicable certification, identification, information, documentation or other reporting requirement, and (v) any United States Federal withholding taxes imposed under FATCA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Bank, as the case may be, agrees to use commercially</w:t>
      </w:r>
    </w:p>
    <w:p>
      <w:pPr>
        <w:spacing w:after="0" w:line="114" w:lineRule="exact"/>
        <w:rPr>
          <w:rFonts w:ascii="Arial" w:cs="Arial" w:eastAsia="Arial" w:hAnsi="Arial"/>
          <w:sz w:val="16"/>
          <w:szCs w:val="16"/>
          <w:color w:val="auto"/>
        </w:rPr>
      </w:pPr>
    </w:p>
    <w:p>
      <w:pPr>
        <w:ind w:left="5620" w:hanging="96"/>
        <w:spacing w:after="0"/>
        <w:tabs>
          <w:tab w:leader="none" w:pos="5620" w:val="left"/>
        </w:tabs>
        <w:numPr>
          <w:ilvl w:val="2"/>
          <w:numId w:val="77"/>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400"/>
          </w:cols>
          <w:pgMar w:left="240" w:top="280" w:right="259" w:bottom="1440" w:gutter="0" w:footer="0" w:header="0"/>
        </w:sectPr>
      </w:pPr>
    </w:p>
    <w:bookmarkStart w:id="91" w:name="page92"/>
    <w:bookmarkEnd w:id="91"/>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62" w:lineRule="exact"/>
        <w:rPr>
          <w:sz w:val="20"/>
          <w:szCs w:val="20"/>
          <w:color w:val="auto"/>
        </w:rPr>
      </w:pPr>
    </w:p>
    <w:p>
      <w:pPr>
        <w:ind w:right="280" w:firstLine="443"/>
        <w:spacing w:after="0" w:line="259" w:lineRule="auto"/>
        <w:tabs>
          <w:tab w:leader="none" w:pos="6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59" w:lineRule="exact"/>
        <w:rPr>
          <w:rFonts w:ascii="Arial" w:cs="Arial" w:eastAsia="Arial" w:hAnsi="Arial"/>
          <w:sz w:val="18"/>
          <w:szCs w:val="18"/>
          <w:color w:val="auto"/>
        </w:rPr>
      </w:pPr>
    </w:p>
    <w:p>
      <w:pPr>
        <w:ind w:firstLine="443"/>
        <w:spacing w:after="0" w:line="290" w:lineRule="auto"/>
        <w:tabs>
          <w:tab w:leader="none" w:pos="67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37" w:lineRule="exact"/>
        <w:rPr>
          <w:rFonts w:ascii="Arial" w:cs="Arial" w:eastAsia="Arial" w:hAnsi="Arial"/>
          <w:sz w:val="16"/>
          <w:szCs w:val="16"/>
          <w:color w:val="auto"/>
        </w:rPr>
      </w:pPr>
    </w:p>
    <w:p>
      <w:pPr>
        <w:ind w:right="20" w:firstLine="443"/>
        <w:spacing w:after="0" w:line="290" w:lineRule="auto"/>
        <w:tabs>
          <w:tab w:leader="none" w:pos="687"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If the Borrower pays any amount under this §17 to the Administrative Agent or any Bank and such payee knowingly receives a refund or tax credit in respect 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decision as to whether or not to claim any such refund or credit, and as to the amount and allocation of any such refund or credit so claimed, shall be made by each such payee in its sole and absolute discretion;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nothing herein shall be deemed to obligate any Bank or the Administrative Agent to disclose to the Borrower or the Guarantor its tax returns or any information regarding its tax affairs.</w:t>
      </w:r>
    </w:p>
    <w:p>
      <w:pPr>
        <w:spacing w:after="0" w:line="37" w:lineRule="exact"/>
        <w:rPr>
          <w:rFonts w:ascii="Arial" w:cs="Arial" w:eastAsia="Arial" w:hAnsi="Arial"/>
          <w:sz w:val="16"/>
          <w:szCs w:val="16"/>
          <w:color w:val="auto"/>
        </w:rPr>
      </w:pPr>
    </w:p>
    <w:p>
      <w:pPr>
        <w:ind w:right="180" w:firstLine="443"/>
        <w:spacing w:after="0" w:line="259" w:lineRule="auto"/>
        <w:tabs>
          <w:tab w:leader="none" w:pos="6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59" w:lineRule="exact"/>
        <w:rPr>
          <w:rFonts w:ascii="Arial" w:cs="Arial" w:eastAsia="Arial" w:hAnsi="Arial"/>
          <w:sz w:val="18"/>
          <w:szCs w:val="18"/>
          <w:color w:val="auto"/>
        </w:rPr>
      </w:pPr>
    </w:p>
    <w:p>
      <w:pPr>
        <w:ind w:right="140" w:firstLine="443"/>
        <w:spacing w:after="0" w:line="259" w:lineRule="auto"/>
        <w:tabs>
          <w:tab w:leader="none" w:pos="65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26" w:lineRule="exact"/>
        <w:rPr>
          <w:rFonts w:ascii="Arial" w:cs="Arial" w:eastAsia="Arial" w:hAnsi="Arial"/>
          <w:sz w:val="18"/>
          <w:szCs w:val="18"/>
          <w:color w:val="auto"/>
        </w:rPr>
      </w:pPr>
    </w:p>
    <w:p>
      <w:pPr>
        <w:ind w:left="5160" w:hanging="96"/>
        <w:spacing w:after="0"/>
        <w:tabs>
          <w:tab w:leader="none" w:pos="5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0940"/>
          </w:cols>
          <w:pgMar w:left="700" w:top="280" w:right="259" w:bottom="1440" w:gutter="0" w:footer="0" w:header="0"/>
        </w:sectPr>
      </w:pPr>
    </w:p>
    <w:bookmarkStart w:id="92" w:name="page93"/>
    <w:bookmarkEnd w:id="92"/>
    <w:p>
      <w:pPr>
        <w:ind w:left="460" w:right="22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prejudice to the survival of any other agreement of the parties hereunder, the agreements and obligations of the Borrower contained in this §17 shall survive the payment in full of the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b w:val="1"/>
          <w:bCs w:val="1"/>
          <w:u w:val="single" w:color="auto"/>
          <w:color w:val="auto"/>
        </w:rPr>
        <w:t>TREATMENT OF CERTAIN CONFIDENTIAL INFORMATION</w:t>
      </w:r>
      <w:r>
        <w:rPr>
          <w:rFonts w:ascii="Arial" w:cs="Arial" w:eastAsia="Arial" w:hAnsi="Arial"/>
          <w:sz w:val="18"/>
          <w:szCs w:val="18"/>
          <w:b w:val="1"/>
          <w:bCs w:val="1"/>
          <w:color w:val="auto"/>
        </w:rPr>
        <w:t>.</w:t>
      </w:r>
    </w:p>
    <w:p>
      <w:pPr>
        <w:spacing w:after="0" w:line="90" w:lineRule="exact"/>
        <w:rPr>
          <w:sz w:val="20"/>
          <w:szCs w:val="20"/>
          <w:color w:val="auto"/>
        </w:rPr>
      </w:pPr>
    </w:p>
    <w:p>
      <w:pPr>
        <w:ind w:right="20" w:firstLine="913"/>
        <w:spacing w:after="0" w:line="303" w:lineRule="auto"/>
        <w:rPr>
          <w:sz w:val="20"/>
          <w:szCs w:val="20"/>
          <w:color w:val="auto"/>
        </w:rPr>
      </w:pPr>
      <w:r>
        <w:rPr>
          <w:rFonts w:ascii="Arial" w:cs="Arial" w:eastAsia="Arial" w:hAnsi="Arial"/>
          <w:sz w:val="15"/>
          <w:szCs w:val="15"/>
          <w:b w:val="1"/>
          <w:bCs w:val="1"/>
          <w:color w:val="auto"/>
        </w:rPr>
        <w:t>§18.1. Confidentiality</w:t>
      </w:r>
      <w:r>
        <w:rPr>
          <w:rFonts w:ascii="Arial" w:cs="Arial" w:eastAsia="Arial" w:hAnsi="Arial"/>
          <w:sz w:val="15"/>
          <w:szCs w:val="15"/>
          <w:color w:val="auto"/>
        </w:rPr>
        <w:t>. Each of the Banks and the Administrative Agent agrees, on behalf of itself and each of its affiliates, directors, officers,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shall limit the disclosure of any such information (a) after such information shall have become public other than through a violation of this §18, or becomes available to any of the Banks or the Administrative Agent on a nonconfidential basis from a source other than the Borrower,</w:t>
      </w:r>
    </w:p>
    <w:p>
      <w:pPr>
        <w:spacing w:after="0" w:line="2" w:lineRule="exact"/>
        <w:rPr>
          <w:sz w:val="20"/>
          <w:szCs w:val="20"/>
          <w:color w:val="auto"/>
        </w:rPr>
      </w:pPr>
    </w:p>
    <w:p>
      <w:pPr>
        <w:ind w:right="20" w:firstLine="8"/>
        <w:spacing w:after="0" w:line="287" w:lineRule="auto"/>
        <w:tabs>
          <w:tab w:leader="none" w:pos="24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the extent required by statute, rule, regulation or judicial process, (c) to counsel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 Bank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the provisions of §18.1, or (i) with the consent of the Borrower.</w:t>
      </w:r>
    </w:p>
    <w:p>
      <w:pPr>
        <w:spacing w:after="0" w:line="37"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§18.2. Prior Notification</w:t>
      </w:r>
      <w:r>
        <w:rPr>
          <w:rFonts w:ascii="Arial" w:cs="Arial" w:eastAsia="Arial" w:hAnsi="Arial"/>
          <w:sz w:val="18"/>
          <w:szCs w:val="18"/>
          <w:color w:val="auto"/>
        </w:rPr>
        <w:t>. Unless specifically prohibited by applicable law or court order, each of the Banks and the Administrative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55"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b w:val="1"/>
          <w:bCs w:val="1"/>
          <w:color w:val="auto"/>
        </w:rPr>
        <w:t>§18.3. Other</w:t>
      </w:r>
      <w:r>
        <w:rPr>
          <w:rFonts w:ascii="Arial" w:cs="Arial" w:eastAsia="Arial" w:hAnsi="Arial"/>
          <w:sz w:val="16"/>
          <w:szCs w:val="16"/>
          <w:color w:val="auto"/>
        </w:rPr>
        <w:t>. In no event shall any Bank or the Administrative Agent be obligated or required to return any materials furnished to it or any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by the Borrower or any of its Subsidiaries. The 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400"/>
          </w:cols>
          <w:pgMar w:left="240" w:top="280" w:right="259" w:bottom="1440" w:gutter="0" w:footer="0" w:header="0"/>
        </w:sectPr>
      </w:pPr>
    </w:p>
    <w:bookmarkStart w:id="93" w:name="page94"/>
    <w:bookmarkEnd w:id="93"/>
    <w:p>
      <w:pPr>
        <w:spacing w:after="0" w:line="29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§19. </w:t>
      </w:r>
      <w:r>
        <w:rPr>
          <w:rFonts w:ascii="Arial" w:cs="Arial" w:eastAsia="Arial" w:hAnsi="Arial"/>
          <w:sz w:val="16"/>
          <w:szCs w:val="16"/>
          <w:b w:val="1"/>
          <w:bCs w:val="1"/>
          <w:u w:val="single" w:color="auto"/>
          <w:color w:val="auto"/>
        </w:rPr>
        <w:t>SURVIVAL OF COVENANTS, ETC</w:t>
      </w:r>
      <w:r>
        <w:rPr>
          <w:rFonts w:ascii="Arial" w:cs="Arial" w:eastAsia="Arial" w:hAnsi="Arial"/>
          <w:sz w:val="16"/>
          <w:szCs w:val="16"/>
          <w:color w:val="auto"/>
        </w:rPr>
        <w:t>. Unless otherwise stated herein, all covenants, agreements, representations and warranties made herein, in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u w:val="single" w:color="auto"/>
          <w:color w:val="auto"/>
        </w:rPr>
        <w:t>ASSIGNMENT AND PARTICIPATION</w:t>
      </w:r>
      <w:r>
        <w:rPr>
          <w:rFonts w:ascii="Arial" w:cs="Arial" w:eastAsia="Arial" w:hAnsi="Arial"/>
          <w:sz w:val="16"/>
          <w:szCs w:val="16"/>
          <w:color w:val="auto"/>
        </w:rPr>
        <w:t>. It is understood and agreed that each Bank shall have the right to assign at any time all or a portion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Percentage and interests in the risk relating to the Loans, outstanding Letters of Credit and its Commitment hereunder in an amount equal to or greater than (unless otherwise agreed to by the Borrower and the Administrative Agent) $5,000,000 (or, if a Bank’s Commitment is less than $5,000,000, in a minimum amount equal to such Bank’s Commitment; provided that prior to any Commitment reductions pursuant to §2.3.1, such Bank’s Commitment was at least $5,000,000), to additional banks, other financial institutions or Bank Affiliates (other than Defaulting Banks) with the prior written approval of the Administrative Agent, the Swing Line Bank and each Issuing Bank and, so long as no Event of Default has occurred and is continuing, the consent of the Borrower (provided that (i) the Borrower’s consent shall not be required in the case of an assignment by a Bank to any other Bank, any Bank Affiliate of any Bank or any Approved Fund of any Bank and (ii) the Borrower shall be deemed to have consented to any such assignment unless it shall object thereto by written notice to the Administrative Agent within ten (10) Business Days after having received notice thereof), which approvals shall not be unreasonably withheld.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Assumption substantially in the form of Exhibit E hereto, or such other form approved by the Administrative Agent (an “Assignment and Assumption”)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provided,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360"/>
          </w:cols>
          <w:pgMar w:left="240" w:top="274" w:right="29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assignment by a Defaulting Bank will constitute a waiver or release of any claim of any party hereunder arising from that Bank’s having been a Defaulting Bank. In connection with any assignment of rights and obligations of any Defaulting Bank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Syndicated Loans previously requested but not funded by the Defaulting Bank, to each of which the applicable assignee and assignor hereby irrevocably consent), to (x) pay and satisfy in full all payment liabilities then owed by such Defaulting Bank to the Administrative Agent, the Issuing Banks or any Bank hereunder (and interest accrued thereon) and (y) acquire (and fund as appropriate) its full pro rata share of all Syndicated Loans and participations in Letters of Credit and Swing Line Loans in accordance with its Commitment Percentage. Notwithstanding the foregoing, in the event that any assignment of rights and obligations of any Defaulting Bank hereunder shall become effective under applicable law without compliance with the provisions of this paragraph, then the assignee of such interest shall be deemed to be a Defaulting Bank for all purposes of this Agreement until such compliance occurs. Upon the execution and delivery of such Assignment and Assumption (a) to the extent applicable, the Borrower shall issue Notes (and replacement Notes) or the Administrative Agent shall make appropriate entries on the applicable loan account(s) to reflect such assignment of Loan(s); and (b) this Agreement and Schedule 1 shall be deemed to be appropriately amended to reflect (i) the status of the bank, financial institution or Bank Affiliate as a party hereto and (ii) the status and rights of the Banks hereunder. The Administrative Agent, acting solely for this purpose as an agent of the Borrower, shall maintain at one of its offices in the United States a copy of each Assignment and Assumption delivered to it and a register for the recordation of the names and addresses of the Banks, and the Commitment Percentages of, and principal amounts (and stated interest) of the Loans owing to, each Bank pursuant to the terms hereof from time to time (the “Register”). The entries in the Register shall be conclusive absent manifest error, and the Borrower, the Administrative Agent and the Banks shall treat each Person whose name is recorded in the Register pursuant to the terms hereof as a Bank hereunder for all purposes of this Agreement. The Register shall be available for inspection by the Borrower and any Bank, at any reasonable time and from time to time upon reasonable prior notice.</w:t>
      </w:r>
    </w:p>
    <w:p>
      <w:pPr>
        <w:spacing w:after="0" w:line="12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§15.9(b)(i) – (v) and §15.9(b)(vi); and each such participant shall be entitled to the benefit of §5.5 hereof to the extent of its participation, subject to the limitations set forth therein. Each Bank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“Participant Register”);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Bank shall have any obligation to disclose all or any portion of the Participant Register (including the identity of any participant or any information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00"/>
          </w:cols>
          <w:pgMar w:left="240" w:top="280" w:right="259" w:bottom="1440" w:gutter="0" w:footer="0" w:header="0"/>
        </w:sectPr>
      </w:pPr>
    </w:p>
    <w:bookmarkStart w:id="95" w:name="page96"/>
    <w:bookmarkEnd w:id="95"/>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§5f.103-1(c) of the United States Treasury Regulations.</w:t>
      </w:r>
    </w:p>
    <w:p>
      <w:pPr>
        <w:spacing w:after="0" w:line="140"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Notwithstanding the foregoing, no assignment or participation shall (a) be made to the Borrower or any of its affiliates, a Defaulting Bank or any of its Subsidiaries or a natural person or (b) operate to increase the Total Commitment hereunder or otherwise alter the substantive terms of this Agreement, and no Bank which retains a Commitment hereunder shall have a Commitment of less than $5,000,000, except as a result of reductions in the Total Commitment pursuant to §2.3 hereof.</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Anything contained in this §20 to the contrary notwithstanding, any Bank may at any time pledge or assign a security interest in all or any portion of its interest and rights under this Agreement (including all or any portion of its Notes) to secure obligations of such Bank, including any pledge or assignment to secure obligations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Bank from any of its obligations hereunder or under any of the other Loan Documents or substitute any such pledgee or assignee for such Bank as a party hereto or thereto.</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The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assignees or participants or potential assignees or participants shall agree to be bound by §18 hereof.</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Notwithstanding anything to the contrary contained herein, if at any time a Bank that is an Issuing Bank or the Swing Line Bank assigns all of its Commitment and Syndicated Loans pursuant to this §20, such Bank may, (i) upon 45 days’ notice to the Borrower and the Banks, resign as an Issuing Bank and/or (ii) upon 45 days’ notice to the Borrower, resign as the Swing Line Bank. In the event of any such resignation as Issuing Bank or Swing Line Bank, the Borrower shall be entitled to appoint from among the Banks a successor Issuing Bank or Swing Line Bank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no failure by the Borrower to appoint any such successor shall affect the resignation of the Bank that has elected to resign as Issuing Bank or Swing Line Bank, as the case may be, and (y) any such appointment of a successor Issuing Bank or Swing Line Bank must be acceptable to the Bank appointed to act in such capacity. If a Bank resigns as Issuing Bank, it shall retain the rights, powers, privileges and duties of an Issuing Bank hereunder with respect to all Letters of Credit outstanding as of the effective date of its resignation as Issuing Bank and all Reimbursement Obligations with respect thereto (including the right to require the Banks to make Base Rate Syndicated Loans pursuant to §3.2(a) or fund Letter of Credit Participations pursuant to §3.1(c)). If a Bank resigns as the Swing Line Bank, it shall retain all the rights of the Swing Line Bank provided for hereunder with respect to Swing Line Loans made by it and outstanding as of the effective date of such resignation (including the right to require the Banks to make Base Rate Syndicated Loans or fund risk participations in outstanding Swing Line Loans pursuant to §2.11). Upon the appointment of a successor Issuing Bank and/or Swing Line Bank in accordance with the foregoing, (a) such successor shall succeed to and become vested with all of the rights, powers, privileges and duties of the retiring Issuing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20"/>
          </w:cols>
          <w:pgMar w:left="240" w:top="280" w:right="239" w:bottom="1440" w:gutter="0" w:footer="0" w:header="0"/>
        </w:sectPr>
      </w:pPr>
    </w:p>
    <w:bookmarkStart w:id="96" w:name="page97"/>
    <w:bookmarkEnd w:id="9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or Swing Line Bank, as the case may be, and (b) the successor Issuing Bank shall issue letters of credit in substitution for the Letters of Credit issued by the resigning Issuing Bank, if any, that are outstanding at the time such resignation occurs or make other arrangements satisfactory to the resigning Issuing Bank to effectively assume the obligations of such resigning Issuing Bank with respect to such Letters of Credit.</w:t>
      </w:r>
    </w:p>
    <w:p>
      <w:pPr>
        <w:spacing w:after="0" w:line="101" w:lineRule="exact"/>
        <w:rPr>
          <w:sz w:val="20"/>
          <w:szCs w:val="20"/>
          <w:color w:val="auto"/>
        </w:rPr>
      </w:pPr>
    </w:p>
    <w:p>
      <w:pPr>
        <w:ind w:right="540"/>
        <w:spacing w:after="0" w:line="310" w:lineRule="auto"/>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All the terms of this Agreement and the other Loan Documents shall be binding upon and inure to the benefit of and be</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by the respective successors and assigns of the parties hereto and thereto; provided, that neither the Borrower nor the Guarantor shall assign or transfer its rights or obligations hereunder or thereunder without the prior written consent of each of the Banks.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b w:val="1"/>
          <w:bCs w:val="1"/>
          <w:u w:val="single" w:color="auto"/>
          <w:color w:val="auto"/>
        </w:rPr>
        <w:t>NOTICES, ETC</w:t>
      </w:r>
      <w:r>
        <w:rPr>
          <w:rFonts w:ascii="Arial" w:cs="Arial" w:eastAsia="Arial" w:hAnsi="Arial"/>
          <w:sz w:val="18"/>
          <w:szCs w:val="18"/>
          <w:color w:val="auto"/>
        </w:rPr>
        <w:t>.</w:t>
      </w:r>
    </w:p>
    <w:p>
      <w:pPr>
        <w:spacing w:after="0" w:line="96" w:lineRule="exact"/>
        <w:rPr>
          <w:sz w:val="20"/>
          <w:szCs w:val="20"/>
          <w:color w:val="auto"/>
        </w:rPr>
      </w:pPr>
    </w:p>
    <w:p>
      <w:pPr>
        <w:ind w:left="1140" w:hanging="237"/>
        <w:spacing w:after="0"/>
        <w:tabs>
          <w:tab w:leader="none" w:pos="11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Except in the case of notices and other communications expressly permitted to be given by telephone (and except as provided in subsection</w:t>
      </w:r>
    </w:p>
    <w:p>
      <w:pPr>
        <w:spacing w:after="0" w:line="38" w:lineRule="exact"/>
        <w:rPr>
          <w:rFonts w:ascii="Arial" w:cs="Arial" w:eastAsia="Arial" w:hAnsi="Arial"/>
          <w:sz w:val="16"/>
          <w:szCs w:val="16"/>
          <w:color w:val="auto"/>
        </w:rPr>
      </w:pPr>
    </w:p>
    <w:p>
      <w:pPr>
        <w:ind w:left="460" w:right="60" w:firstLine="4"/>
        <w:spacing w:after="0" w:line="255" w:lineRule="auto"/>
        <w:tabs>
          <w:tab w:leader="none" w:pos="709"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63" w:lineRule="exact"/>
        <w:rPr>
          <w:rFonts w:ascii="Arial" w:cs="Arial" w:eastAsia="Arial" w:hAnsi="Arial"/>
          <w:sz w:val="18"/>
          <w:szCs w:val="18"/>
          <w:color w:val="auto"/>
        </w:rPr>
      </w:pPr>
    </w:p>
    <w:p>
      <w:pPr>
        <w:ind w:left="920" w:right="260" w:firstLine="421"/>
        <w:spacing w:after="0" w:line="268" w:lineRule="auto"/>
        <w:tabs>
          <w:tab w:leader="none" w:pos="1549"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if to the Borrower, the Administrative Agent, an Issuing Bank or the Swing Line Bank, to the address, telecopier number, electronic mail address or telephone number specified for such Person on </w:t>
      </w:r>
      <w:r>
        <w:rPr>
          <w:rFonts w:ascii="Arial" w:cs="Arial" w:eastAsia="Arial" w:hAnsi="Arial"/>
          <w:sz w:val="18"/>
          <w:szCs w:val="18"/>
          <w:u w:val="single" w:color="auto"/>
          <w:color w:val="auto"/>
        </w:rPr>
        <w:t>Schedule 22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920" w:right="340" w:firstLine="421"/>
        <w:spacing w:after="0" w:line="306" w:lineRule="auto"/>
        <w:tabs>
          <w:tab w:leader="none" w:pos="1598" w:val="left"/>
        </w:tabs>
        <w:numPr>
          <w:ilvl w:val="2"/>
          <w:numId w:val="82"/>
        </w:numPr>
        <w:rPr>
          <w:rFonts w:ascii="Arial" w:cs="Arial" w:eastAsia="Arial" w:hAnsi="Arial"/>
          <w:sz w:val="16"/>
          <w:szCs w:val="16"/>
          <w:color w:val="auto"/>
        </w:rPr>
      </w:pPr>
      <w:r>
        <w:rPr>
          <w:rFonts w:ascii="Arial" w:cs="Arial" w:eastAsia="Arial" w:hAnsi="Arial"/>
          <w:sz w:val="16"/>
          <w:szCs w:val="16"/>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w:t>
      </w:r>
    </w:p>
    <w:p>
      <w:pPr>
        <w:spacing w:after="0" w:line="2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62" w:lineRule="exact"/>
        <w:rPr>
          <w:sz w:val="20"/>
          <w:szCs w:val="20"/>
          <w:color w:val="auto"/>
        </w:rPr>
      </w:pPr>
    </w:p>
    <w:p>
      <w:pPr>
        <w:ind w:left="460" w:right="2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Borrower hereby agrees that it will provide to the Administrative Agent all information, documents and other materials that it is obligated to furnish to the Administrative Agent pursuant to this Agreement and the other Loan Documents, including, without limitation, all notices, requests, financial statements, financial and other reports, certificates and other information materials, but excluding any such communication that (i) relates to a request for a new, or a conversion of an existing,</w:t>
      </w:r>
    </w:p>
    <w:p>
      <w:pPr>
        <w:spacing w:after="0" w:line="129" w:lineRule="exact"/>
        <w:rPr>
          <w:rFonts w:ascii="Arial" w:cs="Arial" w:eastAsia="Arial" w:hAnsi="Arial"/>
          <w:sz w:val="18"/>
          <w:szCs w:val="18"/>
          <w:color w:val="auto"/>
        </w:rPr>
      </w:pPr>
    </w:p>
    <w:p>
      <w:pPr>
        <w:ind w:left="5620" w:hanging="96"/>
        <w:spacing w:after="0"/>
        <w:tabs>
          <w:tab w:leader="none" w:pos="56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420"/>
          </w:cols>
          <w:pgMar w:left="240" w:top="280" w:right="239" w:bottom="1440" w:gutter="0" w:footer="0" w:header="0"/>
        </w:sectPr>
      </w:pPr>
    </w:p>
    <w:bookmarkStart w:id="97" w:name="page98"/>
    <w:bookmarkEnd w:id="9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xml:space="preserve">”), by transmitting the Communications in an electronic/soft medium in a format acceptable to the Administrative Agent pursuant to procedures approved by the Administrative Agent. In addition, the Borrower agrees to continue to provide the Communications to the Administrative Agent in the manner specified in this Agreement but only to the extent requested by the Administrative Agent.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40" w:lineRule="exact"/>
        <w:rPr>
          <w:sz w:val="20"/>
          <w:szCs w:val="20"/>
          <w:color w:val="auto"/>
        </w:rPr>
      </w:pPr>
    </w:p>
    <w:p>
      <w:pPr>
        <w:ind w:firstLine="443"/>
        <w:spacing w:after="0" w:line="285" w:lineRule="auto"/>
        <w:tabs>
          <w:tab w:leader="none" w:pos="6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Borrower further agrees that (i) the Administrative Agent and/or the Lead Arrangers may make the Communications and/or information provided by or on behalf of the Borrower hereunder available to the Banks by posting the Communications and such other information on SyndTrak, Intralinks or a substantially similar electronic transmission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(ii) certain of the Banks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Lead Arrangers, the Issuing Banks and the Banks to treat such Communications and other information as not containing any material non-public information with respect to the Borrower or its securities for purposes of United States Federal and state securities laws (provided, however, that to the extent such Communications and other information subject to §18.1, they shall be treated as set forth in §18.1);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w:t>
      </w:r>
    </w:p>
    <w:p>
      <w:pPr>
        <w:spacing w:after="0" w:line="114" w:lineRule="exact"/>
        <w:rPr>
          <w:rFonts w:ascii="Arial" w:cs="Arial" w:eastAsia="Arial" w:hAnsi="Arial"/>
          <w:sz w:val="16"/>
          <w:szCs w:val="16"/>
          <w:color w:val="auto"/>
        </w:rPr>
      </w:pPr>
    </w:p>
    <w:p>
      <w:pPr>
        <w:ind w:left="5160" w:hanging="96"/>
        <w:spacing w:after="0"/>
        <w:tabs>
          <w:tab w:leader="none" w:pos="5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0920"/>
          </w:cols>
          <w:pgMar w:left="700" w:top="280" w:right="279" w:bottom="1440" w:gutter="0" w:footer="0" w:header="0"/>
        </w:sectPr>
      </w:pPr>
    </w:p>
    <w:bookmarkStart w:id="98" w:name="page99"/>
    <w:bookmarkEnd w:id="98"/>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62" w:lineRule="exact"/>
        <w:rPr>
          <w:sz w:val="20"/>
          <w:szCs w:val="20"/>
          <w:color w:val="auto"/>
        </w:rPr>
      </w:pPr>
    </w:p>
    <w:p>
      <w:pPr>
        <w:ind w:firstLine="443"/>
        <w:spacing w:after="0" w:line="251" w:lineRule="auto"/>
        <w:tabs>
          <w:tab w:leader="none" w:pos="6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AGENT PARTY HAVE ANY LIABILITY TO THE BORROWER, ANY BANK, ANY ISSUING BANK OR ANY OTHER PERSON FOR INDIRECT, SPECIAL, INCIDENTAL, CONSEQUENTIAL OR PUNITIVE DAMAGES (AS OPPOSED TO DIRECT OR ACTUAL DAMAGES).</w:t>
      </w:r>
    </w:p>
    <w:p>
      <w:pPr>
        <w:spacing w:after="0" w:line="75" w:lineRule="exact"/>
        <w:rPr>
          <w:rFonts w:ascii="Arial" w:cs="Arial" w:eastAsia="Arial" w:hAnsi="Arial"/>
          <w:sz w:val="18"/>
          <w:szCs w:val="18"/>
          <w:color w:val="auto"/>
        </w:rPr>
      </w:pPr>
    </w:p>
    <w:p>
      <w:pPr>
        <w:ind w:right="220" w:firstLine="443"/>
        <w:spacing w:after="0" w:line="254" w:lineRule="auto"/>
        <w:tabs>
          <w:tab w:leader="none" w:pos="6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130" w:lineRule="exact"/>
        <w:rPr>
          <w:rFonts w:ascii="Arial" w:cs="Arial" w:eastAsia="Arial" w:hAnsi="Arial"/>
          <w:sz w:val="18"/>
          <w:szCs w:val="18"/>
          <w:color w:val="auto"/>
        </w:rPr>
      </w:pPr>
    </w:p>
    <w:p>
      <w:pPr>
        <w:ind w:left="5160" w:hanging="96"/>
        <w:spacing w:after="0"/>
        <w:tabs>
          <w:tab w:leader="none" w:pos="51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0960"/>
          </w:cols>
          <w:pgMar w:left="700" w:top="280" w:right="239" w:bottom="1440" w:gutter="0" w:footer="0" w:header="0"/>
        </w:sectPr>
      </w:pPr>
    </w:p>
    <w:bookmarkStart w:id="99" w:name="page100"/>
    <w:bookmarkEnd w:id="99"/>
    <w:p>
      <w:pPr>
        <w:ind w:left="460" w:right="420" w:firstLine="443"/>
        <w:spacing w:after="0" w:line="268" w:lineRule="auto"/>
        <w:tabs>
          <w:tab w:leader="none" w:pos="1117"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herein shall prejudice the right of the Administrative Agent or any Bank to give any notice or other communication pursuant to this Agreement in any other manner specified herein.</w:t>
      </w:r>
    </w:p>
    <w:p>
      <w:pPr>
        <w:spacing w:after="0" w:line="12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u w:val="single" w:color="auto"/>
          <w:color w:val="auto"/>
        </w:rPr>
        <w:t>MISCELLANEOUS</w:t>
      </w:r>
      <w:r>
        <w:rPr>
          <w:rFonts w:ascii="Arial" w:cs="Arial" w:eastAsia="Arial" w:hAnsi="Arial"/>
          <w:sz w:val="16"/>
          <w:szCs w:val="16"/>
          <w:color w:val="auto"/>
        </w:rPr>
        <w:t>. The rights and remedies herein expressed are cumulative and not exclusive of any other rights which the Banks, the Issuing Banks or</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u w:val="single" w:color="auto"/>
          <w:color w:val="auto"/>
        </w:rPr>
        <w:t>CONSENTS, ETC</w:t>
      </w:r>
      <w:r>
        <w:rPr>
          <w:rFonts w:ascii="Arial" w:cs="Arial" w:eastAsia="Arial" w:hAnsi="Arial"/>
          <w:sz w:val="16"/>
          <w:szCs w:val="16"/>
          <w:color w:val="auto"/>
        </w:rPr>
        <w:t>. Neither this Agreement nor any term hereof may be changed, waived, discharged or terminated, except as provided in this §24,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provisions of §15.9.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- 86 -</w:t>
      </w:r>
    </w:p>
    <w:p>
      <w:pPr>
        <w:sectPr>
          <w:pgSz w:w="11900" w:h="16838" w:orient="portrait"/>
          <w:cols w:equalWidth="0" w:num="1">
            <w:col w:w="11380"/>
          </w:cols>
          <w:pgMar w:left="240" w:top="280" w:right="279" w:bottom="1440" w:gutter="0" w:footer="0" w:header="0"/>
        </w:sectPr>
      </w:pPr>
    </w:p>
    <w:bookmarkStart w:id="100" w:name="page101"/>
    <w:bookmarkEnd w:id="100"/>
    <w:p>
      <w:pPr>
        <w:spacing w:after="0" w:line="2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14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GOVERNING LAW; SUBMISSION TO JURISDICTION</w:t>
      </w:r>
      <w:r>
        <w:rPr>
          <w:rFonts w:ascii="Arial" w:cs="Arial" w:eastAsia="Arial" w:hAnsi="Arial"/>
          <w:sz w:val="18"/>
          <w:szCs w:val="18"/>
          <w:color w:val="auto"/>
        </w:rPr>
        <w:t>. THIS AGREEMENT AND EACH OF THE OTHER LOAN DOCUMENTS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UNDER THE LAWS OF THE STATE OF NEW 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EXCLUSIVE JURISDICTION OF SUCH COURTS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w:t>
      </w:r>
    </w:p>
    <w:p>
      <w:pPr>
        <w:spacing w:after="0" w:line="147"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are severable and if any one clause or provision hereof shall be held invalid or unenforceable in whole</w:t>
      </w:r>
      <w:r>
        <w:rPr>
          <w:rFonts w:ascii="Arial" w:cs="Arial" w:eastAsia="Arial" w:hAnsi="Arial"/>
          <w:sz w:val="16"/>
          <w:szCs w:val="16"/>
          <w:b w:val="1"/>
          <w:bCs w:val="1"/>
          <w:color w:val="auto"/>
        </w:rPr>
        <w:t xml:space="preserve"> </w:t>
      </w:r>
      <w:r>
        <w:rPr>
          <w:rFonts w:ascii="Arial" w:cs="Arial" w:eastAsia="Arial" w:hAnsi="Arial"/>
          <w:sz w:val="16"/>
          <w:szCs w:val="16"/>
          <w:color w:val="auto"/>
        </w:rPr>
        <w:t>or in part in any jurisdiction, then such invalidity or unenforceability shall affect only such clause or provision, or part thereof,</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00"/>
          </w:cols>
          <w:pgMar w:left="240" w:top="274" w:right="259" w:bottom="1440" w:gutter="0" w:footer="0" w:header="0"/>
        </w:sectPr>
      </w:pPr>
    </w:p>
    <w:bookmarkStart w:id="101" w:name="page102"/>
    <w:bookmarkEnd w:id="101"/>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such jurisdiction, and shall not in any manner affect such clause or provision in any other jurisdiction, or any other clause or provision of this Agreement in any jurisdiction. Without limiting the foregoing provisions of this §27, if and to the extent that the enforceability of any provisions in this Agreement relating to Defaulting Banks shall be limited by bankruptcy, insolvency, reorganization, moratorium or other similar laws, as determined in good faith by the Administrative Agent, the Issuing Banks or the Swing Line Bank, as applicable, then such provisions shall be deemed to be in effect only to the extent not so limited.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 </w:t>
      </w:r>
      <w:r>
        <w:rPr>
          <w:rFonts w:ascii="Arial" w:cs="Arial" w:eastAsia="Arial" w:hAnsi="Arial"/>
          <w:sz w:val="18"/>
          <w:szCs w:val="18"/>
          <w:b w:val="1"/>
          <w:bCs w:val="1"/>
          <w:u w:val="single" w:color="auto"/>
          <w:color w:val="auto"/>
        </w:rPr>
        <w:t>GUARANTY</w:t>
      </w:r>
      <w:r>
        <w:rPr>
          <w:rFonts w:ascii="Arial" w:cs="Arial" w:eastAsia="Arial" w:hAnsi="Arial"/>
          <w:sz w:val="18"/>
          <w:szCs w:val="18"/>
          <w:color w:val="auto"/>
        </w:rPr>
        <w:t>.</w:t>
      </w:r>
    </w:p>
    <w:p>
      <w:pPr>
        <w:spacing w:after="0" w:line="9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b w:val="1"/>
          <w:bCs w:val="1"/>
          <w:color w:val="auto"/>
        </w:rPr>
        <w:t xml:space="preserve">§28.1. Guaranty. </w:t>
      </w:r>
      <w:r>
        <w:rPr>
          <w:rFonts w:ascii="Arial" w:cs="Arial" w:eastAsia="Arial" w:hAnsi="Arial"/>
          <w:sz w:val="16"/>
          <w:szCs w:val="16"/>
          <w:color w:val="auto"/>
        </w:rPr>
        <w:t>For value received and hereby acknowledged and as an inducement to the Banks and the Issuing Banks to make the Loans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Borrower, and issue, extend or renew Letters of Credit 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30"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 xml:space="preserve">§28.2. Guaranty Absolute. </w:t>
      </w:r>
      <w:r>
        <w:rPr>
          <w:rFonts w:ascii="Arial" w:cs="Arial" w:eastAsia="Arial" w:hAnsi="Arial"/>
          <w:sz w:val="18"/>
          <w:szCs w:val="18"/>
          <w:color w:val="auto"/>
        </w:rPr>
        <w:t>The Guarantor guarantees that the Guaranteed Obligations will be paid strictly in accordance with the terms hereof,</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61" w:lineRule="exact"/>
        <w:rPr>
          <w:sz w:val="20"/>
          <w:szCs w:val="20"/>
          <w:color w:val="auto"/>
        </w:rPr>
      </w:pPr>
    </w:p>
    <w:p>
      <w:pPr>
        <w:ind w:left="460" w:right="80" w:firstLine="443"/>
        <w:spacing w:after="0" w:line="332"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release or amendment or waiver of or consent to departure from any other guaranty for all or any of its Guaranteed Obligations;</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change in ownership of the Borrower;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acceptance of any partial payment(s) from the Borrower or the Guarantor; or</w:t>
      </w:r>
    </w:p>
    <w:p>
      <w:pPr>
        <w:spacing w:after="0" w:line="90" w:lineRule="exact"/>
        <w:rPr>
          <w:rFonts w:ascii="Arial" w:cs="Arial" w:eastAsia="Arial" w:hAnsi="Arial"/>
          <w:sz w:val="18"/>
          <w:szCs w:val="18"/>
          <w:color w:val="auto"/>
        </w:rPr>
      </w:pPr>
    </w:p>
    <w:p>
      <w:pPr>
        <w:ind w:left="460" w:right="600" w:firstLine="443"/>
        <w:spacing w:after="0" w:line="268" w:lineRule="auto"/>
        <w:tabs>
          <w:tab w:leader="none" w:pos="11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other circumstance whatsoever which might otherwise constitute a defense available to, or a discharge of, a guarantor or surety or the Borrower in respect of its Obligations under any Loan Document.</w:t>
      </w:r>
    </w:p>
    <w:p>
      <w:pPr>
        <w:spacing w:after="0" w:line="132"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00"/>
          </w:cols>
          <w:pgMar w:left="240" w:top="280" w:right="259" w:bottom="1440" w:gutter="0" w:footer="0" w:header="0"/>
        </w:sectPr>
      </w:pPr>
    </w:p>
    <w:bookmarkStart w:id="102" w:name="page103"/>
    <w:bookmarkEnd w:id="102"/>
    <w:p>
      <w:pPr>
        <w:ind w:firstLine="913"/>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§28.3. Effectiveness; Enforcement. </w:t>
      </w:r>
      <w:r>
        <w:rPr>
          <w:rFonts w:ascii="Arial" w:cs="Arial" w:eastAsia="Arial" w:hAnsi="Arial"/>
          <w:sz w:val="16"/>
          <w:szCs w:val="16"/>
          <w:color w:val="auto"/>
        </w:rPr>
        <w:t>The guaranty under this Agreement shall be effective and shall be deemed to be made with respect to each Loan</w:t>
      </w:r>
      <w:r>
        <w:rPr>
          <w:rFonts w:ascii="Arial" w:cs="Arial" w:eastAsia="Arial" w:hAnsi="Arial"/>
          <w:sz w:val="16"/>
          <w:szCs w:val="16"/>
          <w:b w:val="1"/>
          <w:bCs w:val="1"/>
          <w:color w:val="auto"/>
        </w:rPr>
        <w:t xml:space="preserve"> </w:t>
      </w:r>
      <w:r>
        <w:rPr>
          <w:rFonts w:ascii="Arial" w:cs="Arial" w:eastAsia="Arial" w:hAnsi="Arial"/>
          <w:sz w:val="16"/>
          <w:szCs w:val="16"/>
          <w:color w:val="auto"/>
        </w:rPr>
        <w:t>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34"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b w:val="1"/>
          <w:bCs w:val="1"/>
          <w:color w:val="auto"/>
        </w:rPr>
        <w:t xml:space="preserve">§28.4. Waiver. </w:t>
      </w:r>
      <w:r>
        <w:rPr>
          <w:rFonts w:ascii="Arial" w:cs="Arial" w:eastAsia="Arial" w:hAnsi="Arial"/>
          <w:sz w:val="16"/>
          <w:szCs w:val="16"/>
          <w:color w:val="auto"/>
        </w:rPr>
        <w:t>Except as otherwise specifically provided in any of the Loan Documents, the Guarantor hereby waives promptness, diligence,</w:t>
      </w:r>
      <w:r>
        <w:rPr>
          <w:rFonts w:ascii="Arial" w:cs="Arial" w:eastAsia="Arial" w:hAnsi="Arial"/>
          <w:sz w:val="16"/>
          <w:szCs w:val="16"/>
          <w:b w:val="1"/>
          <w:bCs w:val="1"/>
          <w:color w:val="auto"/>
        </w:rPr>
        <w:t xml:space="preserve"> </w:t>
      </w:r>
      <w:r>
        <w:rPr>
          <w:rFonts w:ascii="Arial" w:cs="Arial" w:eastAsia="Arial" w:hAnsi="Arial"/>
          <w:sz w:val="16"/>
          <w:szCs w:val="16"/>
          <w:color w:val="auto"/>
        </w:rPr>
        <w:t>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3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§28.5. Expenses. </w:t>
      </w:r>
      <w:r>
        <w:rPr>
          <w:rFonts w:ascii="Arial" w:cs="Arial" w:eastAsia="Arial" w:hAnsi="Arial"/>
          <w:sz w:val="16"/>
          <w:szCs w:val="16"/>
          <w:color w:val="auto"/>
        </w:rPr>
        <w:t>The Guarantor hereby promises to reimburse (a) the Administrative Agent for all reasonable out-of-pocket fees and disbursements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all reasonable attorneys’ fees), incurred or expended 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274" w:right="239" w:bottom="1440" w:gutter="0" w:footer="0" w:header="0"/>
        </w:sectPr>
      </w:pPr>
    </w:p>
    <w:bookmarkStart w:id="103" w:name="page104"/>
    <w:bookmarkEnd w:id="103"/>
    <w:p>
      <w:pPr>
        <w:ind w:left="1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§28.6. Concerning Joint and Several Liability of the Guarantor</w:t>
      </w:r>
      <w:r>
        <w:rPr>
          <w:rFonts w:ascii="Arial" w:cs="Arial" w:eastAsia="Arial" w:hAnsi="Arial"/>
          <w:sz w:val="18"/>
          <w:szCs w:val="18"/>
          <w:color w:val="auto"/>
        </w:rPr>
        <w:t>.</w:t>
      </w:r>
    </w:p>
    <w:p>
      <w:pPr>
        <w:spacing w:after="0" w:line="96" w:lineRule="exact"/>
        <w:rPr>
          <w:sz w:val="20"/>
          <w:szCs w:val="20"/>
          <w:color w:val="auto"/>
        </w:rPr>
      </w:pPr>
    </w:p>
    <w:p>
      <w:pPr>
        <w:ind w:left="-443" w:firstLine="443"/>
        <w:spacing w:after="0" w:line="256" w:lineRule="auto"/>
        <w:tabs>
          <w:tab w:leader="none" w:pos="2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 being the intention of the parties hereto that all such Guaranteed Obligations shall be the joint and several Guaranteed Obligations of the Guarantor and the Borrower without preferences or distinction among them.</w:t>
      </w:r>
    </w:p>
    <w:p>
      <w:pPr>
        <w:spacing w:after="0" w:line="62" w:lineRule="exact"/>
        <w:rPr>
          <w:rFonts w:ascii="Arial" w:cs="Arial" w:eastAsia="Arial" w:hAnsi="Arial"/>
          <w:sz w:val="18"/>
          <w:szCs w:val="18"/>
          <w:color w:val="auto"/>
        </w:rPr>
      </w:pPr>
    </w:p>
    <w:p>
      <w:pPr>
        <w:ind w:left="-443" w:firstLine="443"/>
        <w:spacing w:after="0" w:line="259" w:lineRule="auto"/>
        <w:tabs>
          <w:tab w:leader="none" w:pos="24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59" w:lineRule="exact"/>
        <w:rPr>
          <w:rFonts w:ascii="Arial" w:cs="Arial" w:eastAsia="Arial" w:hAnsi="Arial"/>
          <w:sz w:val="18"/>
          <w:szCs w:val="18"/>
          <w:color w:val="auto"/>
        </w:rPr>
      </w:pPr>
    </w:p>
    <w:p>
      <w:pPr>
        <w:jc w:val="both"/>
        <w:ind w:left="-443" w:right="240" w:firstLine="443"/>
        <w:spacing w:after="0" w:line="259" w:lineRule="auto"/>
        <w:tabs>
          <w:tab w:leader="none" w:pos="23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Guaranteed Obligations of the Guarantor under the provisions of this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59" w:lineRule="exact"/>
        <w:rPr>
          <w:rFonts w:ascii="Arial" w:cs="Arial" w:eastAsia="Arial" w:hAnsi="Arial"/>
          <w:sz w:val="18"/>
          <w:szCs w:val="18"/>
          <w:color w:val="auto"/>
        </w:rPr>
      </w:pPr>
    </w:p>
    <w:p>
      <w:pPr>
        <w:ind w:left="-443" w:right="40" w:firstLine="443"/>
        <w:spacing w:after="0" w:line="285" w:lineRule="auto"/>
        <w:tabs>
          <w:tab w:leader="none" w:pos="244"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w:t>
      </w:r>
    </w:p>
    <w:p>
      <w:pPr>
        <w:spacing w:after="0" w:line="110" w:lineRule="exact"/>
        <w:rPr>
          <w:rFonts w:ascii="Arial" w:cs="Arial" w:eastAsia="Arial" w:hAnsi="Arial"/>
          <w:sz w:val="16"/>
          <w:szCs w:val="16"/>
          <w:color w:val="auto"/>
        </w:rPr>
      </w:pPr>
    </w:p>
    <w:p>
      <w:pPr>
        <w:ind w:left="4717" w:hanging="96"/>
        <w:spacing w:after="0"/>
        <w:tabs>
          <w:tab w:leader="none" w:pos="4717" w:val="left"/>
        </w:tabs>
        <w:numPr>
          <w:ilvl w:val="1"/>
          <w:numId w:val="88"/>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0517"/>
          </w:cols>
          <w:pgMar w:left="1143" w:top="274" w:right="239" w:bottom="1440" w:gutter="0" w:footer="0" w:header="0"/>
        </w:sectPr>
      </w:pPr>
    </w:p>
    <w:bookmarkStart w:id="104" w:name="page105"/>
    <w:bookmarkEnd w:id="104"/>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39" w:lineRule="exact"/>
        <w:rPr>
          <w:sz w:val="20"/>
          <w:szCs w:val="20"/>
          <w:color w:val="auto"/>
        </w:rPr>
      </w:pPr>
    </w:p>
    <w:p>
      <w:pPr>
        <w:ind w:left="460" w:right="80" w:firstLine="443"/>
        <w:spacing w:after="0" w:line="290" w:lineRule="auto"/>
        <w:tabs>
          <w:tab w:leader="none" w:pos="11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37" w:lineRule="exact"/>
        <w:rPr>
          <w:rFonts w:ascii="Arial" w:cs="Arial" w:eastAsia="Arial" w:hAnsi="Arial"/>
          <w:sz w:val="16"/>
          <w:szCs w:val="16"/>
          <w:color w:val="auto"/>
        </w:rPr>
      </w:pPr>
    </w:p>
    <w:p>
      <w:pPr>
        <w:ind w:left="460" w:firstLine="443"/>
        <w:spacing w:after="0" w:line="309" w:lineRule="auto"/>
        <w:tabs>
          <w:tab w:leader="none" w:pos="111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21"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color w:val="auto"/>
        </w:rPr>
        <w:t xml:space="preserve">§28.7. Waiver. </w:t>
      </w:r>
      <w:r>
        <w:rPr>
          <w:rFonts w:ascii="Arial" w:cs="Arial" w:eastAsia="Arial" w:hAnsi="Arial"/>
          <w:sz w:val="16"/>
          <w:szCs w:val="16"/>
          <w:color w:val="auto"/>
        </w:rPr>
        <w:t>Until the final payment and performance in full of all of the Obligations, the Guarantor shall not exercise and the Guarantor hereby</w:t>
      </w:r>
      <w:r>
        <w:rPr>
          <w:rFonts w:ascii="Arial" w:cs="Arial" w:eastAsia="Arial" w:hAnsi="Arial"/>
          <w:sz w:val="16"/>
          <w:szCs w:val="16"/>
          <w:b w:val="1"/>
          <w:bCs w:val="1"/>
          <w:color w:val="auto"/>
        </w:rPr>
        <w:t xml:space="preserve"> </w:t>
      </w:r>
      <w:r>
        <w:rPr>
          <w:rFonts w:ascii="Arial" w:cs="Arial" w:eastAsia="Arial" w:hAnsi="Arial"/>
          <w:sz w:val="16"/>
          <w:szCs w:val="16"/>
          <w:color w:val="auto"/>
        </w:rPr>
        <w:t>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420"/>
          </w:cols>
          <w:pgMar w:left="240" w:top="280" w:right="239" w:bottom="1440" w:gutter="0" w:footer="0" w:header="0"/>
        </w:sectPr>
      </w:pPr>
    </w:p>
    <w:bookmarkStart w:id="105" w:name="page106"/>
    <w:bookmarkEnd w:id="10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2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color w:val="auto"/>
        </w:rPr>
        <w:t xml:space="preserve">§28.8. Subrogation; Subordination. </w:t>
      </w:r>
      <w:r>
        <w:rPr>
          <w:rFonts w:ascii="Arial" w:cs="Arial" w:eastAsia="Arial" w:hAnsi="Arial"/>
          <w:sz w:val="16"/>
          <w:szCs w:val="16"/>
          <w:color w:val="auto"/>
        </w:rPr>
        <w:t>The payment of any amounts due with respect to any indebtedness of the Borrower for money borrowed or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6"/>
          <w:szCs w:val="16"/>
          <w:i w:val="1"/>
          <w:iCs w:val="1"/>
          <w:color w:val="auto"/>
        </w:rPr>
        <w:t>.</w:t>
      </w:r>
      <w:r>
        <w:rPr>
          <w:rFonts w:ascii="Arial" w:cs="Arial" w:eastAsia="Arial" w:hAnsi="Arial"/>
          <w:sz w:val="16"/>
          <w:szCs w:val="16"/>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3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b w:val="1"/>
          <w:bCs w:val="1"/>
          <w:color w:val="auto"/>
        </w:rPr>
        <w:t>§28.9. Consent and Confirmation</w:t>
      </w:r>
      <w:r>
        <w:rPr>
          <w:rFonts w:ascii="Arial" w:cs="Arial" w:eastAsia="Arial" w:hAnsi="Arial"/>
          <w:sz w:val="18"/>
          <w:szCs w:val="18"/>
          <w:color w:val="auto"/>
        </w:rPr>
        <w:t>. The Guarantor hereby (i) consents, acknowledges and agrees to the amendment and restatement of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Agreement provided hereby and set forth herein, (ii) 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b w:val="1"/>
          <w:bCs w:val="1"/>
          <w:u w:val="single" w:color="auto"/>
          <w:color w:val="auto"/>
        </w:rPr>
        <w:t>PRO RATA TREATMENT</w:t>
      </w:r>
      <w:r>
        <w:rPr>
          <w:rFonts w:ascii="Arial" w:cs="Arial" w:eastAsia="Arial" w:hAnsi="Arial"/>
          <w:sz w:val="18"/>
          <w:szCs w:val="18"/>
          <w:b w:val="1"/>
          <w:bCs w:val="1"/>
          <w:color w:val="auto"/>
        </w:rPr>
        <w:t>.</w:t>
      </w:r>
    </w:p>
    <w:p>
      <w:pPr>
        <w:spacing w:after="0" w:line="96" w:lineRule="exact"/>
        <w:rPr>
          <w:sz w:val="20"/>
          <w:szCs w:val="20"/>
          <w:color w:val="auto"/>
        </w:rPr>
      </w:pPr>
    </w:p>
    <w:p>
      <w:pPr>
        <w:ind w:left="460" w:right="180" w:firstLine="443"/>
        <w:spacing w:after="0" w:line="306" w:lineRule="auto"/>
        <w:tabs>
          <w:tab w:leader="none" w:pos="1137"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set forth herein, each payment or prepayment of principal and interest received after the occurrence of an Event of Default hereunder shall be distributed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among the Banks, in accordance with the aggregate outstanding principal amount of the Obligations owing to each Bank divided by the aggregate outstanding principal amount of all Obligations.</w:t>
      </w:r>
    </w:p>
    <w:p>
      <w:pPr>
        <w:spacing w:after="0" w:line="25" w:lineRule="exact"/>
        <w:rPr>
          <w:rFonts w:ascii="Arial" w:cs="Arial" w:eastAsia="Arial" w:hAnsi="Arial"/>
          <w:sz w:val="16"/>
          <w:szCs w:val="16"/>
          <w:color w:val="auto"/>
        </w:rPr>
      </w:pPr>
    </w:p>
    <w:p>
      <w:pPr>
        <w:ind w:left="460" w:right="60" w:firstLine="443"/>
        <w:spacing w:after="0" w:line="291" w:lineRule="auto"/>
        <w:tabs>
          <w:tab w:leader="none" w:pos="1147"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Bank agrees that if it shall, through the exercise of a right of banker’s lien, setoff or counterclaim against the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w:t>
      </w:r>
    </w:p>
    <w:p>
      <w:pPr>
        <w:spacing w:after="0" w:line="106" w:lineRule="exact"/>
        <w:rPr>
          <w:rFonts w:ascii="Arial" w:cs="Arial" w:eastAsia="Arial" w:hAnsi="Arial"/>
          <w:sz w:val="16"/>
          <w:szCs w:val="16"/>
          <w:color w:val="auto"/>
        </w:rPr>
      </w:pPr>
    </w:p>
    <w:p>
      <w:pPr>
        <w:ind w:left="5620" w:hanging="96"/>
        <w:spacing w:after="0"/>
        <w:tabs>
          <w:tab w:leader="none" w:pos="56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1420"/>
          </w:cols>
          <w:pgMar w:left="240" w:top="280" w:right="239" w:bottom="1440" w:gutter="0" w:footer="0" w:header="0"/>
        </w:sectPr>
      </w:pPr>
    </w:p>
    <w:bookmarkStart w:id="106" w:name="page107"/>
    <w:bookmarkEnd w:id="106"/>
    <w:p>
      <w:pPr>
        <w:ind w:left="4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 all Notes and Obligations outstanding prior to such exercise of banker’s lien, setoff or counterclaim; provided, however, that (i) 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Syndicated Loans or subparticipations in Reimbursement Obligations or Swing Line Loans to any assignee or participant, other than an assignment to the Borrower or any Subsidiary thereof (as to which the provisions of this Section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12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§30. </w:t>
      </w:r>
      <w:r>
        <w:rPr>
          <w:rFonts w:ascii="Arial" w:cs="Arial" w:eastAsia="Arial" w:hAnsi="Arial"/>
          <w:sz w:val="18"/>
          <w:szCs w:val="18"/>
          <w:b w:val="1"/>
          <w:bCs w:val="1"/>
          <w:u w:val="single" w:color="auto"/>
          <w:color w:val="auto"/>
        </w:rPr>
        <w:t>FINAL AGREEMENT</w:t>
      </w:r>
      <w:r>
        <w:rPr>
          <w:rFonts w:ascii="Arial" w:cs="Arial" w:eastAsia="Arial" w:hAnsi="Arial"/>
          <w:sz w:val="18"/>
          <w:szCs w:val="18"/>
          <w:color w:val="auto"/>
        </w:rPr>
        <w:t>. THIS AGREEMENT AND THE OTHER LOAN DOCUMENTS REPRESENT THE FINAL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MAY NOT BE CONTRADICTED BY EVIDENCE OF PRIOR, CONTEMPORANEOUS, OR SUBSEQUENT ORAL AGREEMENTS OF THE PARTIES. THERE ARE NO UNWRITTEN ORAL AGREEMENTS BETWEEN THE PARTIES.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USA PATRIOT ACT</w:t>
      </w:r>
      <w:r>
        <w:rPr>
          <w:rFonts w:ascii="Arial" w:cs="Arial" w:eastAsia="Arial" w:hAnsi="Arial"/>
          <w:sz w:val="18"/>
          <w:szCs w:val="18"/>
          <w:color w:val="auto"/>
        </w:rPr>
        <w:t>. Each Bank hereby notifies the Borrower that pursuant to the requirements of the USA Patriot Act, it is required to obtain, verify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 information that identifies the Borrower, which information includes the name and address of the Borrower and other information that will allow such Bank to identify the Borrower in accordance with the USA Patriot Act. Each Borrower and each of its Subsidiaries shall provide such information and take such actions as are reasonably requested by the Administrative Agent or any Bank in order to assist the Administrative Agent and the Banks in maintaining compliance with the USA Patriot Act.</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NO ADVISORY OR FIDUCIARY RESPONSIBILITY</w:t>
      </w:r>
      <w:r>
        <w:rPr>
          <w:rFonts w:ascii="Arial" w:cs="Arial" w:eastAsia="Arial" w:hAnsi="Arial"/>
          <w:sz w:val="18"/>
          <w:szCs w:val="18"/>
          <w:color w:val="auto"/>
        </w:rPr>
        <w:t>. In connection with all aspects of each transaction contemplated hereby (including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amendment, waiver or other modification hereof or of any other Loan Document), each of the Borrower and the Guarantor acknowledges and agrees, and acknowledges its affiliates’ understanding, that: (i) (A) the arranging and other services regarding this Agreement provided by the Administrative Agent, the Banks and the Lead Arrangers are arm’s-length commercial transactions between the Borrower, the Guarantor and their respective affiliates, on the one hand, and the Administrative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1400"/>
          </w:cols>
          <w:pgMar w:left="240" w:top="280" w:right="259" w:bottom="1440" w:gutter="0" w:footer="0" w:header="0"/>
        </w:sectPr>
      </w:pPr>
    </w:p>
    <w:bookmarkStart w:id="107" w:name="page108"/>
    <w:bookmarkEnd w:id="1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the Banks and the other Lead Arrangers, on the other hand, (B) each of the Borrower and the Guarantor has consulted its own legal, accounting, regulatory and tax advisors to the extent it has deemed appropriate, and (C) the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 writing by the relevant parties, has not been, is not, and will not be acting as an advisor, agent or fiduciary for the Borrower, the Guarantor or any of their respective affiliates, or any other Person and (B) neither the Administrative Agent nor any Bank nor any Lead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Borrower, the Guarantor and their respective affiliates, and neither the Administrative Agent nor any Bank nor any Lead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other Lead Arrangers with respect to any breach or alleged breach of any agency or fiduciary duty to the Borrower, the Guarantor or any of their respective affiliates in connection with any aspect of any transaction contemplated hereby.</w:t>
      </w:r>
    </w:p>
    <w:p>
      <w:pPr>
        <w:spacing w:after="0" w:line="115"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u w:val="single" w:color="auto"/>
          <w:color w:val="auto"/>
        </w:rPr>
        <w:t>PAYMENTS SET ASIDE</w:t>
      </w:r>
      <w:r>
        <w:rPr>
          <w:rFonts w:ascii="Arial" w:cs="Arial" w:eastAsia="Arial" w:hAnsi="Arial"/>
          <w:sz w:val="16"/>
          <w:szCs w:val="16"/>
          <w:color w:val="auto"/>
        </w:rPr>
        <w:t>. To the extent that any payment by or on behalf of the Borrower is made to the Administrative Agent, an Issuing Bank or any</w:t>
      </w:r>
      <w:r>
        <w:rPr>
          <w:rFonts w:ascii="Arial" w:cs="Arial" w:eastAsia="Arial" w:hAnsi="Arial"/>
          <w:sz w:val="16"/>
          <w:szCs w:val="16"/>
          <w:b w:val="1"/>
          <w:bCs w:val="1"/>
          <w:color w:val="auto"/>
        </w:rPr>
        <w:t xml:space="preserve"> </w:t>
      </w:r>
      <w:r>
        <w:rPr>
          <w:rFonts w:ascii="Arial" w:cs="Arial" w:eastAsia="Arial" w:hAnsi="Arial"/>
          <w:sz w:val="16"/>
          <w:szCs w:val="16"/>
          <w:color w:val="auto"/>
        </w:rPr>
        <w:t>Bank, or the Administrative Agent, an Issuing Bank or any 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is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- 94 -</w:t>
      </w:r>
    </w:p>
    <w:p>
      <w:pPr>
        <w:sectPr>
          <w:pgSz w:w="11900" w:h="16838" w:orient="portrait"/>
          <w:cols w:equalWidth="0" w:num="1">
            <w:col w:w="11400"/>
          </w:cols>
          <w:pgMar w:left="240" w:top="280" w:right="2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undersigned have duly executed this Agreement as of the date first set forth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THE BORROWER AND GUARANTOR: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Devina A. Rankin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Devina A. Rankin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&amp; Treasurer</w:t>
            </w:r>
          </w:p>
        </w:tc>
      </w:tr>
    </w:tbl>
    <w:p>
      <w:pPr>
        <w:spacing w:after="0" w:line="204" w:lineRule="exact"/>
        <w:rPr>
          <w:sz w:val="20"/>
          <w:szCs w:val="20"/>
          <w:color w:val="auto"/>
        </w:rPr>
      </w:pPr>
    </w:p>
    <w:p>
      <w:pPr>
        <w:jc w:val="right"/>
        <w:ind w:right="1140"/>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Devina A. Rankin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Devina A. Rankin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&amp; Treasurer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 Bennett</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Jeff Bennett</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Treasurer</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Second Amended and Restated Credit Agreement</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60"/>
          </w:cols>
          <w:pgMar w:left="700" w:top="274" w:right="239" w:bottom="1440" w:gutter="0" w:footer="0" w:header="0"/>
        </w:sectPr>
      </w:pPr>
    </w:p>
    <w:bookmarkStart w:id="109" w:name="page110"/>
    <w:bookmarkEnd w:id="109"/>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Administrative Agent</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Maria F. Maia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Maria F. Maia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0" w:name="page111"/>
    <w:bookmarkEnd w:id="110"/>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 xml:space="preserve">BANK OF AMERICA, N.A., </w:t>
      </w:r>
      <w:r>
        <w:rPr>
          <w:rFonts w:ascii="Arial" w:cs="Arial" w:eastAsia="Arial" w:hAnsi="Arial"/>
          <w:sz w:val="16"/>
          <w:szCs w:val="16"/>
          <w:color w:val="auto"/>
        </w:rPr>
        <w:t>as a Bank, Swing Line Bank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Issuing Bank</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Maria F. Maia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Maria F. Maia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1" w:name="page112"/>
    <w:bookmarkEnd w:id="11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JPMORGAN CHASE BANK, N.A., </w:t>
      </w:r>
      <w:r>
        <w:rPr>
          <w:rFonts w:ascii="Arial" w:cs="Arial" w:eastAsia="Arial" w:hAnsi="Arial"/>
          <w:sz w:val="16"/>
          <w:szCs w:val="16"/>
          <w:color w:val="auto"/>
        </w:rPr>
        <w:t>as a Bank and an Issuing</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Aized A. Rabbani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Aized A. Rabbani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Executive 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2" w:name="page113"/>
    <w:bookmarkEnd w:id="11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BARCLAYS BANK PLC, </w:t>
      </w:r>
      <w:r>
        <w:rPr>
          <w:rFonts w:ascii="Arial" w:cs="Arial" w:eastAsia="Arial" w:hAnsi="Arial"/>
          <w:sz w:val="16"/>
          <w:szCs w:val="16"/>
          <w:color w:val="auto"/>
        </w:rPr>
        <w:t>as a Bank and an Issuing Bank</w:t>
      </w:r>
    </w:p>
    <w:p>
      <w:pPr>
        <w:spacing w:after="0" w:line="254"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Irina Dimova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Irina Dimova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3" w:name="page114"/>
    <w:bookmarkEnd w:id="11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BNP PARIBAS, </w:t>
      </w:r>
      <w:r>
        <w:rPr>
          <w:rFonts w:ascii="Arial" w:cs="Arial" w:eastAsia="Arial" w:hAnsi="Arial"/>
          <w:sz w:val="18"/>
          <w:szCs w:val="18"/>
          <w:color w:val="auto"/>
        </w:rPr>
        <w:t>as a Bank and an Issuing Bank</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Todd Grossnickle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Todd Grossnickle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Hoffman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Michael Hoffman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4" w:name="page115"/>
    <w:bookmarkEnd w:id="11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Susan Manuelle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Susan Manuelle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Ming K. Chu</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Ming K. Chu</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S. McGill</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John S. McGill</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6" w:name="page117"/>
    <w:bookmarkEnd w:id="11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TOKYO-MITSUBISHI UFJ, LTD.</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Jason Krogh</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Jason Krogh</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7" w:name="page118"/>
    <w:bookmarkEnd w:id="11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Jeannine Pascal</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Jeannine Pascal</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8" w:name="page119"/>
    <w:bookmarkEnd w:id="118"/>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 BANK NATIONAL ASSOCIATION, </w:t>
      </w:r>
      <w:r>
        <w:rPr>
          <w:rFonts w:ascii="Arial" w:cs="Arial" w:eastAsia="Arial" w:hAnsi="Arial"/>
          <w:sz w:val="16"/>
          <w:szCs w:val="16"/>
          <w:color w:val="auto"/>
        </w:rPr>
        <w:t>as a Bank and an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Steven Dixon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Steven Dixon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19" w:name="page120"/>
    <w:bookmarkEnd w:id="11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WELLS FARGO BANK, NATIONAL ASSOCIATION, </w:t>
      </w:r>
      <w:r>
        <w:rPr>
          <w:rFonts w:ascii="Arial" w:cs="Arial" w:eastAsia="Arial" w:hAnsi="Arial"/>
          <w:sz w:val="16"/>
          <w:szCs w:val="16"/>
          <w:color w:val="auto"/>
        </w:rPr>
        <w:t>as a</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Bank and an Issuing Bank</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Olson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Matthew Olson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0" w:name="page121"/>
    <w:bookmarkEnd w:id="1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COMPASS BANK, </w:t>
      </w:r>
      <w:r>
        <w:rPr>
          <w:rFonts w:ascii="Arial" w:cs="Arial" w:eastAsia="Arial" w:hAnsi="Arial"/>
          <w:sz w:val="18"/>
          <w:szCs w:val="18"/>
          <w:color w:val="auto"/>
        </w:rPr>
        <w:t>as a Bank and an Issuing Bank</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Dixon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Michael Dixon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1" w:name="page122"/>
    <w:bookmarkEnd w:id="12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Vipul Dhadda</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Vipul Dhadda</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Alex Verdone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Alex Verdone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Associate</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2" w:name="page123"/>
    <w:bookmarkEnd w:id="12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GOLDMAN SACHS BANK USA</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Mark Walton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Mark Walton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3" w:name="page124"/>
    <w:bookmarkEnd w:id="12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MIZUHO BANK (USA)</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Tenya Mitsuboshi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Tenya Mitsuboshi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Deputy General Manager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4" w:name="page125"/>
    <w:bookmarkEnd w:id="12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PNC BANK, NATIONAL ASSOCIATION, </w:t>
      </w:r>
      <w:r>
        <w:rPr>
          <w:rFonts w:ascii="Arial" w:cs="Arial" w:eastAsia="Arial" w:hAnsi="Arial"/>
          <w:sz w:val="16"/>
          <w:szCs w:val="16"/>
          <w:color w:val="auto"/>
        </w:rPr>
        <w:t>as a Bank and an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Issuing Bank</w:t>
      </w:r>
    </w:p>
    <w:p>
      <w:pPr>
        <w:spacing w:after="0" w:line="219"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Jennifer L. Shafer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Jennifer L. Shafer</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5" w:name="page126"/>
    <w:bookmarkEnd w:id="12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NOVA SCOTIA</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Michelle Phillips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Michelle C. Phillips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6" w:name="page127"/>
    <w:bookmarkEnd w:id="12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COMERICA BANK</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L.J. Perenyi</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L.J. Perenyi</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7" w:name="page128"/>
    <w:bookmarkEnd w:id="127"/>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LLOYDS TSB BANK PLC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Dennis McClellan</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Dennis McClellan</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Vice President – M040</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Joel Slomko</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Joel Slomko</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Assistant Vice President – S088</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8" w:name="page129"/>
    <w:bookmarkEnd w:id="12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SUMITOMO MITSUI BANKING CORPORATION</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Shuji Yabe</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Shuji Yabe</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29" w:name="page130"/>
    <w:bookmarkEnd w:id="12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David B. Wirl</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David B. Wirl</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4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Second Amended and Restated Credit Agreement</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220"/>
          </w:cols>
          <w:pgMar w:left="1440" w:top="27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FORM OF SYNDICATED LOAN REQUEST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Second Amended and Restated Revolving Credit Agreement</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26, 2013</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u w:val="single" w:color="auto"/>
          <w:color w:val="auto"/>
        </w:rPr>
        <w:t>Syndicated Loan Request under §2.6(a)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-121920</wp:posOffset>
            </wp:positionV>
            <wp:extent cx="49225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-17780</wp:posOffset>
            </wp:positionV>
            <wp:extent cx="696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6595" cy="8890"/>
                    </a:xfrm>
                    <a:prstGeom prst="rect">
                      <a:avLst/>
                    </a:prstGeom>
                    <a:noFill/>
                  </pic:spPr>
                </pic:pic>
              </a:graphicData>
            </a:graphic>
          </wp:anchor>
        </w:drawing>
        <w:drawing>
          <wp:anchor simplePos="0" relativeHeight="251657728" behindDoc="1" locked="0" layoutInCell="0" allowOverlap="1">
            <wp:simplePos x="0" y="0"/>
            <wp:positionH relativeFrom="column">
              <wp:posOffset>4901565</wp:posOffset>
            </wp:positionH>
            <wp:positionV relativeFrom="paragraph">
              <wp:posOffset>118745</wp:posOffset>
            </wp:positionV>
            <wp:extent cx="8362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Loans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Amount of this Request</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Maximum Drawing Amount of outstanding Letters of</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6080" w:type="dxa"/>
            <w:vAlign w:val="bottom"/>
            <w:tcBorders>
              <w:bottom w:val="single" w:sz="8" w:color="CCEEFF"/>
            </w:tcBorders>
            <w:gridSpan w:val="6"/>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Credit</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ind w:left="420"/>
              <w:spacing w:after="0" w:line="176" w:lineRule="exact"/>
              <w:rPr>
                <w:sz w:val="20"/>
                <w:szCs w:val="20"/>
                <w:color w:val="auto"/>
              </w:rPr>
            </w:pPr>
            <w:r>
              <w:rPr>
                <w:rFonts w:ascii="Arial" w:cs="Arial" w:eastAsia="Arial" w:hAnsi="Arial"/>
                <w:sz w:val="18"/>
                <w:szCs w:val="18"/>
                <w:b w:val="1"/>
                <w:bCs w:val="1"/>
                <w:color w:val="auto"/>
              </w:rPr>
              <w:t>Canadian Dollar component</w:t>
            </w:r>
          </w:p>
        </w:tc>
        <w:tc>
          <w:tcPr>
            <w:tcW w:w="1660" w:type="dxa"/>
            <w:vAlign w:val="bottom"/>
            <w:tcBorders>
              <w:top w:val="single" w:sz="8" w:color="CCEEFF"/>
            </w:tcBorders>
            <w:gridSpan w:val="9"/>
          </w:tcPr>
          <w:p>
            <w:pPr>
              <w:spacing w:after="0" w:line="176" w:lineRule="exact"/>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gridSpan w:val="6"/>
            <w:shd w:val="clear" w:color="auto" w:fill="CCEEFF"/>
          </w:tcPr>
          <w:p>
            <w:pPr>
              <w:ind w:left="420"/>
              <w:spacing w:after="0" w:line="176" w:lineRule="exact"/>
              <w:rPr>
                <w:sz w:val="20"/>
                <w:szCs w:val="20"/>
                <w:color w:val="auto"/>
              </w:rPr>
            </w:pPr>
            <w:r>
              <w:rPr>
                <w:rFonts w:ascii="Arial" w:cs="Arial" w:eastAsia="Arial" w:hAnsi="Arial"/>
                <w:sz w:val="18"/>
                <w:szCs w:val="18"/>
                <w:b w:val="1"/>
                <w:bCs w:val="1"/>
                <w:color w:val="auto"/>
              </w:rPr>
              <w:t>U.S. Dollar Equivalent of C$ component</w:t>
            </w:r>
          </w:p>
        </w:tc>
        <w:tc>
          <w:tcPr>
            <w:tcW w:w="166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Total of all outstanding and requested Loans plus</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gridSpan w:val="6"/>
          </w:tcPr>
          <w:p>
            <w:pPr>
              <w:ind w:left="200"/>
              <w:spacing w:after="0"/>
              <w:rPr>
                <w:sz w:val="20"/>
                <w:szCs w:val="20"/>
                <w:color w:val="auto"/>
              </w:rPr>
            </w:pPr>
            <w:r>
              <w:rPr>
                <w:rFonts w:ascii="Arial" w:cs="Arial" w:eastAsia="Arial" w:hAnsi="Arial"/>
                <w:sz w:val="18"/>
                <w:szCs w:val="18"/>
                <w:b w:val="1"/>
                <w:bCs w:val="1"/>
                <w:color w:val="auto"/>
              </w:rPr>
              <w:t>Maximum Drawing Amount of all outstanding Letters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80" w:type="dxa"/>
            <w:vAlign w:val="bottom"/>
            <w:gridSpan w:val="6"/>
          </w:tcPr>
          <w:p>
            <w:pPr>
              <w:ind w:left="200"/>
              <w:spacing w:after="0" w:line="190" w:lineRule="exact"/>
              <w:rPr>
                <w:sz w:val="20"/>
                <w:szCs w:val="20"/>
                <w:color w:val="auto"/>
              </w:rPr>
            </w:pPr>
            <w:r>
              <w:rPr>
                <w:rFonts w:ascii="Arial" w:cs="Arial" w:eastAsia="Arial" w:hAnsi="Arial"/>
                <w:sz w:val="18"/>
                <w:szCs w:val="18"/>
                <w:b w:val="1"/>
                <w:bCs w:val="1"/>
                <w:color w:val="auto"/>
              </w:rPr>
              <w:t>of Credit plus Amount of this Request (must not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gridSpan w:val="6"/>
          </w:tcPr>
          <w:p>
            <w:pPr>
              <w:ind w:left="200"/>
              <w:spacing w:after="0" w:line="196" w:lineRule="exact"/>
              <w:rPr>
                <w:sz w:val="20"/>
                <w:szCs w:val="20"/>
                <w:color w:val="auto"/>
              </w:rPr>
            </w:pPr>
            <w:r>
              <w:rPr>
                <w:rFonts w:ascii="Arial" w:cs="Arial" w:eastAsia="Arial" w:hAnsi="Arial"/>
                <w:sz w:val="18"/>
                <w:szCs w:val="18"/>
                <w:b w:val="1"/>
                <w:bCs w:val="1"/>
                <w:color w:val="auto"/>
              </w:rPr>
              <w:t>exceed Total Commitment)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Proposed Drawdown Date</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Interest Rate Option (Base Rate or Eurodollar)</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Interest Period (if Eurodollar)</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Conversion under §2.7</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Amount to be converted from Eurodollar to Base Rate:</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Amount to be converted from Base Rate to Eurodollar:</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Amount to be maintained as Eurodollar Loan</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80" w:type="dxa"/>
            <w:vAlign w:val="bottom"/>
            <w:tcBorders>
              <w:top w:val="single" w:sz="8" w:color="CCEEFF"/>
            </w:tcBorders>
            <w:gridSpan w:val="6"/>
          </w:tcPr>
          <w:p>
            <w:pPr>
              <w:spacing w:after="0" w:line="176" w:lineRule="exact"/>
              <w:rPr>
                <w:sz w:val="20"/>
                <w:szCs w:val="20"/>
                <w:color w:val="auto"/>
              </w:rPr>
            </w:pPr>
            <w:r>
              <w:rPr>
                <w:rFonts w:ascii="Arial" w:cs="Arial" w:eastAsia="Arial" w:hAnsi="Arial"/>
                <w:sz w:val="18"/>
                <w:szCs w:val="18"/>
                <w:b w:val="1"/>
                <w:bCs w:val="1"/>
                <w:color w:val="auto"/>
              </w:rPr>
              <w:t>Conversion Date</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42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48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080" w:type="dxa"/>
            <w:vAlign w:val="bottom"/>
            <w:tcBorders>
              <w:bottom w:val="single" w:sz="8" w:color="CCEEFF"/>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Interest Period (if Eurodollar)</w:t>
            </w: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27038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-17780</wp:posOffset>
            </wp:positionV>
            <wp:extent cx="25361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-17780</wp:posOffset>
            </wp:positionV>
            <wp:extent cx="25920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-13970</wp:posOffset>
            </wp:positionV>
            <wp:extent cx="2592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9"/>
              </w:rPr>
              <w:t>FORM OF SWING LINE LOAN NOTICE</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8"/>
          </w:tcPr>
          <w:p>
            <w:pPr>
              <w:jc w:val="center"/>
              <w:ind w:right="900"/>
              <w:spacing w:after="0"/>
              <w:rPr>
                <w:sz w:val="20"/>
                <w:szCs w:val="20"/>
                <w:color w:val="auto"/>
              </w:rPr>
            </w:pPr>
            <w:r>
              <w:rPr>
                <w:rFonts w:ascii="Arial" w:cs="Arial" w:eastAsia="Arial" w:hAnsi="Arial"/>
                <w:sz w:val="18"/>
                <w:szCs w:val="18"/>
                <w:b w:val="1"/>
                <w:bCs w:val="1"/>
                <w:color w:val="auto"/>
                <w:w w:val="97"/>
              </w:rPr>
              <w:t>WASTE MANAGEMENT, INC.</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10"/>
          </w:tcPr>
          <w:p>
            <w:pPr>
              <w:jc w:val="center"/>
              <w:ind w:left="1492"/>
              <w:spacing w:after="0"/>
              <w:rPr>
                <w:sz w:val="20"/>
                <w:szCs w:val="20"/>
                <w:color w:val="auto"/>
              </w:rPr>
            </w:pPr>
            <w:r>
              <w:rPr>
                <w:rFonts w:ascii="Arial" w:cs="Arial" w:eastAsia="Arial" w:hAnsi="Arial"/>
                <w:sz w:val="18"/>
                <w:szCs w:val="18"/>
                <w:color w:val="auto"/>
                <w:w w:val="88"/>
              </w:rPr>
              <w:t>Second Amended and Restated Revolving Credit Agreement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140" w:type="dxa"/>
            <w:vAlign w:val="bottom"/>
            <w:gridSpan w:val="10"/>
          </w:tcPr>
          <w:p>
            <w:pPr>
              <w:jc w:val="center"/>
              <w:ind w:left="1492"/>
              <w:spacing w:after="0" w:line="184" w:lineRule="exact"/>
              <w:rPr>
                <w:sz w:val="20"/>
                <w:szCs w:val="20"/>
                <w:color w:val="auto"/>
              </w:rPr>
            </w:pPr>
            <w:r>
              <w:rPr>
                <w:rFonts w:ascii="Arial" w:cs="Arial" w:eastAsia="Arial" w:hAnsi="Arial"/>
                <w:sz w:val="18"/>
                <w:szCs w:val="18"/>
                <w:color w:val="auto"/>
                <w:w w:val="89"/>
              </w:rPr>
              <w:t>(the “Credit Agreement”) dated as of July 26, 2013</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40" w:type="dxa"/>
            <w:vAlign w:val="bottom"/>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Swing Line Loan Request under §2.11</w:t>
            </w: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8"/>
                <w:szCs w:val="18"/>
                <w:b w:val="1"/>
                <w:bCs w:val="1"/>
                <w:color w:val="auto"/>
              </w:rPr>
              <w:t>Total Commitment</w:t>
            </w:r>
          </w:p>
        </w:tc>
        <w:tc>
          <w:tcPr>
            <w:tcW w:w="3320" w:type="dxa"/>
            <w:vAlign w:val="bottom"/>
            <w:tcBorders>
              <w:top w:val="single" w:sz="8" w:color="CCEEFF"/>
            </w:tcBorders>
            <w:gridSpan w:val="7"/>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4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40" w:type="dxa"/>
            <w:vAlign w:val="bottom"/>
            <w:tcBorders>
              <w:bottom w:val="single" w:sz="8" w:color="CCEEFF"/>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Loans outstanding</w:t>
            </w:r>
          </w:p>
        </w:tc>
        <w:tc>
          <w:tcPr>
            <w:tcW w:w="3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tcBorders>
              <w:top w:val="single" w:sz="8" w:color="CCEEFF"/>
            </w:tcBorders>
            <w:gridSpan w:val="10"/>
          </w:tcPr>
          <w:p>
            <w:pPr>
              <w:spacing w:after="0" w:line="176" w:lineRule="exact"/>
              <w:rPr>
                <w:sz w:val="20"/>
                <w:szCs w:val="20"/>
                <w:color w:val="auto"/>
              </w:rPr>
            </w:pPr>
            <w:r>
              <w:rPr>
                <w:rFonts w:ascii="Arial" w:cs="Arial" w:eastAsia="Arial" w:hAnsi="Arial"/>
                <w:sz w:val="18"/>
                <w:szCs w:val="18"/>
                <w:b w:val="1"/>
                <w:bCs w:val="1"/>
                <w:color w:val="auto"/>
              </w:rPr>
              <w:t>Amount of this requested Swing Line Loan (must not exceed the</w:t>
            </w: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4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CCEEFF"/>
              <w:bottom w:val="single" w:sz="8" w:color="auto"/>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10"/>
          </w:tcPr>
          <w:p>
            <w:pPr>
              <w:ind w:left="200"/>
              <w:spacing w:after="0" w:line="196" w:lineRule="exact"/>
              <w:rPr>
                <w:sz w:val="20"/>
                <w:szCs w:val="20"/>
                <w:color w:val="auto"/>
              </w:rPr>
            </w:pPr>
            <w:r>
              <w:rPr>
                <w:rFonts w:ascii="Arial" w:cs="Arial" w:eastAsia="Arial" w:hAnsi="Arial"/>
                <w:sz w:val="18"/>
                <w:szCs w:val="18"/>
                <w:b w:val="1"/>
                <w:bCs w:val="1"/>
                <w:color w:val="auto"/>
              </w:rPr>
              <w:t>Swing Line Sublimit)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40" w:type="dxa"/>
            <w:vAlign w:val="bottom"/>
            <w:tcBorders>
              <w:bottom w:val="single" w:sz="8" w:color="CCEEFF"/>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Maximum Drawing Amount of outstanding Letters of Credit</w:t>
            </w:r>
          </w:p>
        </w:tc>
        <w:tc>
          <w:tcPr>
            <w:tcW w:w="3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tcBorders>
              <w:top w:val="single" w:sz="8" w:color="CCEEFF"/>
            </w:tcBorders>
            <w:gridSpan w:val="10"/>
          </w:tcPr>
          <w:p>
            <w:pPr>
              <w:ind w:left="420"/>
              <w:spacing w:after="0" w:line="176" w:lineRule="exact"/>
              <w:rPr>
                <w:sz w:val="20"/>
                <w:szCs w:val="20"/>
                <w:color w:val="auto"/>
              </w:rPr>
            </w:pPr>
            <w:r>
              <w:rPr>
                <w:rFonts w:ascii="Arial" w:cs="Arial" w:eastAsia="Arial" w:hAnsi="Arial"/>
                <w:sz w:val="18"/>
                <w:szCs w:val="18"/>
                <w:b w:val="1"/>
                <w:bCs w:val="1"/>
                <w:color w:val="auto"/>
              </w:rPr>
              <w:t>Canadian Dollar component</w:t>
            </w:r>
          </w:p>
        </w:tc>
        <w:tc>
          <w:tcPr>
            <w:tcW w:w="1600" w:type="dxa"/>
            <w:vAlign w:val="bottom"/>
            <w:tcBorders>
              <w:top w:val="single" w:sz="8" w:color="CCEEFF"/>
            </w:tcBorders>
            <w:gridSpan w:val="8"/>
          </w:tcPr>
          <w:p>
            <w:pPr>
              <w:ind w:left="140"/>
              <w:spacing w:after="0" w:line="176" w:lineRule="exact"/>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10"/>
            <w:shd w:val="clear" w:color="auto" w:fill="CCEEFF"/>
          </w:tcPr>
          <w:p>
            <w:pPr>
              <w:ind w:left="420"/>
              <w:spacing w:after="0" w:line="176" w:lineRule="exact"/>
              <w:rPr>
                <w:sz w:val="20"/>
                <w:szCs w:val="20"/>
                <w:color w:val="auto"/>
              </w:rPr>
            </w:pPr>
            <w:r>
              <w:rPr>
                <w:rFonts w:ascii="Arial" w:cs="Arial" w:eastAsia="Arial" w:hAnsi="Arial"/>
                <w:sz w:val="18"/>
                <w:szCs w:val="18"/>
                <w:b w:val="1"/>
                <w:bCs w:val="1"/>
                <w:color w:val="auto"/>
              </w:rPr>
              <w:t>U.S. Dollar Equivalent of C$ component</w:t>
            </w:r>
          </w:p>
        </w:tc>
        <w:tc>
          <w:tcPr>
            <w:tcW w:w="1600" w:type="dxa"/>
            <w:vAlign w:val="bottom"/>
            <w:gridSpan w:val="8"/>
            <w:shd w:val="clear" w:color="auto" w:fill="CCEEFF"/>
          </w:tcPr>
          <w:p>
            <w:pPr>
              <w:ind w:left="140"/>
              <w:spacing w:after="0" w:line="176" w:lineRule="exact"/>
              <w:rPr>
                <w:sz w:val="20"/>
                <w:szCs w:val="20"/>
                <w:color w:val="auto"/>
              </w:rPr>
            </w:pPr>
            <w:r>
              <w:rPr>
                <w:rFonts w:ascii="Arial" w:cs="Arial" w:eastAsia="Arial" w:hAnsi="Arial"/>
                <w:sz w:val="18"/>
                <w:szCs w:val="18"/>
                <w:b w:val="1"/>
                <w:bCs w:val="1"/>
                <w:color w:val="auto"/>
              </w:rPr>
              <w:t>US$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40" w:type="dxa"/>
            <w:vAlign w:val="bottom"/>
            <w:tcBorders>
              <w:top w:val="single" w:sz="8" w:color="CCEEFF"/>
            </w:tcBorders>
            <w:gridSpan w:val="10"/>
          </w:tcPr>
          <w:p>
            <w:pPr>
              <w:spacing w:after="0" w:line="176" w:lineRule="exact"/>
              <w:rPr>
                <w:sz w:val="20"/>
                <w:szCs w:val="20"/>
                <w:color w:val="auto"/>
              </w:rPr>
            </w:pPr>
            <w:r>
              <w:rPr>
                <w:rFonts w:ascii="Arial" w:cs="Arial" w:eastAsia="Arial" w:hAnsi="Arial"/>
                <w:sz w:val="18"/>
                <w:szCs w:val="18"/>
                <w:b w:val="1"/>
                <w:bCs w:val="1"/>
                <w:color w:val="auto"/>
              </w:rPr>
              <w:t>Total of all outstanding and requested Loans plus Maximum</w:t>
            </w:r>
          </w:p>
        </w:tc>
        <w:tc>
          <w:tcPr>
            <w:tcW w:w="3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10"/>
          </w:tcPr>
          <w:p>
            <w:pPr>
              <w:ind w:left="200"/>
              <w:spacing w:after="0" w:line="196" w:lineRule="exact"/>
              <w:rPr>
                <w:sz w:val="20"/>
                <w:szCs w:val="20"/>
                <w:color w:val="auto"/>
              </w:rPr>
            </w:pPr>
            <w:r>
              <w:rPr>
                <w:rFonts w:ascii="Arial" w:cs="Arial" w:eastAsia="Arial" w:hAnsi="Arial"/>
                <w:sz w:val="18"/>
                <w:szCs w:val="18"/>
                <w:b w:val="1"/>
                <w:bCs w:val="1"/>
                <w:color w:val="auto"/>
              </w:rPr>
              <w:t>Drawing Amount of all outstanding Letters of Credit plus</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7"/>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10"/>
          </w:tcPr>
          <w:p>
            <w:pPr>
              <w:ind w:left="200"/>
              <w:spacing w:after="0" w:line="196" w:lineRule="exact"/>
              <w:rPr>
                <w:sz w:val="20"/>
                <w:szCs w:val="20"/>
                <w:color w:val="auto"/>
              </w:rPr>
            </w:pPr>
            <w:r>
              <w:rPr>
                <w:rFonts w:ascii="Arial" w:cs="Arial" w:eastAsia="Arial" w:hAnsi="Arial"/>
                <w:sz w:val="18"/>
                <w:szCs w:val="18"/>
                <w:b w:val="1"/>
                <w:bCs w:val="1"/>
                <w:color w:val="auto"/>
              </w:rPr>
              <w:t>amount requested in this notice (must not exceed Total</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10"/>
          </w:tcPr>
          <w:p>
            <w:pPr>
              <w:ind w:left="200"/>
              <w:spacing w:after="0" w:line="196" w:lineRule="exact"/>
              <w:rPr>
                <w:sz w:val="20"/>
                <w:szCs w:val="20"/>
                <w:color w:val="auto"/>
              </w:rPr>
            </w:pPr>
            <w:r>
              <w:rPr>
                <w:rFonts w:ascii="Arial" w:cs="Arial" w:eastAsia="Arial" w:hAnsi="Arial"/>
                <w:sz w:val="18"/>
                <w:szCs w:val="18"/>
                <w:b w:val="1"/>
                <w:bCs w:val="1"/>
                <w:color w:val="auto"/>
              </w:rPr>
              <w:t>Commitment)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40" w:type="dxa"/>
            <w:vAlign w:val="bottom"/>
            <w:tcBorders>
              <w:bottom w:val="single" w:sz="8" w:color="CCEEFF"/>
            </w:tcBorders>
            <w:gridSpan w:val="10"/>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Proposed Drawdown Date</w:t>
            </w:r>
          </w:p>
        </w:tc>
        <w:tc>
          <w:tcPr>
            <w:tcW w:w="3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27038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-17780</wp:posOffset>
            </wp:positionV>
            <wp:extent cx="25361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-17780</wp:posOffset>
            </wp:positionV>
            <wp:extent cx="25920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-13970</wp:posOffset>
            </wp:positionV>
            <wp:extent cx="25920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FORM OF LETTER OF CREDIT REQUEST</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Second Amended and Restated Revolving Credit Agreement</w:t>
      </w:r>
    </w:p>
    <w:p>
      <w:pPr>
        <w:spacing w:after="0" w:line="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26, 2013</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u w:val="single" w:color="auto"/>
          <w:color w:val="auto"/>
        </w:rPr>
        <w:t>Letter of Credit Request Under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-121920</wp:posOffset>
            </wp:positionV>
            <wp:extent cx="49225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-17780</wp:posOffset>
            </wp:positionV>
            <wp:extent cx="6413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b w:val="1"/>
          <w:bCs w:val="1"/>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-129540</wp:posOffset>
            </wp:positionV>
            <wp:extent cx="49225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b w:val="1"/>
          <w:bCs w:val="1"/>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5096510</wp:posOffset>
            </wp:positionH>
            <wp:positionV relativeFrom="paragraph">
              <wp:posOffset>-17780</wp:posOffset>
            </wp:positionV>
            <wp:extent cx="6413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b w:val="1"/>
          <w:bCs w:val="1"/>
          <w:color w:val="auto"/>
        </w:rPr>
        <w:t>— U.S. Dollars</w:t>
      </w:r>
    </w:p>
    <w:p>
      <w:pPr>
        <w:spacing w:after="0" w:line="9" w:lineRule="exact"/>
        <w:rPr>
          <w:sz w:val="20"/>
          <w:szCs w:val="20"/>
          <w:color w:val="auto"/>
        </w:rPr>
      </w:pPr>
    </w:p>
    <w:p>
      <w:pPr>
        <w:ind w:left="1380" w:right="7600" w:firstLine="432"/>
        <w:spacing w:after="0" w:line="281" w:lineRule="auto"/>
        <w:rPr>
          <w:sz w:val="20"/>
          <w:szCs w:val="20"/>
          <w:color w:val="auto"/>
        </w:rPr>
      </w:pPr>
      <w:r>
        <w:rPr>
          <w:rFonts w:ascii="Arial" w:cs="Arial" w:eastAsia="Arial" w:hAnsi="Arial"/>
          <w:sz w:val="16"/>
          <w:szCs w:val="16"/>
          <w:b w:val="1"/>
          <w:bCs w:val="1"/>
          <w:color w:val="auto"/>
        </w:rPr>
        <w:t>— Canadian Dollars Loans Outstanding</w:t>
      </w:r>
    </w:p>
    <w:p>
      <w:pPr>
        <w:spacing w:after="0" w:line="1" w:lineRule="exact"/>
        <w:rPr>
          <w:sz w:val="20"/>
          <w:szCs w:val="20"/>
          <w:color w:val="auto"/>
        </w:rPr>
      </w:pPr>
    </w:p>
    <w:p>
      <w:pPr>
        <w:ind w:left="1600" w:right="3520" w:hanging="216"/>
        <w:spacing w:after="0" w:line="361" w:lineRule="auto"/>
        <w:rPr>
          <w:sz w:val="20"/>
          <w:szCs w:val="20"/>
          <w:color w:val="auto"/>
        </w:rPr>
      </w:pPr>
      <w:r>
        <w:rPr>
          <w:rFonts w:ascii="Arial" w:cs="Arial" w:eastAsia="Arial" w:hAnsi="Arial"/>
          <w:sz w:val="15"/>
          <w:szCs w:val="15"/>
          <w:b w:val="1"/>
          <w:bCs w:val="1"/>
          <w:color w:val="auto"/>
        </w:rPr>
        <w:t xml:space="preserve">Maximum Drawing Amount of all outstanding and Requested Letters of Credit (must not exceed the Total Commitment </w:t>
      </w:r>
      <w:r>
        <w:rPr>
          <w:rFonts w:ascii="Arial" w:cs="Arial" w:eastAsia="Arial" w:hAnsi="Arial"/>
          <w:sz w:val="15"/>
          <w:szCs w:val="15"/>
          <w:b w:val="1"/>
          <w:bCs w:val="1"/>
          <w:u w:val="single" w:color="auto"/>
          <w:color w:val="auto"/>
        </w:rPr>
        <w:t>minus</w:t>
      </w:r>
      <w:r>
        <w:rPr>
          <w:rFonts w:ascii="Arial" w:cs="Arial" w:eastAsia="Arial" w:hAnsi="Arial"/>
          <w:sz w:val="15"/>
          <w:szCs w:val="15"/>
          <w:b w:val="1"/>
          <w:bCs w:val="1"/>
          <w:color w:val="auto"/>
        </w:rPr>
        <w:t xml:space="preserve">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-739140</wp:posOffset>
            </wp:positionV>
            <wp:extent cx="49225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-490220</wp:posOffset>
            </wp:positionV>
            <wp:extent cx="6413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1350" cy="8890"/>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-464820</wp:posOffset>
            </wp:positionV>
            <wp:extent cx="49225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5096510</wp:posOffset>
            </wp:positionH>
            <wp:positionV relativeFrom="paragraph">
              <wp:posOffset>-78740</wp:posOffset>
            </wp:positionV>
            <wp:extent cx="64135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-13970</wp:posOffset>
            </wp:positionV>
            <wp:extent cx="27038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0383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-17780</wp:posOffset>
            </wp:positionV>
            <wp:extent cx="25361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3619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-17780</wp:posOffset>
            </wp:positionV>
            <wp:extent cx="25920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4330065</wp:posOffset>
            </wp:positionH>
            <wp:positionV relativeFrom="paragraph">
              <wp:posOffset>-13970</wp:posOffset>
            </wp:positionV>
            <wp:extent cx="25920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92070" cy="8890"/>
                    </a:xfrm>
                    <a:prstGeom prst="rect">
                      <a:avLst/>
                    </a:prstGeom>
                    <a:noFill/>
                  </pic:spPr>
                </pic:pic>
              </a:graphicData>
            </a:graphic>
          </wp:anchor>
        </w:drawing>
      </w:r>
    </w:p>
    <w:p>
      <w:pPr>
        <w:sectPr>
          <w:pgSz w:w="11900" w:h="16838" w:orient="portrait"/>
          <w:cols w:equalWidth="0" w:num="1">
            <w:col w:w="10960"/>
          </w:cols>
          <w:pgMar w:left="700" w:top="27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COMPLIANCE CERTIFICATE</w:t>
      </w:r>
    </w:p>
    <w:p>
      <w:pPr>
        <w:spacing w:after="0" w:line="177"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Compliance Certificate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6694170</wp:posOffset>
            </wp:positionH>
            <wp:positionV relativeFrom="paragraph">
              <wp:posOffset>-13970</wp:posOffset>
            </wp:positionV>
            <wp:extent cx="5575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45"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 xml:space="preserve">, [Chief Financial Officer] [Chief Accounting Officer] [Corporate Treasurer] of </w:t>
      </w:r>
      <w:r>
        <w:rPr>
          <w:rFonts w:ascii="Arial" w:cs="Arial" w:eastAsia="Arial" w:hAnsi="Arial"/>
          <w:sz w:val="16"/>
          <w:szCs w:val="16"/>
          <w:b w:val="1"/>
          <w:bCs w:val="1"/>
          <w:color w:val="auto"/>
        </w:rPr>
        <w:t>WASTE MANAGEMENT, INC.</w:t>
      </w:r>
      <w:r>
        <w:rPr>
          <w:rFonts w:ascii="Arial" w:cs="Arial" w:eastAsia="Arial" w:hAnsi="Arial"/>
          <w:sz w:val="16"/>
          <w:szCs w:val="16"/>
          <w:color w:val="auto"/>
        </w:rPr>
        <w:t xml:space="preserve"> (the “Borrower”) certify that</w:t>
      </w:r>
    </w:p>
    <w:p>
      <w:pPr>
        <w:spacing w:after="0" w:line="44" w:lineRule="exact"/>
        <w:rPr>
          <w:sz w:val="20"/>
          <w:szCs w:val="20"/>
          <w:color w:val="auto"/>
        </w:rPr>
      </w:pPr>
    </w:p>
    <w:p>
      <w:pPr>
        <w:ind w:right="100" w:firstLine="8"/>
        <w:spacing w:after="0" w:line="281" w:lineRule="auto"/>
        <w:tabs>
          <w:tab w:leader="none" w:pos="2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 Default or Event of Default exists, (ii) the Borrower is in compliance with §§7, 8 and 9 of the Second Amended and Restated Revolving Credit Agreement dated as of July 26, 2013 (as amended, modified, supplemented, restated and in effect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(iii) the calculation of the</w:t>
      </w:r>
    </w:p>
    <w:tbl>
      <w:tblPr>
        <w:tblLayout w:type="fixed"/>
        <w:tblInd w:w="0" w:type="dxa"/>
        <w:tblCellMar>
          <w:top w:w="0" w:type="dxa"/>
          <w:left w:w="0" w:type="dxa"/>
          <w:bottom w:w="0" w:type="dxa"/>
          <w:right w:w="0" w:type="dxa"/>
        </w:tblCellMar>
      </w:tblPr>
      <w:tr>
        <w:trPr>
          <w:trHeight w:val="179"/>
        </w:trPr>
        <w:tc>
          <w:tcPr>
            <w:tcW w:w="10960" w:type="dxa"/>
            <w:vAlign w:val="bottom"/>
            <w:gridSpan w:val="8"/>
          </w:tcPr>
          <w:p>
            <w:pPr>
              <w:spacing w:after="0" w:line="179" w:lineRule="exact"/>
              <w:rPr>
                <w:sz w:val="20"/>
                <w:szCs w:val="20"/>
                <w:color w:val="auto"/>
              </w:rPr>
            </w:pPr>
            <w:r>
              <w:rPr>
                <w:rFonts w:ascii="Arial" w:cs="Arial" w:eastAsia="Arial" w:hAnsi="Arial"/>
                <w:sz w:val="18"/>
                <w:szCs w:val="18"/>
                <w:color w:val="auto"/>
                <w:w w:val="91"/>
              </w:rPr>
              <w:t>debt restrictions in Section 8.1 of the Credit Agreement attached hereto as Schedule 1 is true, correct and complete [as of the end of the quarter ended</w:t>
            </w:r>
          </w:p>
        </w:tc>
        <w:tc>
          <w:tcPr>
            <w:tcW w:w="400" w:type="dxa"/>
            <w:vAlign w:val="bottom"/>
          </w:tcPr>
          <w:p>
            <w:pPr>
              <w:jc w:val="right"/>
              <w:ind w:right="92"/>
              <w:spacing w:after="0" w:line="17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8"/>
        </w:trPr>
        <w:tc>
          <w:tcPr>
            <w:tcW w:w="10960" w:type="dxa"/>
            <w:vAlign w:val="bottom"/>
            <w:gridSpan w:val="8"/>
          </w:tcPr>
          <w:p>
            <w:pPr>
              <w:spacing w:after="0"/>
              <w:rPr>
                <w:sz w:val="20"/>
                <w:szCs w:val="20"/>
                <w:color w:val="auto"/>
              </w:rPr>
            </w:pPr>
            <w:r>
              <w:rPr>
                <w:rFonts w:ascii="Arial" w:cs="Arial" w:eastAsia="Arial" w:hAnsi="Arial"/>
                <w:sz w:val="18"/>
                <w:szCs w:val="18"/>
                <w:color w:val="auto"/>
                <w:w w:val="89"/>
              </w:rPr>
              <w:t>Computations to evidence compliance with §9 of the Credit Agreement are detailed below. Capitalized terms used herein without definition shall have the</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10960" w:type="dxa"/>
            <w:vAlign w:val="bottom"/>
            <w:gridSpan w:val="8"/>
          </w:tcPr>
          <w:p>
            <w:pPr>
              <w:spacing w:after="0"/>
              <w:rPr>
                <w:sz w:val="20"/>
                <w:szCs w:val="20"/>
                <w:color w:val="auto"/>
              </w:rPr>
            </w:pPr>
            <w:r>
              <w:rPr>
                <w:rFonts w:ascii="Arial" w:cs="Arial" w:eastAsia="Arial" w:hAnsi="Arial"/>
                <w:sz w:val="18"/>
                <w:szCs w:val="18"/>
                <w:color w:val="auto"/>
              </w:rPr>
              <w:t>meanings assigned to such terms in the Credit Agreement.</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19"/>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940" w:type="dxa"/>
            <w:vAlign w:val="bottom"/>
            <w:gridSpan w:val="4"/>
          </w:tcPr>
          <w:p>
            <w:pPr>
              <w:ind w:left="840"/>
              <w:spacing w:after="0"/>
              <w:rPr>
                <w:sz w:val="20"/>
                <w:szCs w:val="20"/>
                <w:color w:val="auto"/>
              </w:rPr>
            </w:pPr>
            <w:r>
              <w:rPr>
                <w:rFonts w:ascii="Arial" w:cs="Arial" w:eastAsia="Arial" w:hAnsi="Arial"/>
                <w:sz w:val="18"/>
                <w:szCs w:val="18"/>
                <w:b w:val="1"/>
                <w:bCs w:val="1"/>
                <w:color w:val="auto"/>
              </w:rPr>
              <w:t>WASTE MANAGEMENT, INC.</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4"/>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ind w:left="840"/>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gridSpan w:val="3"/>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3"/>
          </w:tcPr>
          <w:p>
            <w:pPr>
              <w:ind w:left="840"/>
              <w:spacing w:after="0" w:line="196" w:lineRule="exact"/>
              <w:rPr>
                <w:sz w:val="20"/>
                <w:szCs w:val="20"/>
                <w:color w:val="auto"/>
              </w:rPr>
            </w:pPr>
            <w:r>
              <w:rPr>
                <w:rFonts w:ascii="Arial" w:cs="Arial" w:eastAsia="Arial" w:hAnsi="Arial"/>
                <w:sz w:val="18"/>
                <w:szCs w:val="18"/>
                <w:color w:val="auto"/>
                <w:w w:val="90"/>
              </w:rPr>
              <w:t>Name:</w:t>
            </w:r>
          </w:p>
        </w:tc>
        <w:tc>
          <w:tcPr>
            <w:tcW w:w="36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60" w:type="dxa"/>
            <w:vAlign w:val="bottom"/>
            <w:gridSpan w:val="2"/>
          </w:tcPr>
          <w:p>
            <w:pPr>
              <w:ind w:left="840"/>
              <w:spacing w:after="0" w:line="196" w:lineRule="exact"/>
              <w:rPr>
                <w:sz w:val="20"/>
                <w:szCs w:val="20"/>
                <w:color w:val="auto"/>
              </w:rPr>
            </w:pPr>
            <w:r>
              <w:rPr>
                <w:rFonts w:ascii="Arial" w:cs="Arial" w:eastAsia="Arial" w:hAnsi="Arial"/>
                <w:sz w:val="18"/>
                <w:szCs w:val="18"/>
                <w:color w:val="auto"/>
              </w:rPr>
              <w:t>Title:</w:t>
            </w:r>
          </w:p>
        </w:tc>
        <w:tc>
          <w:tcPr>
            <w:tcW w:w="3680" w:type="dxa"/>
            <w:vAlign w:val="bottom"/>
            <w:tcBorders>
              <w:bottom w:val="single" w:sz="8" w:color="auto"/>
            </w:tcBorders>
            <w:gridSpan w:val="2"/>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bl>
    <w:p>
      <w:pPr>
        <w:spacing w:after="0" w:line="198"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w w:val="86"/>
              </w:rPr>
              <w:t>§9.1 Interest Coverage Ratio</w:t>
            </w:r>
          </w:p>
        </w:tc>
        <w:tc>
          <w:tcPr>
            <w:tcW w:w="34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Consolidated Net Income (or Deficit)</w:t>
            </w:r>
          </w:p>
        </w:tc>
        <w:tc>
          <w:tcPr>
            <w:tcW w:w="9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spacing w:after="0"/>
              <w:rPr>
                <w:sz w:val="15"/>
                <w:szCs w:val="15"/>
                <w:color w:val="auto"/>
              </w:rPr>
            </w:pPr>
          </w:p>
        </w:tc>
        <w:tc>
          <w:tcPr>
            <w:tcW w:w="320" w:type="dxa"/>
            <w:vAlign w:val="bottom"/>
          </w:tcPr>
          <w:p>
            <w:pPr>
              <w:spacing w:after="0" w:line="176" w:lineRule="exact"/>
              <w:rPr>
                <w:sz w:val="20"/>
                <w:szCs w:val="20"/>
                <w:color w:val="auto"/>
              </w:rPr>
            </w:pPr>
            <w:r>
              <w:rPr>
                <w:rFonts w:ascii="Arial" w:cs="Arial" w:eastAsia="Arial" w:hAnsi="Arial"/>
                <w:sz w:val="18"/>
                <w:szCs w:val="18"/>
                <w:b w:val="1"/>
                <w:bCs w:val="1"/>
                <w:color w:val="auto"/>
              </w:rPr>
              <w:t>(i)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Plus (without duplication):</w:t>
            </w: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40" w:type="dxa"/>
            <w:vAlign w:val="bottom"/>
            <w:tcBorders>
              <w:top w:val="single" w:sz="8" w:color="CCEEFF"/>
            </w:tcBorders>
            <w:gridSpan w:val="3"/>
          </w:tcPr>
          <w:p>
            <w:pPr>
              <w:ind w:left="100"/>
              <w:spacing w:after="0" w:line="176" w:lineRule="exact"/>
              <w:rPr>
                <w:sz w:val="20"/>
                <w:szCs w:val="20"/>
                <w:color w:val="auto"/>
              </w:rPr>
            </w:pPr>
            <w:r>
              <w:rPr>
                <w:rFonts w:ascii="Arial" w:cs="Arial" w:eastAsia="Arial" w:hAnsi="Arial"/>
                <w:sz w:val="18"/>
                <w:szCs w:val="18"/>
                <w:b w:val="1"/>
                <w:bCs w:val="1"/>
                <w:color w:val="auto"/>
              </w:rPr>
              <w:t>interest expense</w:t>
            </w:r>
          </w:p>
        </w:tc>
        <w:tc>
          <w:tcPr>
            <w:tcW w:w="9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b w:val="1"/>
                <w:bCs w:val="1"/>
                <w:color w:val="auto"/>
              </w:rPr>
              <w:t>equity in losses (earnings) of unconsolidated entities</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40" w:type="dxa"/>
            <w:vAlign w:val="bottom"/>
            <w:tcBorders>
              <w:top w:val="single" w:sz="8" w:color="CCEEFF"/>
            </w:tcBorders>
            <w:gridSpan w:val="3"/>
          </w:tcPr>
          <w:p>
            <w:pPr>
              <w:ind w:left="100"/>
              <w:spacing w:after="0" w:line="176" w:lineRule="exact"/>
              <w:rPr>
                <w:sz w:val="20"/>
                <w:szCs w:val="20"/>
                <w:color w:val="auto"/>
              </w:rPr>
            </w:pPr>
            <w:r>
              <w:rPr>
                <w:rFonts w:ascii="Arial" w:cs="Arial" w:eastAsia="Arial" w:hAnsi="Arial"/>
                <w:sz w:val="18"/>
                <w:szCs w:val="18"/>
                <w:b w:val="1"/>
                <w:bCs w:val="1"/>
                <w:color w:val="auto"/>
              </w:rPr>
              <w:t>income tax expense</w:t>
            </w:r>
          </w:p>
        </w:tc>
        <w:tc>
          <w:tcPr>
            <w:tcW w:w="9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(v)</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b w:val="1"/>
                <w:bCs w:val="1"/>
                <w:color w:val="auto"/>
              </w:rPr>
              <w:t>non-cash writedowns or writeoffs of assets</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16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b w:val="1"/>
                <w:bCs w:val="1"/>
                <w:color w:val="auto"/>
              </w:rPr>
              <w:t>Minus non-cash extraordinary gains on the sale of assets</w:t>
            </w:r>
          </w:p>
        </w:tc>
        <w:tc>
          <w:tcPr>
            <w:tcW w:w="9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5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EBIT (sum of (i) through (v) minus (vi))</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8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b w:val="1"/>
                <w:bCs w:val="1"/>
                <w:color w:val="auto"/>
              </w:rPr>
              <w:t>Consolidated Net Income of Acquired Businesses</w:t>
            </w:r>
          </w:p>
        </w:tc>
        <w:tc>
          <w:tcPr>
            <w:tcW w:w="9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1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Plus (without duplication):</w:t>
            </w:r>
          </w:p>
        </w:tc>
        <w:tc>
          <w:tcPr>
            <w:tcW w:w="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40" w:type="dxa"/>
            <w:vAlign w:val="bottom"/>
            <w:tcBorders>
              <w:top w:val="single" w:sz="8" w:color="CCEEFF"/>
            </w:tcBorders>
            <w:gridSpan w:val="3"/>
          </w:tcPr>
          <w:p>
            <w:pPr>
              <w:ind w:left="100"/>
              <w:spacing w:after="0" w:line="176" w:lineRule="exact"/>
              <w:rPr>
                <w:sz w:val="20"/>
                <w:szCs w:val="20"/>
                <w:color w:val="auto"/>
              </w:rPr>
            </w:pPr>
            <w:r>
              <w:rPr>
                <w:rFonts w:ascii="Arial" w:cs="Arial" w:eastAsia="Arial" w:hAnsi="Arial"/>
                <w:sz w:val="18"/>
                <w:szCs w:val="18"/>
                <w:b w:val="1"/>
                <w:bCs w:val="1"/>
                <w:color w:val="auto"/>
              </w:rPr>
              <w:t>interest expense</w:t>
            </w:r>
          </w:p>
        </w:tc>
        <w:tc>
          <w:tcPr>
            <w:tcW w:w="9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84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b w:val="1"/>
                <w:bCs w:val="1"/>
                <w:color w:val="auto"/>
              </w:rPr>
              <w:t>equity in losses (earnings) of unconsolidated entities</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3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4840" w:type="dxa"/>
            <w:vAlign w:val="bottom"/>
            <w:tcBorders>
              <w:top w:val="single" w:sz="8" w:color="CCEEFF"/>
            </w:tcBorders>
            <w:gridSpan w:val="3"/>
          </w:tcPr>
          <w:p>
            <w:pPr>
              <w:ind w:left="100"/>
              <w:spacing w:after="0" w:line="176" w:lineRule="exact"/>
              <w:rPr>
                <w:sz w:val="20"/>
                <w:szCs w:val="20"/>
                <w:color w:val="auto"/>
              </w:rPr>
            </w:pPr>
            <w:r>
              <w:rPr>
                <w:rFonts w:ascii="Arial" w:cs="Arial" w:eastAsia="Arial" w:hAnsi="Arial"/>
                <w:sz w:val="18"/>
                <w:szCs w:val="18"/>
                <w:b w:val="1"/>
                <w:bCs w:val="1"/>
                <w:color w:val="auto"/>
              </w:rPr>
              <w:t>income tax expense</w:t>
            </w:r>
          </w:p>
        </w:tc>
        <w:tc>
          <w:tcPr>
            <w:tcW w:w="9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bottom w:val="single" w:sz="8" w:color="auto"/>
            </w:tcBorders>
          </w:tcPr>
          <w:p>
            <w:pPr>
              <w:spacing w:after="0"/>
              <w:rPr>
                <w:sz w:val="15"/>
                <w:szCs w:val="15"/>
                <w:color w:val="auto"/>
              </w:rPr>
            </w:pPr>
          </w:p>
        </w:tc>
        <w:tc>
          <w:tcPr>
            <w:tcW w:w="3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(v)</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40" w:type="dxa"/>
            <w:vAlign w:val="bottom"/>
            <w:tcBorders>
              <w:bottom w:val="single" w:sz="8" w:color="CCEEFF"/>
            </w:tcBorders>
            <w:gridSpan w:val="3"/>
            <w:shd w:val="clear" w:color="auto" w:fill="CCEEFF"/>
          </w:tcPr>
          <w:p>
            <w:pPr>
              <w:ind w:left="100"/>
              <w:spacing w:after="0" w:line="176" w:lineRule="exact"/>
              <w:rPr>
                <w:sz w:val="20"/>
                <w:szCs w:val="20"/>
                <w:color w:val="auto"/>
              </w:rPr>
            </w:pPr>
            <w:r>
              <w:rPr>
                <w:rFonts w:ascii="Arial" w:cs="Arial" w:eastAsia="Arial" w:hAnsi="Arial"/>
                <w:sz w:val="18"/>
                <w:szCs w:val="18"/>
                <w:b w:val="1"/>
                <w:bCs w:val="1"/>
                <w:color w:val="auto"/>
              </w:rPr>
              <w:t>non-cash writedowns or write-offs of assets</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5160" w:type="dxa"/>
            <w:vAlign w:val="bottom"/>
            <w:tcBorders>
              <w:top w:val="single" w:sz="8" w:color="CCEEFF"/>
            </w:tcBorders>
            <w:gridSpan w:val="4"/>
          </w:tcPr>
          <w:p>
            <w:pPr>
              <w:spacing w:after="0" w:line="176" w:lineRule="exact"/>
              <w:rPr>
                <w:sz w:val="20"/>
                <w:szCs w:val="20"/>
                <w:color w:val="auto"/>
              </w:rPr>
            </w:pPr>
            <w:r>
              <w:rPr>
                <w:rFonts w:ascii="Arial" w:cs="Arial" w:eastAsia="Arial" w:hAnsi="Arial"/>
                <w:sz w:val="18"/>
                <w:szCs w:val="18"/>
                <w:b w:val="1"/>
                <w:bCs w:val="1"/>
                <w:color w:val="auto"/>
              </w:rPr>
              <w:t>Minus non-cash extraordinary gains on the sale of assets</w:t>
            </w:r>
          </w:p>
        </w:tc>
        <w:tc>
          <w:tcPr>
            <w:tcW w:w="96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EBIT of Acquired Businesses (sum of (i) through (v) minus (vi))</w:t>
            </w:r>
          </w:p>
        </w:tc>
        <w:tc>
          <w:tcPr>
            <w:tcW w:w="9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Sum of (a) plus (b)</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Consolidated Total Interest Expense</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Ratio of (c) to (d)</w:t>
            </w: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Minimum ratio</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2.75 : 1.00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§9.2 Total Debt to EBITDA</w:t>
            </w: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EBIT(from §9.1 item (c) above)</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Plus:</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620" w:type="dxa"/>
            <w:vAlign w:val="bottom"/>
            <w:tcBorders>
              <w:top w:val="single" w:sz="8" w:color="CCEEFF"/>
            </w:tcBorders>
            <w:gridSpan w:val="4"/>
          </w:tcPr>
          <w:p>
            <w:pPr>
              <w:ind w:left="120"/>
              <w:spacing w:after="0" w:line="176" w:lineRule="exact"/>
              <w:rPr>
                <w:sz w:val="20"/>
                <w:szCs w:val="20"/>
                <w:color w:val="auto"/>
              </w:rPr>
            </w:pPr>
            <w:r>
              <w:rPr>
                <w:rFonts w:ascii="Arial" w:cs="Arial" w:eastAsia="Arial" w:hAnsi="Arial"/>
                <w:sz w:val="18"/>
                <w:szCs w:val="18"/>
                <w:b w:val="1"/>
                <w:bCs w:val="1"/>
                <w:color w:val="auto"/>
              </w:rPr>
              <w:t>Depreciation expense</w:t>
            </w:r>
          </w:p>
        </w:tc>
        <w:tc>
          <w:tcPr>
            <w:tcW w:w="52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gridSpan w:val="2"/>
          </w:tcPr>
          <w:p>
            <w:pPr>
              <w:ind w:left="400"/>
              <w:spacing w:after="0" w:line="176" w:lineRule="exact"/>
              <w:rPr>
                <w:sz w:val="20"/>
                <w:szCs w:val="20"/>
                <w:color w:val="auto"/>
              </w:rPr>
            </w:pPr>
            <w:r>
              <w:rPr>
                <w:rFonts w:ascii="Arial" w:cs="Arial" w:eastAsia="Arial" w:hAnsi="Arial"/>
                <w:sz w:val="18"/>
                <w:szCs w:val="18"/>
                <w:b w:val="1"/>
                <w:bCs w:val="1"/>
                <w:color w:val="auto"/>
              </w:rPr>
              <w:t>(ii)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Amortization expense</w:t>
            </w:r>
          </w:p>
        </w:tc>
        <w:tc>
          <w:tcPr>
            <w:tcW w:w="5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20" w:type="dxa"/>
            <w:vAlign w:val="bottom"/>
            <w:gridSpan w:val="4"/>
          </w:tcPr>
          <w:p>
            <w:pPr>
              <w:ind w:left="120"/>
              <w:spacing w:after="0" w:line="176" w:lineRule="exact"/>
              <w:rPr>
                <w:sz w:val="20"/>
                <w:szCs w:val="20"/>
                <w:color w:val="auto"/>
              </w:rPr>
            </w:pPr>
            <w:r>
              <w:rPr>
                <w:rFonts w:ascii="Arial" w:cs="Arial" w:eastAsia="Arial" w:hAnsi="Arial"/>
                <w:sz w:val="18"/>
                <w:szCs w:val="18"/>
                <w:b w:val="1"/>
                <w:bCs w:val="1"/>
                <w:color w:val="auto"/>
              </w:rPr>
              <w:t>EBITDA (sum of (i) through (iii))</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(iv)</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The sum of the following (calculated on a consolidated basis for the</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rPr>
              <w:t>Borrower and its Subsidiaries):</w:t>
            </w: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20" w:type="dxa"/>
            <w:vAlign w:val="bottom"/>
            <w:gridSpan w:val="4"/>
          </w:tcPr>
          <w:p>
            <w:pPr>
              <w:ind w:left="120"/>
              <w:spacing w:after="0" w:line="176" w:lineRule="exact"/>
              <w:rPr>
                <w:sz w:val="20"/>
                <w:szCs w:val="20"/>
                <w:color w:val="auto"/>
              </w:rPr>
            </w:pPr>
            <w:r>
              <w:rPr>
                <w:rFonts w:ascii="Arial" w:cs="Arial" w:eastAsia="Arial" w:hAnsi="Arial"/>
                <w:sz w:val="18"/>
                <w:szCs w:val="18"/>
                <w:b w:val="1"/>
                <w:bCs w:val="1"/>
                <w:color w:val="auto"/>
              </w:rPr>
              <w:t>Indebtedness for borrowed money</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(v)</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Obligations for deferred purchase price of property or services</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4"/>
            <w:shd w:val="clear" w:color="auto" w:fill="CCEEFF"/>
          </w:tcPr>
          <w:p>
            <w:pPr>
              <w:ind w:left="320"/>
              <w:spacing w:after="0" w:line="190" w:lineRule="exact"/>
              <w:rPr>
                <w:sz w:val="20"/>
                <w:szCs w:val="20"/>
                <w:color w:val="auto"/>
              </w:rPr>
            </w:pPr>
            <w:r>
              <w:rPr>
                <w:rFonts w:ascii="Arial" w:cs="Arial" w:eastAsia="Arial" w:hAnsi="Arial"/>
                <w:sz w:val="18"/>
                <w:szCs w:val="18"/>
                <w:b w:val="1"/>
                <w:bCs w:val="1"/>
                <w:color w:val="auto"/>
              </w:rPr>
              <w:t>(other than trade payables)</w:t>
            </w:r>
          </w:p>
        </w:tc>
        <w:tc>
          <w:tcPr>
            <w:tcW w:w="5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(vi)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20" w:type="dxa"/>
            <w:vAlign w:val="bottom"/>
            <w:gridSpan w:val="4"/>
          </w:tcPr>
          <w:p>
            <w:pPr>
              <w:ind w:left="120"/>
              <w:spacing w:after="0" w:line="176" w:lineRule="exact"/>
              <w:rPr>
                <w:sz w:val="20"/>
                <w:szCs w:val="20"/>
                <w:color w:val="auto"/>
              </w:rPr>
            </w:pPr>
            <w:r>
              <w:rPr>
                <w:rFonts w:ascii="Arial" w:cs="Arial" w:eastAsia="Arial" w:hAnsi="Arial"/>
                <w:sz w:val="18"/>
                <w:szCs w:val="18"/>
                <w:b w:val="1"/>
                <w:bCs w:val="1"/>
                <w:color w:val="auto"/>
              </w:rPr>
              <w:t>Obligations evidenced by debt instruments</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(vii)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Obligations under conditional sales</w:t>
            </w:r>
          </w:p>
        </w:tc>
        <w:tc>
          <w:tcPr>
            <w:tcW w:w="52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(viii)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20" w:type="dxa"/>
            <w:vAlign w:val="bottom"/>
            <w:gridSpan w:val="4"/>
          </w:tcPr>
          <w:p>
            <w:pPr>
              <w:ind w:left="120"/>
              <w:spacing w:after="0" w:line="176" w:lineRule="exact"/>
              <w:rPr>
                <w:sz w:val="20"/>
                <w:szCs w:val="20"/>
                <w:color w:val="auto"/>
              </w:rPr>
            </w:pPr>
            <w:r>
              <w:rPr>
                <w:rFonts w:ascii="Arial" w:cs="Arial" w:eastAsia="Arial" w:hAnsi="Arial"/>
                <w:sz w:val="18"/>
                <w:szCs w:val="18"/>
                <w:b w:val="1"/>
                <w:bCs w:val="1"/>
                <w:color w:val="auto"/>
                <w:w w:val="96"/>
              </w:rPr>
              <w:t>Obligations, liabilities and indebtedness under Capitalized Leases</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(ix)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20" w:type="dxa"/>
            <w:vAlign w:val="bottom"/>
            <w:gridSpan w:val="4"/>
            <w:shd w:val="clear" w:color="auto" w:fill="CCEEFF"/>
          </w:tcPr>
          <w:p>
            <w:pPr>
              <w:ind w:left="120"/>
              <w:spacing w:after="0" w:line="201" w:lineRule="exact"/>
              <w:rPr>
                <w:sz w:val="20"/>
                <w:szCs w:val="20"/>
                <w:color w:val="auto"/>
              </w:rPr>
            </w:pPr>
            <w:r>
              <w:rPr>
                <w:rFonts w:ascii="Arial" w:cs="Arial" w:eastAsia="Arial" w:hAnsi="Arial"/>
                <w:sz w:val="18"/>
                <w:szCs w:val="18"/>
                <w:b w:val="1"/>
                <w:bCs w:val="1"/>
                <w:color w:val="auto"/>
              </w:rPr>
              <w:t>Obligations, liabilities and indebtedness under bonding</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2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w w:val="94"/>
              </w:rPr>
              <w:t>arrangements (to the extent that a surety has been called upon to</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20" w:type="dxa"/>
            <w:vAlign w:val="bottom"/>
            <w:tcBorders>
              <w:bottom w:val="single" w:sz="8" w:color="CCEEFF"/>
            </w:tcBorders>
            <w:gridSpan w:val="4"/>
            <w:shd w:val="clear" w:color="auto" w:fill="CCEEFF"/>
          </w:tcPr>
          <w:p>
            <w:pPr>
              <w:ind w:left="320"/>
              <w:spacing w:after="0" w:line="190" w:lineRule="exact"/>
              <w:rPr>
                <w:sz w:val="20"/>
                <w:szCs w:val="20"/>
                <w:color w:val="auto"/>
              </w:rPr>
            </w:pPr>
            <w:r>
              <w:rPr>
                <w:rFonts w:ascii="Arial" w:cs="Arial" w:eastAsia="Arial" w:hAnsi="Arial"/>
                <w:sz w:val="18"/>
                <w:szCs w:val="18"/>
                <w:b w:val="1"/>
                <w:bCs w:val="1"/>
                <w:color w:val="auto"/>
              </w:rPr>
              <w:t>make payment on a bond)</w:t>
            </w:r>
          </w:p>
        </w:tc>
        <w:tc>
          <w:tcPr>
            <w:tcW w:w="52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20" w:type="dxa"/>
            <w:vAlign w:val="bottom"/>
            <w:gridSpan w:val="4"/>
          </w:tcPr>
          <w:p>
            <w:pPr>
              <w:ind w:left="120"/>
              <w:spacing w:after="0" w:line="176" w:lineRule="exact"/>
              <w:rPr>
                <w:sz w:val="20"/>
                <w:szCs w:val="20"/>
                <w:color w:val="auto"/>
              </w:rPr>
            </w:pPr>
            <w:r>
              <w:rPr>
                <w:rFonts w:ascii="Arial" w:cs="Arial" w:eastAsia="Arial" w:hAnsi="Arial"/>
                <w:sz w:val="18"/>
                <w:szCs w:val="18"/>
                <w:b w:val="1"/>
                <w:bCs w:val="1"/>
                <w:color w:val="auto"/>
              </w:rPr>
              <w:t>Guaranties of the Indebtedness of others</w:t>
            </w:r>
          </w:p>
        </w:tc>
        <w:tc>
          <w:tcPr>
            <w:tcW w:w="5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ind w:left="400"/>
              <w:spacing w:after="0" w:line="176" w:lineRule="exact"/>
              <w:rPr>
                <w:sz w:val="20"/>
                <w:szCs w:val="20"/>
                <w:color w:val="auto"/>
              </w:rPr>
            </w:pPr>
            <w:r>
              <w:rPr>
                <w:rFonts w:ascii="Arial" w:cs="Arial" w:eastAsia="Arial" w:hAnsi="Arial"/>
                <w:sz w:val="18"/>
                <w:szCs w:val="18"/>
                <w:b w:val="1"/>
                <w:bCs w:val="1"/>
                <w:color w:val="auto"/>
              </w:rPr>
              <w:t>(xi)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Indebtedness secured by liens or encumbrances on property</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b w:val="1"/>
                <w:bCs w:val="1"/>
                <w:color w:val="auto"/>
              </w:rPr>
              <w:t>(xii)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620" w:type="dxa"/>
            <w:vAlign w:val="bottom"/>
            <w:tcBorders>
              <w:top w:val="single" w:sz="8" w:color="CCEEFF"/>
            </w:tcBorders>
            <w:gridSpan w:val="4"/>
          </w:tcPr>
          <w:p>
            <w:pPr>
              <w:ind w:left="120"/>
              <w:spacing w:after="0" w:line="201" w:lineRule="exact"/>
              <w:rPr>
                <w:sz w:val="20"/>
                <w:szCs w:val="20"/>
                <w:color w:val="auto"/>
              </w:rPr>
            </w:pPr>
            <w:r>
              <w:rPr>
                <w:rFonts w:ascii="Arial" w:cs="Arial" w:eastAsia="Arial" w:hAnsi="Arial"/>
                <w:sz w:val="18"/>
                <w:szCs w:val="18"/>
                <w:b w:val="1"/>
                <w:bCs w:val="1"/>
                <w:color w:val="auto"/>
                <w:w w:val="94"/>
              </w:rPr>
              <w:t>Non-contingent reimbursement obligations with respect to letters of</w:t>
            </w:r>
          </w:p>
        </w:tc>
        <w:tc>
          <w:tcPr>
            <w:tcW w:w="5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gridSpan w:val="4"/>
          </w:tcPr>
          <w:p>
            <w:pPr>
              <w:ind w:left="320"/>
              <w:spacing w:after="0" w:line="190" w:lineRule="exact"/>
              <w:rPr>
                <w:sz w:val="20"/>
                <w:szCs w:val="20"/>
                <w:color w:val="auto"/>
              </w:rPr>
            </w:pPr>
            <w:r>
              <w:rPr>
                <w:rFonts w:ascii="Arial" w:cs="Arial" w:eastAsia="Arial" w:hAnsi="Arial"/>
                <w:sz w:val="18"/>
                <w:szCs w:val="18"/>
                <w:b w:val="1"/>
                <w:bCs w:val="1"/>
                <w:color w:val="auto"/>
              </w:rPr>
              <w:t>credit</w:t>
            </w:r>
          </w:p>
        </w:tc>
        <w:tc>
          <w:tcPr>
            <w:tcW w:w="520" w:type="dxa"/>
            <w:vAlign w:val="bottom"/>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gridSpan w:val="2"/>
          </w:tcPr>
          <w:p>
            <w:pPr>
              <w:ind w:left="400"/>
              <w:spacing w:after="0" w:line="190" w:lineRule="exact"/>
              <w:rPr>
                <w:sz w:val="20"/>
                <w:szCs w:val="20"/>
                <w:color w:val="auto"/>
              </w:rPr>
            </w:pPr>
            <w:r>
              <w:rPr>
                <w:rFonts w:ascii="Arial" w:cs="Arial" w:eastAsia="Arial" w:hAnsi="Arial"/>
                <w:sz w:val="18"/>
                <w:szCs w:val="18"/>
                <w:b w:val="1"/>
                <w:bCs w:val="1"/>
                <w:color w:val="auto"/>
              </w:rPr>
              <w:t>(xiii)</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 Debt (sum of v through xiii)</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b w:val="1"/>
                <w:bCs w:val="1"/>
                <w:color w:val="auto"/>
              </w:rPr>
              <w:t>(xiv)</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2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b w:val="1"/>
                <w:bCs w:val="1"/>
                <w:color w:val="auto"/>
              </w:rPr>
              <w:t>Ratio of (xiv) to (iv)</w:t>
            </w:r>
          </w:p>
        </w:tc>
        <w:tc>
          <w:tcPr>
            <w:tcW w:w="52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20" w:type="dxa"/>
            <w:vAlign w:val="bottom"/>
            <w:gridSpan w:val="4"/>
            <w:shd w:val="clear" w:color="auto" w:fill="CCEEFF"/>
          </w:tcPr>
          <w:p>
            <w:pPr>
              <w:ind w:left="120"/>
              <w:spacing w:after="0"/>
              <w:rPr>
                <w:sz w:val="20"/>
                <w:szCs w:val="20"/>
                <w:color w:val="auto"/>
              </w:rPr>
            </w:pPr>
            <w:r>
              <w:rPr>
                <w:rFonts w:ascii="Arial" w:cs="Arial" w:eastAsia="Arial" w:hAnsi="Arial"/>
                <w:sz w:val="18"/>
                <w:szCs w:val="18"/>
                <w:b w:val="1"/>
                <w:bCs w:val="1"/>
                <w:color w:val="auto"/>
              </w:rPr>
              <w:t>Maximum permitted:</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20" w:type="dxa"/>
            <w:vAlign w:val="bottom"/>
            <w:gridSpan w:val="4"/>
          </w:tcPr>
          <w:p>
            <w:pPr>
              <w:ind w:left="120"/>
              <w:spacing w:after="0"/>
              <w:rPr>
                <w:sz w:val="20"/>
                <w:szCs w:val="20"/>
                <w:color w:val="auto"/>
              </w:rPr>
            </w:pPr>
            <w:r>
              <w:rPr>
                <w:rFonts w:ascii="Arial" w:cs="Arial" w:eastAsia="Arial" w:hAnsi="Arial"/>
                <w:sz w:val="18"/>
                <w:szCs w:val="18"/>
                <w:i w:val="1"/>
                <w:iCs w:val="1"/>
                <w:color w:val="auto"/>
              </w:rPr>
              <w:t>For each fiscal quarter ending before September 30, 2015</w:t>
            </w:r>
          </w:p>
        </w:tc>
        <w:tc>
          <w:tcPr>
            <w:tcW w:w="5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w w:val="99"/>
              </w:rPr>
              <w:t>3.75 : 1.00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20" w:type="dxa"/>
            <w:vAlign w:val="bottom"/>
            <w:gridSpan w:val="4"/>
            <w:shd w:val="clear" w:color="auto" w:fill="CCEEFF"/>
          </w:tcPr>
          <w:p>
            <w:pPr>
              <w:ind w:left="120"/>
              <w:spacing w:after="0"/>
              <w:rPr>
                <w:sz w:val="20"/>
                <w:szCs w:val="20"/>
                <w:color w:val="auto"/>
              </w:rPr>
            </w:pPr>
            <w:r>
              <w:rPr>
                <w:rFonts w:ascii="Arial" w:cs="Arial" w:eastAsia="Arial" w:hAnsi="Arial"/>
                <w:sz w:val="18"/>
                <w:szCs w:val="18"/>
                <w:i w:val="1"/>
                <w:iCs w:val="1"/>
                <w:color w:val="auto"/>
              </w:rPr>
              <w:t>For each fiscal quarter ending on or after September 30, 2015</w:t>
            </w:r>
          </w:p>
        </w:tc>
        <w:tc>
          <w:tcPr>
            <w:tcW w:w="5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3.50 : 1.00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7"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[To be attached]</w:t>
      </w:r>
    </w:p>
    <w:p>
      <w:pPr>
        <w:sectPr>
          <w:pgSz w:w="11900" w:h="16838" w:orient="portrait"/>
          <w:cols w:equalWidth="0" w:num="1">
            <w:col w:w="9019"/>
          </w:cols>
          <w:pgMar w:left="1440" w:top="274"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ASSIGNMENT AND ASSUMPTION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 Assignor identified in item 1 below (the “</w:t>
      </w:r>
      <w:r>
        <w:rPr>
          <w:rFonts w:ascii="Arial" w:cs="Arial" w:eastAsia="Arial" w:hAnsi="Arial"/>
          <w:sz w:val="16"/>
          <w:szCs w:val="16"/>
          <w:u w:val="single" w:color="auto"/>
          <w:color w:val="auto"/>
        </w:rPr>
        <w:t>Assignor</w:t>
      </w:r>
      <w:r>
        <w:rPr>
          <w:rFonts w:ascii="Arial" w:cs="Arial" w:eastAsia="Arial" w:hAnsi="Arial"/>
          <w:sz w:val="16"/>
          <w:szCs w:val="16"/>
          <w:color w:val="auto"/>
        </w:rPr>
        <w:t>”) and the Assignee identified in item 2 below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1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Bank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Bank)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w:t>
      </w:r>
    </w:p>
    <w:p>
      <w:pPr>
        <w:spacing w:after="0" w:line="4" w:lineRule="exact"/>
        <w:rPr>
          <w:sz w:val="20"/>
          <w:szCs w:val="20"/>
          <w:color w:val="auto"/>
        </w:rPr>
      </w:pPr>
    </w:p>
    <w:p>
      <w:pPr>
        <w:ind w:right="460" w:firstLine="8"/>
        <w:spacing w:after="0" w:line="261" w:lineRule="auto"/>
        <w:tabs>
          <w:tab w:leader="none" w:pos="2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Each such sale and assignment is without recourse to the Assignor and, except as expressly provided in this Assignment and Assumption, without representation or warranty by the Assignor.</w:t>
      </w:r>
    </w:p>
    <w:p>
      <w:pPr>
        <w:spacing w:after="0" w:line="178"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Assignor</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[Assignor [is][is not] a Defaulting Bank]</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Assignee</w:t>
      </w:r>
      <w:r>
        <w:rPr>
          <w:rFonts w:ascii="Arial" w:cs="Arial" w:eastAsia="Arial" w:hAnsi="Arial"/>
          <w:sz w:val="18"/>
          <w:szCs w:val="18"/>
          <w:color w:val="auto"/>
        </w:rPr>
        <w:t>:</w:t>
      </w:r>
    </w:p>
    <w:p>
      <w:pPr>
        <w:spacing w:after="0" w:line="36"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[indicate [Bank Affiliate][Approved Fund] of [</w:t>
      </w:r>
      <w:r>
        <w:rPr>
          <w:rFonts w:ascii="Arial" w:cs="Arial" w:eastAsia="Arial" w:hAnsi="Arial"/>
          <w:sz w:val="18"/>
          <w:szCs w:val="18"/>
          <w:i w:val="1"/>
          <w:iCs w:val="1"/>
          <w:color w:val="auto"/>
        </w:rPr>
        <w:t>identify Bank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-502920</wp:posOffset>
            </wp:positionV>
            <wp:extent cx="19551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-142875</wp:posOffset>
            </wp:positionV>
            <wp:extent cx="195516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7" w:lineRule="exact"/>
        <w:rPr>
          <w:sz w:val="20"/>
          <w:szCs w:val="20"/>
          <w:color w:val="auto"/>
        </w:rPr>
      </w:pPr>
    </w:p>
    <w:p>
      <w:pPr>
        <w:spacing w:after="0"/>
        <w:tabs>
          <w:tab w:leader="none" w:pos="260" w:val="left"/>
          <w:tab w:leader="none" w:pos="218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u w:val="single" w:color="auto"/>
          <w:color w:val="auto"/>
        </w:rPr>
        <w:t>Borrower</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Waste Management, Inc.</w:t>
      </w:r>
    </w:p>
    <w:p>
      <w:pPr>
        <w:spacing w:after="0" w:line="117" w:lineRule="exact"/>
        <w:rPr>
          <w:sz w:val="20"/>
          <w:szCs w:val="20"/>
          <w:color w:val="auto"/>
        </w:rPr>
      </w:pPr>
    </w:p>
    <w:p>
      <w:pPr>
        <w:ind w:left="280" w:hanging="272"/>
        <w:spacing w:after="0"/>
        <w:tabs>
          <w:tab w:leader="none" w:pos="2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r>
        <w:rPr>
          <w:rFonts w:ascii="Arial" w:cs="Arial" w:eastAsia="Arial" w:hAnsi="Arial"/>
          <w:sz w:val="16"/>
          <w:szCs w:val="16"/>
          <w:color w:val="auto"/>
        </w:rPr>
        <w:t>Bank of America, N.A., as the administrative agent under the Credit Agreement</w:t>
      </w:r>
    </w:p>
    <w:p>
      <w:pPr>
        <w:spacing w:after="0" w:line="117" w:lineRule="exact"/>
        <w:rPr>
          <w:rFonts w:ascii="Arial" w:cs="Arial" w:eastAsia="Arial" w:hAnsi="Arial"/>
          <w:sz w:val="18"/>
          <w:szCs w:val="18"/>
          <w:color w:val="auto"/>
        </w:rPr>
      </w:pPr>
    </w:p>
    <w:p>
      <w:pPr>
        <w:ind w:left="2200" w:right="60" w:hanging="2192"/>
        <w:spacing w:after="0" w:line="259" w:lineRule="auto"/>
        <w:tabs>
          <w:tab w:leader="none" w:pos="26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:Second Amended and Restated Credit Agreement, dated as of July 26, 2013, among Waste Management, Inc., as Borrower, Waste Management Holdings, Inc., as Guarantor, the Banks from time to time party thereto, and Bank of America, N.A., as Administrative Agent, an Issuing Bank, and Swing Line Bank</w:t>
      </w:r>
    </w:p>
    <w:p>
      <w:pPr>
        <w:sectPr>
          <w:pgSz w:w="11900" w:h="16838" w:orient="portrait"/>
          <w:cols w:equalWidth="0" w:num="1">
            <w:col w:w="11420"/>
          </w:cols>
          <w:pgMar w:left="240" w:top="274" w:right="239" w:bottom="1440" w:gutter="0" w:footer="0" w:header="0"/>
        </w:sectPr>
      </w:pPr>
    </w:p>
    <w:bookmarkStart w:id="137" w:name="page138"/>
    <w:bookmarkEnd w:id="137"/>
    <w:p>
      <w:pPr>
        <w:ind w:left="240" w:hanging="232"/>
        <w:spacing w:after="0"/>
        <w:tabs>
          <w:tab w:leader="none" w:pos="2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Assigned Interest</w:t>
      </w:r>
      <w:r>
        <w:rPr>
          <w:rFonts w:ascii="Arial" w:cs="Arial" w:eastAsia="Arial" w:hAnsi="Arial"/>
          <w:sz w:val="18"/>
          <w:szCs w:val="18"/>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Aggregate Amount</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color w:val="auto"/>
                <w:w w:val="93"/>
              </w:rPr>
              <w:t>Amount of</w:t>
            </w:r>
          </w:p>
        </w:tc>
        <w:tc>
          <w:tcPr>
            <w:tcW w:w="1620" w:type="dxa"/>
            <w:vAlign w:val="bottom"/>
            <w:gridSpan w:val="2"/>
          </w:tcPr>
          <w:p>
            <w:pPr>
              <w:jc w:val="center"/>
              <w:ind w:right="692"/>
              <w:spacing w:after="0"/>
              <w:rPr>
                <w:sz w:val="20"/>
                <w:szCs w:val="20"/>
                <w:color w:val="auto"/>
              </w:rPr>
            </w:pPr>
            <w:r>
              <w:rPr>
                <w:rFonts w:ascii="Arial" w:cs="Arial" w:eastAsia="Arial" w:hAnsi="Arial"/>
                <w:sz w:val="14"/>
                <w:szCs w:val="14"/>
                <w:color w:val="auto"/>
                <w:w w:val="83"/>
              </w:rPr>
              <w:t>Percentage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of Commitment/</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Commitment/</w:t>
            </w:r>
          </w:p>
        </w:tc>
        <w:tc>
          <w:tcPr>
            <w:tcW w:w="1620" w:type="dxa"/>
            <w:vAlign w:val="bottom"/>
            <w:gridSpan w:val="2"/>
          </w:tcPr>
          <w:p>
            <w:pPr>
              <w:jc w:val="center"/>
              <w:ind w:right="692"/>
              <w:spacing w:after="0" w:line="149" w:lineRule="exact"/>
              <w:rPr>
                <w:sz w:val="20"/>
                <w:szCs w:val="20"/>
                <w:color w:val="auto"/>
              </w:rPr>
            </w:pPr>
            <w:r>
              <w:rPr>
                <w:rFonts w:ascii="Arial" w:cs="Arial" w:eastAsia="Arial" w:hAnsi="Arial"/>
                <w:sz w:val="14"/>
                <w:szCs w:val="14"/>
                <w:color w:val="auto"/>
                <w:w w:val="87"/>
              </w:rPr>
              <w:t>Assigned of</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gridSpan w:val="4"/>
            <w:vMerge w:val="restart"/>
          </w:tcPr>
          <w:p>
            <w:pPr>
              <w:spacing w:after="0"/>
              <w:rPr>
                <w:sz w:val="20"/>
                <w:szCs w:val="20"/>
                <w:color w:val="auto"/>
              </w:rPr>
            </w:pPr>
            <w:r>
              <w:rPr>
                <w:rFonts w:ascii="Arial" w:cs="Arial" w:eastAsia="Arial" w:hAnsi="Arial"/>
                <w:sz w:val="14"/>
                <w:szCs w:val="14"/>
                <w:color w:val="auto"/>
              </w:rPr>
              <w:t>Assignor</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gridSpan w:val="2"/>
            <w:vMerge w:val="restart"/>
          </w:tcPr>
          <w:p>
            <w:pPr>
              <w:ind w:left="720"/>
              <w:spacing w:after="0"/>
              <w:rPr>
                <w:sz w:val="20"/>
                <w:szCs w:val="20"/>
                <w:color w:val="auto"/>
              </w:rPr>
            </w:pPr>
            <w:r>
              <w:rPr>
                <w:rFonts w:ascii="Arial" w:cs="Arial" w:eastAsia="Arial" w:hAnsi="Arial"/>
                <w:sz w:val="14"/>
                <w:szCs w:val="14"/>
                <w:color w:val="auto"/>
              </w:rPr>
              <w:t>Assignee</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Facility</w:t>
            </w:r>
          </w:p>
        </w:tc>
        <w:tc>
          <w:tcPr>
            <w:tcW w:w="440" w:type="dxa"/>
            <w:vAlign w:val="bottom"/>
          </w:tcPr>
          <w:p>
            <w:pPr>
              <w:spacing w:after="0"/>
              <w:rPr>
                <w:sz w:val="12"/>
                <w:szCs w:val="12"/>
                <w:color w:val="auto"/>
              </w:rPr>
            </w:pPr>
          </w:p>
        </w:tc>
        <w:tc>
          <w:tcPr>
            <w:tcW w:w="16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Loans for all</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3"/>
              </w:rPr>
              <w:t>Loans</w:t>
            </w:r>
          </w:p>
        </w:tc>
        <w:tc>
          <w:tcPr>
            <w:tcW w:w="1620" w:type="dxa"/>
            <w:vAlign w:val="bottom"/>
            <w:gridSpan w:val="2"/>
          </w:tcPr>
          <w:p>
            <w:pPr>
              <w:jc w:val="center"/>
              <w:ind w:right="692"/>
              <w:spacing w:after="0" w:line="149" w:lineRule="exact"/>
              <w:rPr>
                <w:sz w:val="20"/>
                <w:szCs w:val="20"/>
                <w:color w:val="auto"/>
              </w:rPr>
            </w:pPr>
            <w:r>
              <w:rPr>
                <w:rFonts w:ascii="Arial" w:cs="Arial" w:eastAsia="Arial" w:hAnsi="Arial"/>
                <w:sz w:val="14"/>
                <w:szCs w:val="14"/>
                <w:color w:val="auto"/>
                <w:w w:val="91"/>
              </w:rPr>
              <w:t>Commitment/</w:t>
            </w: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8"/>
              </w:rPr>
              <w:t>CUSIP</w:t>
            </w:r>
          </w:p>
        </w:tc>
        <w:tc>
          <w:tcPr>
            <w:tcW w:w="0" w:type="dxa"/>
            <w:vAlign w:val="bottom"/>
          </w:tcPr>
          <w:p>
            <w:pPr>
              <w:spacing w:after="0"/>
              <w:rPr>
                <w:sz w:val="1"/>
                <w:szCs w:val="1"/>
                <w:color w:val="auto"/>
              </w:rPr>
            </w:pPr>
          </w:p>
        </w:tc>
      </w:tr>
      <w:tr>
        <w:trPr>
          <w:trHeight w:val="153"/>
        </w:trPr>
        <w:tc>
          <w:tcPr>
            <w:tcW w:w="1380" w:type="dxa"/>
            <w:vAlign w:val="bottom"/>
            <w:gridSpan w:val="4"/>
            <w:vMerge w:val="continue"/>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4"/>
                <w:szCs w:val="14"/>
                <w:color w:val="auto"/>
                <w:w w:val="90"/>
              </w:rPr>
              <w:t>Assigned</w:t>
            </w:r>
          </w:p>
        </w:tc>
        <w:tc>
          <w:tcPr>
            <w:tcW w:w="440" w:type="dxa"/>
            <w:vAlign w:val="bottom"/>
          </w:tcPr>
          <w:p>
            <w:pPr>
              <w:spacing w:after="0"/>
              <w:rPr>
                <w:sz w:val="13"/>
                <w:szCs w:val="13"/>
                <w:color w:val="auto"/>
              </w:rPr>
            </w:pPr>
          </w:p>
        </w:tc>
        <w:tc>
          <w:tcPr>
            <w:tcW w:w="162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7"/>
              </w:rPr>
              <w:t>Banks</w:t>
            </w:r>
          </w:p>
        </w:tc>
        <w:tc>
          <w:tcPr>
            <w:tcW w:w="130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6"/>
              </w:rPr>
              <w:t>Assigned</w:t>
            </w:r>
          </w:p>
        </w:tc>
        <w:tc>
          <w:tcPr>
            <w:tcW w:w="1620" w:type="dxa"/>
            <w:vAlign w:val="bottom"/>
            <w:gridSpan w:val="2"/>
          </w:tcPr>
          <w:p>
            <w:pPr>
              <w:jc w:val="center"/>
              <w:ind w:right="692"/>
              <w:spacing w:after="0" w:line="146" w:lineRule="exact"/>
              <w:rPr>
                <w:sz w:val="20"/>
                <w:szCs w:val="20"/>
                <w:color w:val="auto"/>
              </w:rPr>
            </w:pPr>
            <w:r>
              <w:rPr>
                <w:rFonts w:ascii="Arial" w:cs="Arial" w:eastAsia="Arial" w:hAnsi="Arial"/>
                <w:sz w:val="14"/>
                <w:szCs w:val="14"/>
                <w:color w:val="auto"/>
                <w:w w:val="83"/>
              </w:rPr>
              <w:t>Loans</w:t>
            </w:r>
          </w:p>
        </w:tc>
        <w:tc>
          <w:tcPr>
            <w:tcW w:w="520" w:type="dxa"/>
            <w:vAlign w:val="bottom"/>
          </w:tcPr>
          <w:p>
            <w:pPr>
              <w:jc w:val="center"/>
              <w:spacing w:after="0" w:line="146" w:lineRule="exact"/>
              <w:rPr>
                <w:sz w:val="20"/>
                <w:szCs w:val="20"/>
                <w:color w:val="auto"/>
              </w:rPr>
            </w:pPr>
            <w:r>
              <w:rPr>
                <w:rFonts w:ascii="Arial" w:cs="Arial" w:eastAsia="Arial" w:hAnsi="Arial"/>
                <w:sz w:val="14"/>
                <w:szCs w:val="14"/>
                <w:color w:val="auto"/>
                <w:w w:val="88"/>
              </w:rPr>
              <w:t>Number</w:t>
            </w:r>
          </w:p>
        </w:tc>
        <w:tc>
          <w:tcPr>
            <w:tcW w:w="0" w:type="dxa"/>
            <w:vAlign w:val="bottom"/>
          </w:tcPr>
          <w:p>
            <w:pPr>
              <w:spacing w:after="0"/>
              <w:rPr>
                <w:sz w:val="1"/>
                <w:szCs w:val="1"/>
                <w:color w:val="auto"/>
              </w:rPr>
            </w:pPr>
          </w:p>
        </w:tc>
      </w:tr>
      <w:tr>
        <w:trPr>
          <w:trHeight w:val="216"/>
        </w:trPr>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0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9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552"/>
              <w:spacing w:after="0"/>
              <w:rPr>
                <w:sz w:val="20"/>
                <w:szCs w:val="20"/>
                <w:color w:val="auto"/>
              </w:rPr>
            </w:pPr>
            <w:r>
              <w:rPr>
                <w:rFonts w:ascii="Arial" w:cs="Arial" w:eastAsia="Arial" w:hAnsi="Arial"/>
                <w:sz w:val="18"/>
                <w:szCs w:val="18"/>
                <w:color w:val="auto"/>
                <w:w w:val="74"/>
              </w:rPr>
              <w:t>%</w:t>
            </w: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1380" w:type="dxa"/>
            <w:vAlign w:val="bottom"/>
            <w:gridSpan w:val="4"/>
          </w:tcPr>
          <w:p>
            <w:pPr>
              <w:spacing w:after="0"/>
              <w:rPr>
                <w:sz w:val="20"/>
                <w:szCs w:val="20"/>
                <w:color w:val="auto"/>
              </w:rPr>
            </w:pPr>
            <w:r>
              <w:rPr>
                <w:rFonts w:ascii="Arial" w:cs="Arial" w:eastAsia="Arial" w:hAnsi="Arial"/>
                <w:sz w:val="18"/>
                <w:szCs w:val="18"/>
                <w:color w:val="auto"/>
              </w:rPr>
              <w:t>[7. Trade Date:</w:t>
            </w:r>
          </w:p>
        </w:tc>
        <w:tc>
          <w:tcPr>
            <w:tcW w:w="78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7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380" w:type="dxa"/>
            <w:vAlign w:val="bottom"/>
            <w:gridSpan w:val="4"/>
          </w:tcPr>
          <w:p>
            <w:pPr>
              <w:spacing w:after="0"/>
              <w:rPr>
                <w:sz w:val="20"/>
                <w:szCs w:val="20"/>
                <w:color w:val="auto"/>
              </w:rPr>
            </w:pPr>
            <w:r>
              <w:rPr>
                <w:rFonts w:ascii="Arial" w:cs="Arial" w:eastAsia="Arial" w:hAnsi="Arial"/>
                <w:sz w:val="18"/>
                <w:szCs w:val="18"/>
                <w:color w:val="auto"/>
              </w:rPr>
              <w:t>Effective Date:</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 20</w:t>
            </w:r>
          </w:p>
        </w:tc>
        <w:tc>
          <w:tcPr>
            <w:tcW w:w="8740" w:type="dxa"/>
            <w:vAlign w:val="bottom"/>
            <w:gridSpan w:val="11"/>
          </w:tcPr>
          <w:p>
            <w:pPr>
              <w:jc w:val="center"/>
              <w:ind w:right="152"/>
              <w:spacing w:after="0"/>
              <w:rPr>
                <w:sz w:val="20"/>
                <w:szCs w:val="20"/>
                <w:color w:val="auto"/>
              </w:rPr>
            </w:pPr>
            <w:r>
              <w:rPr>
                <w:rFonts w:ascii="Arial" w:cs="Arial" w:eastAsia="Arial" w:hAnsi="Arial"/>
                <w:sz w:val="18"/>
                <w:szCs w:val="18"/>
                <w:color w:val="auto"/>
                <w:w w:val="95"/>
              </w:rPr>
              <w:t>[TO BE INSERTED BY ADMINISTRATIVE AGENT AND WHICH SHALL BE THE EFFECTIVE DATE OF</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ASSIGNOR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ASSIGNEE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1"/>
          <w:szCs w:val="11"/>
          <w:color w:val="auto"/>
        </w:rPr>
        <w:t>2</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right="102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1" w:lineRule="exact"/>
        <w:rPr>
          <w:sz w:val="20"/>
          <w:szCs w:val="20"/>
          <w:color w:val="auto"/>
        </w:rPr>
      </w:pPr>
    </w:p>
    <w:p>
      <w:pPr>
        <w:ind w:left="220" w:hanging="212"/>
        <w:spacing w:after="0"/>
        <w:tabs>
          <w:tab w:leader="none" w:pos="220" w:val="left"/>
        </w:tabs>
        <w:numPr>
          <w:ilvl w:val="0"/>
          <w:numId w:val="97"/>
        </w:numPr>
        <w:rPr>
          <w:rFonts w:ascii="Arial" w:cs="Arial" w:eastAsia="Arial" w:hAnsi="Arial"/>
          <w:sz w:val="22"/>
          <w:szCs w:val="22"/>
          <w:color w:val="auto"/>
          <w:vertAlign w:val="superscript"/>
        </w:rPr>
      </w:pPr>
      <w:r>
        <w:rPr>
          <w:rFonts w:ascii="Arial" w:cs="Arial" w:eastAsia="Arial" w:hAnsi="Arial"/>
          <w:sz w:val="18"/>
          <w:szCs w:val="18"/>
          <w:color w:val="auto"/>
        </w:rPr>
        <w:t>To be completed if the Assignor and the Assignee intend that the minimum assignment amount is to be determined as of the Trade Date.</w:t>
      </w:r>
    </w:p>
    <w:p>
      <w:pPr>
        <w:ind w:left="220" w:hanging="212"/>
        <w:spacing w:after="0" w:line="205" w:lineRule="auto"/>
        <w:tabs>
          <w:tab w:leader="none" w:pos="220" w:val="left"/>
        </w:tabs>
        <w:numPr>
          <w:ilvl w:val="0"/>
          <w:numId w:val="98"/>
        </w:numPr>
        <w:rPr>
          <w:rFonts w:ascii="Arial" w:cs="Arial" w:eastAsia="Arial" w:hAnsi="Arial"/>
          <w:sz w:val="22"/>
          <w:szCs w:val="22"/>
          <w:color w:val="auto"/>
          <w:vertAlign w:val="superscript"/>
        </w:rPr>
      </w:pPr>
      <w:r>
        <w:rPr>
          <w:rFonts w:ascii="Arial" w:cs="Arial" w:eastAsia="Arial" w:hAnsi="Arial"/>
          <w:sz w:val="18"/>
          <w:szCs w:val="18"/>
          <w:color w:val="auto"/>
        </w:rPr>
        <w:t>To be added only if the consent of the Administrative Agent is required by the terms of the Credit Agreement.</w:t>
      </w:r>
    </w:p>
    <w:p>
      <w:pPr>
        <w:spacing w:after="0" w:line="3" w:lineRule="exact"/>
        <w:rPr>
          <w:sz w:val="20"/>
          <w:szCs w:val="20"/>
          <w:color w:val="auto"/>
        </w:rPr>
      </w:pPr>
    </w:p>
    <w:p>
      <w:pPr>
        <w:ind w:left="220" w:hanging="212"/>
        <w:spacing w:after="0"/>
        <w:tabs>
          <w:tab w:leader="none" w:pos="220" w:val="left"/>
        </w:tabs>
        <w:numPr>
          <w:ilvl w:val="0"/>
          <w:numId w:val="99"/>
        </w:numPr>
        <w:rPr>
          <w:rFonts w:ascii="Arial" w:cs="Arial" w:eastAsia="Arial" w:hAnsi="Arial"/>
          <w:sz w:val="20"/>
          <w:szCs w:val="20"/>
          <w:color w:val="auto"/>
          <w:vertAlign w:val="superscript"/>
        </w:rPr>
      </w:pPr>
      <w:r>
        <w:rPr>
          <w:rFonts w:ascii="Arial" w:cs="Arial" w:eastAsia="Arial" w:hAnsi="Arial"/>
          <w:sz w:val="16"/>
          <w:szCs w:val="16"/>
          <w:color w:val="auto"/>
        </w:rPr>
        <w:t>To be added only if the consent of the Borrower and/or other parties (e.g. Swing Line Bank, Issuing Banks) is required by the terms of the Credit Agreement.</w:t>
      </w:r>
    </w:p>
    <w:p>
      <w:pPr>
        <w:sectPr>
          <w:pgSz w:w="11900" w:h="16838" w:orient="portrait"/>
          <w:cols w:equalWidth="0" w:num="1">
            <w:col w:w="11420"/>
          </w:cols>
          <w:pgMar w:left="24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327"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Second Amended and Restated Credit Agreement, dated as of July 26, 2013, among Waste Management, Inc., as Borrower, Waste Management Holdings, Inc., as Guarantor, the Banks from time to time party thereto, and Bank of America, N.A., as Administrative Agent, an Issuing Bank, and Swing Line Bank</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TERMS AND CONDITIONS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w:t>
      </w:r>
    </w:p>
    <w:p>
      <w:pPr>
        <w:spacing w:after="0" w:line="165" w:lineRule="exact"/>
        <w:rPr>
          <w:sz w:val="20"/>
          <w:szCs w:val="20"/>
          <w:color w:val="auto"/>
        </w:rPr>
      </w:pPr>
    </w:p>
    <w:p>
      <w:pPr>
        <w:ind w:left="1100" w:hanging="179"/>
        <w:spacing w:after="0"/>
        <w:tabs>
          <w:tab w:leader="none" w:pos="110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83"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Assignor</w:t>
      </w:r>
      <w:r>
        <w:rPr>
          <w:rFonts w:ascii="Arial" w:cs="Arial" w:eastAsia="Arial" w:hAnsi="Arial"/>
          <w:sz w:val="16"/>
          <w:szCs w:val="16"/>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6"/>
          <w:szCs w:val="16"/>
          <w:b w:val="1"/>
          <w:bCs w:val="1"/>
          <w:color w:val="auto"/>
        </w:rPr>
        <w:t>not</w:t>
      </w:r>
      <w:r>
        <w:rPr>
          <w:rFonts w:ascii="Arial" w:cs="Arial" w:eastAsia="Arial" w:hAnsi="Arial"/>
          <w:sz w:val="16"/>
          <w:szCs w:val="16"/>
          <w:color w:val="auto"/>
        </w:rPr>
        <w:t>] a Defaulting Bank; and (b) assumes no responsibility with respect to (i) any statements, warranties or representations made in or in connection with the Credit Agreement or any other Loan Document,</w:t>
      </w:r>
    </w:p>
    <w:p>
      <w:pPr>
        <w:spacing w:after="0" w:line="3" w:lineRule="exact"/>
        <w:rPr>
          <w:sz w:val="20"/>
          <w:szCs w:val="20"/>
          <w:color w:val="auto"/>
        </w:rPr>
      </w:pPr>
    </w:p>
    <w:p>
      <w:pPr>
        <w:ind w:right="580" w:firstLine="8"/>
        <w:spacing w:after="0" w:line="302" w:lineRule="auto"/>
        <w:tabs>
          <w:tab w:leader="none" w:pos="2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09"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§20</w:t>
      </w:r>
      <w:r>
        <w:rPr>
          <w:rFonts w:ascii="Arial" w:cs="Arial" w:eastAsia="Arial" w:hAnsi="Arial"/>
          <w:sz w:val="16"/>
          <w:szCs w:val="16"/>
          <w:color w:val="auto"/>
        </w:rPr>
        <w:t xml:space="preserve"> of the Credit Agreement), (iii) from and after the Effective Date, it shall be bound by the provisions of the Credit Agreement as a Bank thereunder and, to the extent of the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6"/>
          <w:szCs w:val="16"/>
          <w:u w:val="single" w:color="auto"/>
          <w:color w:val="auto"/>
        </w:rPr>
        <w:t>§7.4</w:t>
      </w:r>
      <w:r>
        <w:rPr>
          <w:rFonts w:ascii="Arial" w:cs="Arial" w:eastAsia="Arial" w:hAnsi="Arial"/>
          <w:sz w:val="16"/>
          <w:szCs w:val="16"/>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 Assigned Interest, and (vii) if it is a Non-U.S. Bank, attached hereto is any documentation required to be delivered by it pursuant to the terms of the Credit Agreement, duly completed and executed by the Assignee; and (b) agrees that (i) it will, independently and without reliance upon the Administrative Agent, the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ectPr>
          <w:pgSz w:w="11900" w:h="16838" w:orient="portrait"/>
          <w:cols w:equalWidth="0" w:num="1">
            <w:col w:w="11420"/>
          </w:cols>
          <w:pgMar w:left="240" w:top="280" w:right="239" w:bottom="1440" w:gutter="0" w:footer="0" w:header="0"/>
        </w:sectPr>
      </w:pPr>
    </w:p>
    <w:bookmarkStart w:id="139" w:name="page140"/>
    <w:bookmarkEnd w:id="139"/>
    <w:p>
      <w:pPr>
        <w:ind w:left="-921" w:right="120" w:firstLine="921"/>
        <w:spacing w:after="0" w:line="259" w:lineRule="auto"/>
        <w:tabs>
          <w:tab w:leader="none" w:pos="16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40" w:lineRule="exact"/>
        <w:rPr>
          <w:rFonts w:ascii="Arial" w:cs="Arial" w:eastAsia="Arial" w:hAnsi="Arial"/>
          <w:sz w:val="18"/>
          <w:szCs w:val="18"/>
          <w:color w:val="auto"/>
        </w:rPr>
      </w:pPr>
    </w:p>
    <w:p>
      <w:pPr>
        <w:ind w:left="-921" w:firstLine="921"/>
        <w:spacing w:after="0" w:line="255" w:lineRule="auto"/>
        <w:tabs>
          <w:tab w:leader="none" w:pos="167"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0479"/>
          </w:cols>
          <w:pgMar w:left="1161" w:top="280" w:right="259" w:bottom="1440" w:gutter="0" w:footer="0" w:header="0"/>
        </w:sectPr>
      </w:pPr>
    </w:p>
    <w:bookmarkStart w:id="140" w:name="page141"/>
    <w:bookmarkEnd w:id="140"/>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333" w:lineRule="exact"/>
        <w:rPr>
          <w:sz w:val="20"/>
          <w:szCs w:val="20"/>
          <w:color w:val="auto"/>
        </w:rPr>
      </w:pPr>
    </w:p>
    <w:p>
      <w:pPr>
        <w:ind w:left="3680"/>
        <w:spacing w:after="0"/>
        <w:rPr>
          <w:sz w:val="20"/>
          <w:szCs w:val="20"/>
          <w:color w:val="auto"/>
        </w:rPr>
      </w:pPr>
      <w:r>
        <w:rPr>
          <w:rFonts w:ascii="Arial" w:cs="Arial" w:eastAsia="Arial" w:hAnsi="Arial"/>
          <w:sz w:val="18"/>
          <w:szCs w:val="18"/>
          <w:b w:val="1"/>
          <w:bCs w:val="1"/>
          <w:u w:val="single" w:color="auto"/>
          <w:color w:val="auto"/>
        </w:rPr>
        <w:t>FORM OF COMPETITIVE BID QUOTE REQUEST</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26,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Competitive Bid Quote Request under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-17780</wp:posOffset>
            </wp:positionV>
            <wp:extent cx="5854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Competitive Bid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Competitive Bid Loans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-17780</wp:posOffset>
            </wp:positionV>
            <wp:extent cx="585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Maximum Drawing Amount of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Syndicated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-17780</wp:posOffset>
            </wp:positionV>
            <wp:extent cx="585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Swing Line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 of all Outstanding and Requested Competitive Bid Loans</w:t>
      </w:r>
    </w:p>
    <w:p>
      <w:pPr>
        <w:spacing w:after="0" w:line="9" w:lineRule="exact"/>
        <w:rPr>
          <w:sz w:val="20"/>
          <w:szCs w:val="20"/>
          <w:color w:val="auto"/>
        </w:rPr>
      </w:pPr>
    </w:p>
    <w:p>
      <w:pPr>
        <w:ind w:left="220" w:right="2180"/>
        <w:spacing w:after="0" w:line="250" w:lineRule="auto"/>
        <w:rPr>
          <w:sz w:val="20"/>
          <w:szCs w:val="20"/>
          <w:color w:val="auto"/>
        </w:rPr>
      </w:pPr>
      <w:r>
        <w:rPr>
          <w:rFonts w:ascii="Arial" w:cs="Arial" w:eastAsia="Arial" w:hAnsi="Arial"/>
          <w:sz w:val="18"/>
          <w:szCs w:val="18"/>
          <w:b w:val="1"/>
          <w:bCs w:val="1"/>
          <w:color w:val="auto"/>
        </w:rPr>
        <w:t>(must not exceed the lesser of the Total Commitment minus Total of all Syndicated Loans outstanding, Swing Line Loans outstanding and Maximum Drawing Amount of outstanding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6666230</wp:posOffset>
            </wp:positionH>
            <wp:positionV relativeFrom="paragraph">
              <wp:posOffset>-23495</wp:posOffset>
            </wp:positionV>
            <wp:extent cx="585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b w:val="1"/>
          <w:bCs w:val="1"/>
          <w:color w:val="auto"/>
        </w:rPr>
        <w:t>Type of Competitive Bid Loans Requested Eurodollar/Absolute Requested Drawdown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113030</wp:posOffset>
            </wp:positionV>
            <wp:extent cx="5854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5470" cy="8890"/>
                    </a:xfrm>
                    <a:prstGeom prst="rect">
                      <a:avLst/>
                    </a:prstGeom>
                    <a:noFill/>
                  </pic:spPr>
                </pic:pic>
              </a:graphicData>
            </a:graphic>
          </wp:anchor>
        </w:drawing>
      </w:r>
    </w:p>
    <w:p>
      <w:pPr>
        <w:spacing w:after="0" w:line="37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8"/>
              </w:rPr>
              <w:t>Principal Amount of</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Requested</w:t>
            </w:r>
          </w:p>
        </w:tc>
        <w:tc>
          <w:tcPr>
            <w:tcW w:w="1380" w:type="dxa"/>
            <w:vAlign w:val="bottom"/>
          </w:tcPr>
          <w:p>
            <w:pPr>
              <w:spacing w:after="0"/>
              <w:rPr>
                <w:sz w:val="14"/>
                <w:szCs w:val="14"/>
                <w:color w:val="auto"/>
              </w:rPr>
            </w:pPr>
          </w:p>
        </w:tc>
      </w:tr>
      <w:tr>
        <w:trPr>
          <w:trHeight w:val="161"/>
        </w:trPr>
        <w:tc>
          <w:tcPr>
            <w:tcW w:w="980" w:type="dxa"/>
            <w:vAlign w:val="bottom"/>
          </w:tcPr>
          <w:p>
            <w:pPr>
              <w:spacing w:after="0"/>
              <w:rPr>
                <w:sz w:val="14"/>
                <w:szCs w:val="1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Competitive Bid Loan Requested</w:t>
            </w:r>
          </w:p>
        </w:tc>
        <w:tc>
          <w:tcPr>
            <w:tcW w:w="9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Interest Period(s)</w:t>
            </w:r>
          </w:p>
        </w:tc>
        <w:tc>
          <w:tcPr>
            <w:tcW w:w="1380" w:type="dxa"/>
            <w:vAlign w:val="bottom"/>
          </w:tcPr>
          <w:p>
            <w:pPr>
              <w:spacing w:after="0"/>
              <w:rPr>
                <w:sz w:val="14"/>
                <w:szCs w:val="14"/>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certify that the above is true and correct, and that all of the conditions set forth in §11 of the Credit Agreement have been satisfied as of the date hereof.</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25469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w:t>
      </w:r>
    </w:p>
    <w:p>
      <w:pPr>
        <w:spacing w:after="0" w:line="333" w:lineRule="exact"/>
        <w:rPr>
          <w:sz w:val="20"/>
          <w:szCs w:val="20"/>
          <w:color w:val="auto"/>
        </w:rPr>
      </w:pPr>
    </w:p>
    <w:p>
      <w:pPr>
        <w:ind w:left="3320"/>
        <w:spacing w:after="0"/>
        <w:rPr>
          <w:sz w:val="20"/>
          <w:szCs w:val="20"/>
          <w:color w:val="auto"/>
        </w:rPr>
      </w:pPr>
      <w:r>
        <w:rPr>
          <w:rFonts w:ascii="Arial" w:cs="Arial" w:eastAsia="Arial" w:hAnsi="Arial"/>
          <w:sz w:val="18"/>
          <w:szCs w:val="18"/>
          <w:b w:val="1"/>
          <w:bCs w:val="1"/>
          <w:u w:val="single" w:color="auto"/>
          <w:color w:val="auto"/>
        </w:rPr>
        <w:t>FORM OF INVITATION FOR COMPETITIVE BID QUOTES</w:t>
      </w:r>
    </w:p>
    <w:p>
      <w:pPr>
        <w:spacing w:after="0" w:line="17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26,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b w:val="1"/>
                <w:bCs w:val="1"/>
                <w:color w:val="auto"/>
              </w:rPr>
              <w:t>ATTN:</w:t>
            </w:r>
          </w:p>
        </w:tc>
        <w:tc>
          <w:tcPr>
            <w:tcW w:w="300" w:type="dxa"/>
            <w:vAlign w:val="bottom"/>
          </w:tcPr>
          <w:p>
            <w:pPr>
              <w:ind w:left="240"/>
              <w:spacing w:after="0"/>
              <w:rPr>
                <w:sz w:val="20"/>
                <w:szCs w:val="20"/>
                <w:color w:val="auto"/>
              </w:rPr>
            </w:pPr>
            <w:r>
              <w:rPr>
                <w:rFonts w:ascii="Arial" w:cs="Arial" w:eastAsia="Arial" w:hAnsi="Arial"/>
                <w:sz w:val="18"/>
                <w:szCs w:val="18"/>
                <w:color w:val="auto"/>
                <w:w w:val="78"/>
              </w:rPr>
              <w:t>[</w:t>
            </w:r>
          </w:p>
        </w:tc>
        <w:tc>
          <w:tcPr>
            <w:tcW w:w="2700" w:type="dxa"/>
            <w:vAlign w:val="bottom"/>
            <w:tcBorders>
              <w:bottom w:val="single" w:sz="8" w:color="auto"/>
            </w:tcBorders>
          </w:tcPr>
          <w:p>
            <w:pPr>
              <w:spacing w:after="0"/>
              <w:rPr>
                <w:sz w:val="17"/>
                <w:szCs w:val="17"/>
                <w:color w:val="auto"/>
              </w:rPr>
            </w:pPr>
          </w:p>
        </w:tc>
        <w:tc>
          <w:tcPr>
            <w:tcW w:w="1300" w:type="dxa"/>
            <w:vAlign w:val="bottom"/>
          </w:tcPr>
          <w:p>
            <w:pPr>
              <w:jc w:val="right"/>
              <w:ind w:right="1211"/>
              <w:spacing w:after="0"/>
              <w:rPr>
                <w:sz w:val="20"/>
                <w:szCs w:val="20"/>
                <w:color w:val="auto"/>
              </w:rPr>
            </w:pPr>
            <w:r>
              <w:rPr>
                <w:rFonts w:ascii="Arial" w:cs="Arial" w:eastAsia="Arial" w:hAnsi="Arial"/>
                <w:sz w:val="10"/>
                <w:szCs w:val="10"/>
                <w:color w:val="auto"/>
                <w:w w:val="70"/>
              </w:rPr>
              <w:t>]</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REF:</w:t>
            </w:r>
          </w:p>
        </w:tc>
        <w:tc>
          <w:tcPr>
            <w:tcW w:w="300" w:type="dxa"/>
            <w:vAlign w:val="bottom"/>
          </w:tcPr>
          <w:p>
            <w:pPr>
              <w:ind w:left="240"/>
              <w:spacing w:after="0"/>
              <w:rPr>
                <w:sz w:val="20"/>
                <w:szCs w:val="20"/>
                <w:color w:val="auto"/>
              </w:rPr>
            </w:pPr>
            <w:r>
              <w:rPr>
                <w:rFonts w:ascii="Arial" w:cs="Arial" w:eastAsia="Arial" w:hAnsi="Arial"/>
                <w:sz w:val="18"/>
                <w:szCs w:val="18"/>
                <w:color w:val="auto"/>
                <w:w w:val="78"/>
              </w:rPr>
              <w:t>[</w:t>
            </w:r>
          </w:p>
        </w:tc>
        <w:tc>
          <w:tcPr>
            <w:tcW w:w="2700" w:type="dxa"/>
            <w:vAlign w:val="bottom"/>
          </w:tcPr>
          <w:p>
            <w:pPr>
              <w:spacing w:after="0"/>
              <w:rPr>
                <w:sz w:val="24"/>
                <w:szCs w:val="24"/>
                <w:color w:val="auto"/>
              </w:rPr>
            </w:pPr>
          </w:p>
        </w:tc>
        <w:tc>
          <w:tcPr>
            <w:tcW w:w="1300" w:type="dxa"/>
            <w:vAlign w:val="bottom"/>
          </w:tcPr>
          <w:p>
            <w:pPr>
              <w:jc w:val="right"/>
              <w:ind w:right="1211"/>
              <w:spacing w:after="0"/>
              <w:rPr>
                <w:sz w:val="20"/>
                <w:szCs w:val="20"/>
                <w:color w:val="auto"/>
              </w:rPr>
            </w:pPr>
            <w:r>
              <w:rPr>
                <w:rFonts w:ascii="Arial" w:cs="Arial" w:eastAsia="Arial" w:hAnsi="Arial"/>
                <w:sz w:val="10"/>
                <w:szCs w:val="10"/>
                <w:color w:val="auto"/>
                <w:w w:val="70"/>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RE:</w:t>
            </w:r>
          </w:p>
        </w:tc>
        <w:tc>
          <w:tcPr>
            <w:tcW w:w="300" w:type="dxa"/>
            <w:vAlign w:val="bottom"/>
          </w:tcPr>
          <w:p>
            <w:pPr>
              <w:spacing w:after="0" w:line="20" w:lineRule="exact"/>
              <w:rPr>
                <w:sz w:val="1"/>
                <w:szCs w:val="1"/>
                <w:color w:val="auto"/>
              </w:rPr>
            </w:pPr>
          </w:p>
        </w:tc>
        <w:tc>
          <w:tcPr>
            <w:tcW w:w="270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00" w:type="dxa"/>
            <w:vAlign w:val="bottom"/>
            <w:vMerge w:val="continue"/>
          </w:tcPr>
          <w:p>
            <w:pPr>
              <w:spacing w:after="0"/>
              <w:rPr>
                <w:sz w:val="24"/>
                <w:szCs w:val="24"/>
                <w:color w:val="auto"/>
              </w:rPr>
            </w:pPr>
          </w:p>
        </w:tc>
        <w:tc>
          <w:tcPr>
            <w:tcW w:w="3000" w:type="dxa"/>
            <w:vAlign w:val="bottom"/>
            <w:gridSpan w:val="2"/>
          </w:tcPr>
          <w:p>
            <w:pPr>
              <w:ind w:left="240"/>
              <w:spacing w:after="0"/>
              <w:rPr>
                <w:sz w:val="20"/>
                <w:szCs w:val="20"/>
                <w:color w:val="auto"/>
              </w:rPr>
            </w:pPr>
            <w:r>
              <w:rPr>
                <w:rFonts w:ascii="Arial" w:cs="Arial" w:eastAsia="Arial" w:hAnsi="Arial"/>
                <w:sz w:val="18"/>
                <w:szCs w:val="18"/>
                <w:color w:val="auto"/>
              </w:rPr>
              <w:t>INVITATION FOR</w:t>
            </w: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5"/>
                <w:szCs w:val="15"/>
                <w:color w:val="auto"/>
              </w:rPr>
            </w:pPr>
          </w:p>
        </w:tc>
        <w:tc>
          <w:tcPr>
            <w:tcW w:w="4300" w:type="dxa"/>
            <w:vAlign w:val="bottom"/>
            <w:gridSpan w:val="3"/>
          </w:tcPr>
          <w:p>
            <w:pPr>
              <w:ind w:left="240"/>
              <w:spacing w:after="0" w:line="184" w:lineRule="exact"/>
              <w:rPr>
                <w:sz w:val="20"/>
                <w:szCs w:val="20"/>
                <w:color w:val="auto"/>
              </w:rPr>
            </w:pPr>
            <w:r>
              <w:rPr>
                <w:rFonts w:ascii="Arial" w:cs="Arial" w:eastAsia="Arial" w:hAnsi="Arial"/>
                <w:sz w:val="18"/>
                <w:szCs w:val="18"/>
                <w:color w:val="auto"/>
                <w:w w:val="95"/>
              </w:rPr>
              <w:t>COMPETITIVE BID QUOTES AGREEMENT DATED</w:t>
            </w:r>
          </w:p>
        </w:tc>
        <w:tc>
          <w:tcPr>
            <w:tcW w:w="340" w:type="dxa"/>
            <w:vAlign w:val="bottom"/>
          </w:tcPr>
          <w:p>
            <w:pPr>
              <w:spacing w:after="0"/>
              <w:rPr>
                <w:sz w:val="15"/>
                <w:szCs w:val="15"/>
                <w:color w:val="auto"/>
              </w:rPr>
            </w:pPr>
          </w:p>
        </w:tc>
        <w:tc>
          <w:tcPr>
            <w:tcW w:w="2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  /</w:t>
            </w:r>
          </w:p>
        </w:tc>
        <w:tc>
          <w:tcPr>
            <w:tcW w:w="3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gridSpan w:val="4"/>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20" w:type="dxa"/>
            <w:vAlign w:val="bottom"/>
            <w:gridSpan w:val="10"/>
          </w:tcPr>
          <w:p>
            <w:pPr>
              <w:spacing w:after="0"/>
              <w:rPr>
                <w:sz w:val="20"/>
                <w:szCs w:val="20"/>
                <w:color w:val="auto"/>
              </w:rPr>
            </w:pPr>
            <w:r>
              <w:rPr>
                <w:rFonts w:ascii="Arial" w:cs="Arial" w:eastAsia="Arial" w:hAnsi="Arial"/>
                <w:sz w:val="18"/>
                <w:szCs w:val="18"/>
                <w:color w:val="auto"/>
                <w:w w:val="96"/>
              </w:rPr>
              <w:t>BANK OF AMERICA, N.A., AS ADMINISTRATIVE AGENT INVITATION FOR COMPETITIVE BID QUOTES DATED</w:t>
            </w:r>
          </w:p>
        </w:tc>
        <w:tc>
          <w:tcPr>
            <w:tcW w:w="340" w:type="dxa"/>
            <w:vAlign w:val="bottom"/>
          </w:tcPr>
          <w:p>
            <w:pPr>
              <w:spacing w:after="0"/>
              <w:rPr>
                <w:sz w:val="24"/>
                <w:szCs w:val="24"/>
                <w:color w:val="auto"/>
              </w:rPr>
            </w:pPr>
          </w:p>
        </w:tc>
        <w:tc>
          <w:tcPr>
            <w:tcW w:w="62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OF THE ABOVE REFERENCED CREDIT AGREEMENT, YOU ARE INVITED TO SUBMIT A COMPETITIVE BID QUOTE TO THE BORROWER FOR THE FOLLOWING PROPOSED COMPETITIVE BID LOAN(S):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sz w:val="20"/>
                <w:szCs w:val="20"/>
                <w:color w:val="auto"/>
              </w:rPr>
            </w:pPr>
            <w:r>
              <w:rPr>
                <w:rFonts w:ascii="Arial" w:cs="Arial" w:eastAsia="Arial" w:hAnsi="Arial"/>
                <w:sz w:val="18"/>
                <w:szCs w:val="18"/>
                <w:color w:val="auto"/>
                <w:w w:val="93"/>
              </w:rPr>
              <w:t>DATE OF BORROWING:</w:t>
            </w:r>
          </w:p>
        </w:tc>
        <w:tc>
          <w:tcPr>
            <w:tcW w:w="820" w:type="dxa"/>
            <w:vAlign w:val="bottom"/>
            <w:gridSpan w:val="5"/>
          </w:tcPr>
          <w:p>
            <w:pPr>
              <w:jc w:val="right"/>
              <w:ind w:right="20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9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97"/>
        </w:trPr>
        <w:tc>
          <w:tcPr>
            <w:tcW w:w="3240" w:type="dxa"/>
            <w:vAlign w:val="bottom"/>
            <w:gridSpan w:val="10"/>
          </w:tcPr>
          <w:p>
            <w:pPr>
              <w:spacing w:after="0"/>
              <w:rPr>
                <w:sz w:val="20"/>
                <w:szCs w:val="20"/>
                <w:color w:val="auto"/>
              </w:rPr>
            </w:pPr>
            <w:r>
              <w:rPr>
                <w:rFonts w:ascii="Arial" w:cs="Arial" w:eastAsia="Arial" w:hAnsi="Arial"/>
                <w:sz w:val="18"/>
                <w:szCs w:val="18"/>
                <w:color w:val="auto"/>
              </w:rPr>
              <w:t>AGGREGATE AMOUNT REQUESTED:</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3"/>
        </w:trPr>
        <w:tc>
          <w:tcPr>
            <w:tcW w:w="1840" w:type="dxa"/>
            <w:vAlign w:val="bottom"/>
          </w:tcPr>
          <w:p>
            <w:pPr>
              <w:spacing w:after="0"/>
              <w:rPr>
                <w:sz w:val="24"/>
                <w:szCs w:val="24"/>
                <w:color w:val="auto"/>
              </w:rPr>
            </w:pPr>
          </w:p>
        </w:tc>
        <w:tc>
          <w:tcPr>
            <w:tcW w:w="1400" w:type="dxa"/>
            <w:vAlign w:val="bottom"/>
            <w:gridSpan w:val="9"/>
          </w:tcPr>
          <w:p>
            <w:pPr>
              <w:spacing w:after="0"/>
              <w:rPr>
                <w:sz w:val="20"/>
                <w:szCs w:val="20"/>
                <w:color w:val="auto"/>
              </w:rPr>
            </w:pPr>
            <w:r>
              <w:rPr>
                <w:rFonts w:ascii="Arial" w:cs="Arial" w:eastAsia="Arial" w:hAnsi="Arial"/>
                <w:sz w:val="14"/>
                <w:szCs w:val="14"/>
                <w:color w:val="auto"/>
                <w:w w:val="98"/>
              </w:rPr>
              <w:t>PRINCIPAL AMOUNT</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7"/>
          </w:tcPr>
          <w:p>
            <w:pPr>
              <w:jc w:val="right"/>
              <w:ind w:right="420"/>
              <w:spacing w:after="0"/>
              <w:rPr>
                <w:sz w:val="20"/>
                <w:szCs w:val="20"/>
                <w:color w:val="auto"/>
              </w:rPr>
            </w:pPr>
            <w:r>
              <w:rPr>
                <w:rFonts w:ascii="Arial" w:cs="Arial" w:eastAsia="Arial" w:hAnsi="Arial"/>
                <w:sz w:val="14"/>
                <w:szCs w:val="14"/>
                <w:color w:val="auto"/>
              </w:rPr>
              <w:t>INTEREST PERIOD</w:t>
            </w:r>
          </w:p>
        </w:tc>
        <w:tc>
          <w:tcPr>
            <w:tcW w:w="1320" w:type="dxa"/>
            <w:vAlign w:val="bottom"/>
          </w:tcPr>
          <w:p>
            <w:pPr>
              <w:spacing w:after="0"/>
              <w:rPr>
                <w:sz w:val="24"/>
                <w:szCs w:val="24"/>
                <w:color w:val="auto"/>
              </w:rPr>
            </w:pPr>
          </w:p>
        </w:tc>
      </w:tr>
      <w:tr>
        <w:trPr>
          <w:trHeight w:val="27"/>
        </w:trPr>
        <w:tc>
          <w:tcPr>
            <w:tcW w:w="1940" w:type="dxa"/>
            <w:vAlign w:val="bottom"/>
            <w:tcBorders>
              <w:right w:val="single" w:sz="8" w:color="auto"/>
            </w:tcBorders>
            <w:gridSpan w:val="2"/>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76"/>
        </w:trPr>
        <w:tc>
          <w:tcPr>
            <w:tcW w:w="9020" w:type="dxa"/>
            <w:vAlign w:val="bottom"/>
            <w:gridSpan w:val="18"/>
          </w:tcPr>
          <w:p>
            <w:pPr>
              <w:spacing w:after="0"/>
              <w:rPr>
                <w:sz w:val="20"/>
                <w:szCs w:val="20"/>
                <w:color w:val="auto"/>
              </w:rPr>
            </w:pPr>
            <w:r>
              <w:rPr>
                <w:rFonts w:ascii="Arial" w:cs="Arial" w:eastAsia="Arial" w:hAnsi="Arial"/>
                <w:sz w:val="18"/>
                <w:szCs w:val="18"/>
                <w:color w:val="auto"/>
              </w:rPr>
              <w:t>SUCH COMPETITIVE BID QUOTES SHOULD OFFER COMPETITIVE BID RATE(S)/ MARGIN(S).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0"/>
        </w:trPr>
        <w:tc>
          <w:tcPr>
            <w:tcW w:w="9020" w:type="dxa"/>
            <w:vAlign w:val="bottom"/>
            <w:gridSpan w:val="18"/>
          </w:tcPr>
          <w:p>
            <w:pPr>
              <w:spacing w:after="0"/>
              <w:rPr>
                <w:sz w:val="20"/>
                <w:szCs w:val="20"/>
                <w:color w:val="auto"/>
              </w:rPr>
            </w:pPr>
            <w:r>
              <w:rPr>
                <w:rFonts w:ascii="Arial" w:cs="Arial" w:eastAsia="Arial" w:hAnsi="Arial"/>
                <w:sz w:val="18"/>
                <w:szCs w:val="18"/>
                <w:color w:val="auto"/>
                <w:w w:val="96"/>
              </w:rPr>
              <w:t>PLEASE RESPOND IN WRITING TO THIS INVITATION BY NO LATER THAN   :  A.M./P.M. (NEW YORK TIME ON</w:t>
            </w:r>
          </w:p>
        </w:tc>
        <w:tc>
          <w:tcPr>
            <w:tcW w:w="980" w:type="dxa"/>
            <w:vAlign w:val="bottom"/>
            <w:gridSpan w:val="5"/>
          </w:tcPr>
          <w:p>
            <w:pPr>
              <w:jc w:val="right"/>
              <w:ind w:right="360"/>
              <w:spacing w:after="0"/>
              <w:rPr>
                <w:sz w:val="20"/>
                <w:szCs w:val="20"/>
                <w:color w:val="auto"/>
              </w:rPr>
            </w:pPr>
            <w:r>
              <w:rPr>
                <w:rFonts w:ascii="Arial" w:cs="Arial" w:eastAsia="Arial" w:hAnsi="Arial"/>
                <w:sz w:val="18"/>
                <w:szCs w:val="18"/>
                <w:color w:val="auto"/>
              </w:rPr>
              <w:t>/  /</w:t>
            </w:r>
          </w:p>
        </w:tc>
        <w:tc>
          <w:tcPr>
            <w:tcW w:w="1320" w:type="dxa"/>
            <w:vAlign w:val="bottom"/>
          </w:tcPr>
          <w:p>
            <w:pPr>
              <w:ind w:left="40"/>
              <w:spacing w:after="0"/>
              <w:rPr>
                <w:sz w:val="20"/>
                <w:szCs w:val="20"/>
                <w:color w:val="auto"/>
              </w:rPr>
            </w:pPr>
            <w:r>
              <w:rPr>
                <w:rFonts w:ascii="Arial" w:cs="Arial" w:eastAsia="Arial" w:hAnsi="Arial"/>
                <w:sz w:val="18"/>
                <w:szCs w:val="18"/>
                <w:color w:val="auto"/>
                <w:w w:val="89"/>
              </w:rPr>
              <w:t>TO ONE OF THE</w:t>
            </w:r>
          </w:p>
        </w:tc>
      </w:tr>
      <w:tr>
        <w:trPr>
          <w:trHeight w:val="235"/>
        </w:trPr>
        <w:tc>
          <w:tcPr>
            <w:tcW w:w="1940" w:type="dxa"/>
            <w:vAlign w:val="bottom"/>
            <w:gridSpan w:val="2"/>
          </w:tcPr>
          <w:p>
            <w:pPr>
              <w:spacing w:after="0"/>
              <w:rPr>
                <w:sz w:val="20"/>
                <w:szCs w:val="20"/>
                <w:color w:val="auto"/>
              </w:rPr>
            </w:pPr>
            <w:r>
              <w:rPr>
                <w:rFonts w:ascii="Arial" w:cs="Arial" w:eastAsia="Arial" w:hAnsi="Arial"/>
                <w:sz w:val="18"/>
                <w:szCs w:val="18"/>
                <w:color w:val="auto"/>
              </w:rPr>
              <w:t>FOLLOWING:</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20" w:type="dxa"/>
            <w:vAlign w:val="bottom"/>
          </w:tcPr>
          <w:p>
            <w:pPr>
              <w:spacing w:after="0"/>
              <w:rPr>
                <w:sz w:val="20"/>
                <w:szCs w:val="20"/>
                <w:color w:val="auto"/>
              </w:rPr>
            </w:pPr>
          </w:p>
        </w:tc>
      </w:tr>
      <w:tr>
        <w:trPr>
          <w:trHeight w:val="340"/>
        </w:trPr>
        <w:tc>
          <w:tcPr>
            <w:tcW w:w="1940" w:type="dxa"/>
            <w:vAlign w:val="bottom"/>
            <w:gridSpan w:val="2"/>
          </w:tcPr>
          <w:p>
            <w:pPr>
              <w:spacing w:after="0"/>
              <w:rPr>
                <w:sz w:val="20"/>
                <w:szCs w:val="20"/>
                <w:color w:val="auto"/>
              </w:rPr>
            </w:pPr>
            <w:r>
              <w:rPr>
                <w:rFonts w:ascii="Arial" w:cs="Arial" w:eastAsia="Arial" w:hAnsi="Arial"/>
                <w:sz w:val="18"/>
                <w:szCs w:val="18"/>
                <w:color w:val="auto"/>
                <w:w w:val="99"/>
              </w:rPr>
              <w:t xml:space="preserve">PRIMARY FAX NO.:    </w:t>
            </w:r>
            <w:r>
              <w:rPr>
                <w:rFonts w:ascii="Arial" w:cs="Arial" w:eastAsia="Arial" w:hAnsi="Arial"/>
                <w:sz w:val="18"/>
                <w:szCs w:val="18"/>
                <w:b w:val="1"/>
                <w:bCs w:val="1"/>
                <w:i w:val="1"/>
                <w:iCs w:val="1"/>
                <w:color w:val="auto"/>
                <w:w w:val="99"/>
              </w:rPr>
              <w:t>[</w:t>
            </w: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88"/>
              </w:rPr>
              <w:t>(Attn:</w:t>
            </w: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60" w:type="dxa"/>
            <w:vAlign w:val="bottom"/>
            <w:gridSpan w:val="6"/>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Confirm]</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58"/>
        </w:trPr>
        <w:tc>
          <w:tcPr>
            <w:tcW w:w="1940" w:type="dxa"/>
            <w:vAlign w:val="bottom"/>
            <w:gridSpan w:val="2"/>
          </w:tcPr>
          <w:p>
            <w:pPr>
              <w:spacing w:after="0"/>
              <w:rPr>
                <w:sz w:val="20"/>
                <w:szCs w:val="20"/>
                <w:color w:val="auto"/>
              </w:rPr>
            </w:pPr>
            <w:r>
              <w:rPr>
                <w:rFonts w:ascii="Arial" w:cs="Arial" w:eastAsia="Arial" w:hAnsi="Arial"/>
                <w:sz w:val="18"/>
                <w:szCs w:val="18"/>
                <w:color w:val="auto"/>
                <w:w w:val="95"/>
              </w:rPr>
              <w:t xml:space="preserve">ALTERNATE FAX NO.: </w:t>
            </w:r>
            <w:r>
              <w:rPr>
                <w:rFonts w:ascii="Arial" w:cs="Arial" w:eastAsia="Arial" w:hAnsi="Arial"/>
                <w:sz w:val="18"/>
                <w:szCs w:val="18"/>
                <w:b w:val="1"/>
                <w:bCs w:val="1"/>
                <w:i w:val="1"/>
                <w:iCs w:val="1"/>
                <w:color w:val="auto"/>
                <w:w w:val="95"/>
              </w:rPr>
              <w: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(Attn:</w:t>
            </w:r>
          </w:p>
        </w:tc>
        <w:tc>
          <w:tcPr>
            <w:tcW w:w="5780" w:type="dxa"/>
            <w:vAlign w:val="bottom"/>
            <w:gridSpan w:val="8"/>
          </w:tcPr>
          <w:p>
            <w:pPr>
              <w:ind w:left="8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Confirm]</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NOTE: PLEASE FOLLOW-UP YOUR SUBMITTED WRITTEN BID(S) WITH PHONE VERIFICATION TO CONFIRM. IF YOU ARE UNABLE TO SEND</w:t>
      </w:r>
    </w:p>
    <w:p>
      <w:pPr>
        <w:spacing w:after="0" w:line="3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YOUR FAX DUE TO AN OCCUPIED FAX LINE, PLEASE CALL BY : A.M./P.M. IN ADDITION, PLEASE SUBMIT YOUR BID(S) IN SUBSTANTIALLY THE FORM OF “EXHIBIT H”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-172720</wp:posOffset>
            </wp:positionV>
            <wp:extent cx="4768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2" w:name="page143"/>
    <w:bookmarkEnd w:id="142"/>
    <w:p>
      <w:pPr>
        <w:spacing w:after="0"/>
        <w:tabs>
          <w:tab w:leader="none" w:pos="2580" w:val="left"/>
          <w:tab w:leader="none" w:pos="2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QUOTES RECEIVED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A.M./P.M. (NEW YORK TIME) WILL NOT BE FORWARDED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1432560</wp:posOffset>
            </wp:positionH>
            <wp:positionV relativeFrom="paragraph">
              <wp:posOffset>-13970</wp:posOffset>
            </wp:positionV>
            <wp:extent cx="47688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SUBMITTED BIDS MUST BE TEN MILLION DOLLARS ($10,000,000) OR LARGER MULTIPLE OF ONE MILLION DOLLARS ($1,000,000). ALSO, PLEASE SPECIFY LIMITATION AMOUNTS, IF APPLICABLE.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BANK OF AMERICA, N.A., as Administrative Agent</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254698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100"/>
          </w:cols>
          <w:pgMar w:left="240" w:top="280" w:right="55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H</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rPr>
              <w:t>FORM OF COMPETITIVE BID QUOTE</w:t>
            </w:r>
          </w:p>
        </w:tc>
        <w:tc>
          <w:tcPr>
            <w:tcW w:w="7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90"/>
        </w:trPr>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6"/>
          </w:tcPr>
          <w:p>
            <w:pPr>
              <w:jc w:val="center"/>
              <w:ind w:right="980"/>
              <w:spacing w:after="0"/>
              <w:rPr>
                <w:sz w:val="20"/>
                <w:szCs w:val="20"/>
                <w:color w:val="auto"/>
              </w:rPr>
            </w:pPr>
            <w:r>
              <w:rPr>
                <w:rFonts w:ascii="Arial" w:cs="Arial" w:eastAsia="Arial" w:hAnsi="Arial"/>
                <w:sz w:val="18"/>
                <w:szCs w:val="18"/>
                <w:b w:val="1"/>
                <w:bCs w:val="1"/>
                <w:color w:val="auto"/>
                <w:w w:val="97"/>
              </w:rPr>
              <w:t>WASTE MANAGEMENT, INC.</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340" w:type="dxa"/>
            <w:vAlign w:val="bottom"/>
            <w:gridSpan w:val="8"/>
          </w:tcPr>
          <w:p>
            <w:pPr>
              <w:jc w:val="center"/>
              <w:ind w:left="532"/>
              <w:spacing w:after="0"/>
              <w:rPr>
                <w:sz w:val="20"/>
                <w:szCs w:val="20"/>
                <w:color w:val="auto"/>
              </w:rPr>
            </w:pPr>
            <w:r>
              <w:rPr>
                <w:rFonts w:ascii="Arial" w:cs="Arial" w:eastAsia="Arial" w:hAnsi="Arial"/>
                <w:sz w:val="18"/>
                <w:szCs w:val="18"/>
                <w:color w:val="auto"/>
                <w:w w:val="88"/>
              </w:rPr>
              <w:t>Second Amended and Restated Revolving Credit Agreement</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184"/>
        </w:trPr>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340" w:type="dxa"/>
            <w:vAlign w:val="bottom"/>
            <w:gridSpan w:val="8"/>
          </w:tcPr>
          <w:p>
            <w:pPr>
              <w:jc w:val="center"/>
              <w:ind w:left="532"/>
              <w:spacing w:after="0" w:line="184" w:lineRule="exact"/>
              <w:rPr>
                <w:sz w:val="20"/>
                <w:szCs w:val="20"/>
                <w:color w:val="auto"/>
              </w:rPr>
            </w:pPr>
            <w:r>
              <w:rPr>
                <w:rFonts w:ascii="Arial" w:cs="Arial" w:eastAsia="Arial" w:hAnsi="Arial"/>
                <w:sz w:val="18"/>
                <w:szCs w:val="18"/>
                <w:color w:val="auto"/>
                <w:w w:val="89"/>
              </w:rPr>
              <w:t>(the “Credit Agreement”) dated as of July 26, 2013</w:t>
            </w: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399"/>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Competitive Bid Quote under §4.5</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3"/>
        </w:trPr>
        <w:tc>
          <w:tcPr>
            <w:tcW w:w="2740" w:type="dxa"/>
            <w:vAlign w:val="bottom"/>
            <w:gridSpan w:val="3"/>
          </w:tcPr>
          <w:p>
            <w:pPr>
              <w:spacing w:after="0"/>
              <w:rPr>
                <w:sz w:val="20"/>
                <w:szCs w:val="20"/>
                <w:color w:val="auto"/>
              </w:rPr>
            </w:pPr>
            <w:r>
              <w:rPr>
                <w:rFonts w:ascii="Arial" w:cs="Arial" w:eastAsia="Arial" w:hAnsi="Arial"/>
                <w:sz w:val="18"/>
                <w:szCs w:val="18"/>
                <w:color w:val="auto"/>
              </w:rPr>
              <w:t>Bank:</w:t>
            </w: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1"/>
        </w:trPr>
        <w:tc>
          <w:tcPr>
            <w:tcW w:w="2740" w:type="dxa"/>
            <w:vAlign w:val="bottom"/>
            <w:gridSpan w:val="3"/>
          </w:tcPr>
          <w:p>
            <w:pPr>
              <w:spacing w:after="0"/>
              <w:rPr>
                <w:sz w:val="20"/>
                <w:szCs w:val="20"/>
                <w:color w:val="auto"/>
              </w:rPr>
            </w:pPr>
            <w:r>
              <w:rPr>
                <w:rFonts w:ascii="Arial" w:cs="Arial" w:eastAsia="Arial" w:hAnsi="Arial"/>
                <w:sz w:val="18"/>
                <w:szCs w:val="18"/>
                <w:color w:val="auto"/>
              </w:rPr>
              <w:t>Person to Contact:</w:t>
            </w: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25"/>
        </w:trPr>
        <w:tc>
          <w:tcPr>
            <w:tcW w:w="2740" w:type="dxa"/>
            <w:vAlign w:val="bottom"/>
            <w:gridSpan w:val="3"/>
          </w:tcPr>
          <w:p>
            <w:pPr>
              <w:spacing w:after="0"/>
              <w:rPr>
                <w:sz w:val="20"/>
                <w:szCs w:val="20"/>
                <w:color w:val="auto"/>
              </w:rPr>
            </w:pPr>
            <w:r>
              <w:rPr>
                <w:rFonts w:ascii="Arial" w:cs="Arial" w:eastAsia="Arial" w:hAnsi="Arial"/>
                <w:sz w:val="18"/>
                <w:szCs w:val="18"/>
                <w:color w:val="auto"/>
              </w:rPr>
              <w:t>Date of Competitive</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Bid Quote Request:</w:t>
            </w:r>
          </w:p>
        </w:tc>
        <w:tc>
          <w:tcPr>
            <w:tcW w:w="1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5"/>
        </w:trPr>
        <w:tc>
          <w:tcPr>
            <w:tcW w:w="2740" w:type="dxa"/>
            <w:vAlign w:val="bottom"/>
            <w:gridSpan w:val="3"/>
          </w:tcPr>
          <w:p>
            <w:pPr>
              <w:spacing w:after="0"/>
              <w:rPr>
                <w:sz w:val="20"/>
                <w:szCs w:val="20"/>
                <w:color w:val="auto"/>
              </w:rPr>
            </w:pPr>
            <w:r>
              <w:rPr>
                <w:rFonts w:ascii="Arial" w:cs="Arial" w:eastAsia="Arial" w:hAnsi="Arial"/>
                <w:sz w:val="18"/>
                <w:szCs w:val="18"/>
                <w:color w:val="auto"/>
              </w:rPr>
              <w:t>Type of Competitive</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Bid Loans Requested:</w:t>
            </w:r>
          </w:p>
        </w:tc>
        <w:tc>
          <w:tcPr>
            <w:tcW w:w="1380" w:type="dxa"/>
            <w:vAlign w:val="bottom"/>
          </w:tcPr>
          <w:p>
            <w:pPr>
              <w:spacing w:after="0"/>
              <w:rPr>
                <w:sz w:val="19"/>
                <w:szCs w:val="19"/>
                <w:color w:val="auto"/>
              </w:rPr>
            </w:pPr>
          </w:p>
        </w:tc>
        <w:tc>
          <w:tcPr>
            <w:tcW w:w="3960" w:type="dxa"/>
            <w:vAlign w:val="bottom"/>
            <w:gridSpan w:val="7"/>
          </w:tcPr>
          <w:p>
            <w:pPr>
              <w:spacing w:after="0"/>
              <w:rPr>
                <w:sz w:val="20"/>
                <w:szCs w:val="20"/>
                <w:color w:val="auto"/>
              </w:rPr>
            </w:pPr>
            <w:r>
              <w:rPr>
                <w:rFonts w:ascii="Arial" w:cs="Arial" w:eastAsia="Arial" w:hAnsi="Arial"/>
                <w:sz w:val="18"/>
                <w:szCs w:val="18"/>
                <w:color w:val="auto"/>
              </w:rPr>
              <w:t>Eurodollar/Absolute</w:t>
            </w: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24"/>
        </w:trPr>
        <w:tc>
          <w:tcPr>
            <w:tcW w:w="2740" w:type="dxa"/>
            <w:vAlign w:val="bottom"/>
            <w:gridSpan w:val="3"/>
          </w:tcPr>
          <w:p>
            <w:pPr>
              <w:spacing w:after="0"/>
              <w:rPr>
                <w:sz w:val="20"/>
                <w:szCs w:val="20"/>
                <w:color w:val="auto"/>
              </w:rPr>
            </w:pPr>
            <w:r>
              <w:rPr>
                <w:rFonts w:ascii="Arial" w:cs="Arial" w:eastAsia="Arial" w:hAnsi="Arial"/>
                <w:sz w:val="18"/>
                <w:szCs w:val="18"/>
                <w:color w:val="auto"/>
              </w:rPr>
              <w:t>Requested Drawdown Date:</w:t>
            </w: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7"/>
        </w:trPr>
        <w:tc>
          <w:tcPr>
            <w:tcW w:w="138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Principal Amount of</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1"/>
        </w:trPr>
        <w:tc>
          <w:tcPr>
            <w:tcW w:w="138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w w:val="93"/>
              </w:rPr>
              <w:t>Competitive Bid Loan</w:t>
            </w: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4"/>
          </w:tcPr>
          <w:p>
            <w:pPr>
              <w:jc w:val="center"/>
              <w:ind w:right="980"/>
              <w:spacing w:after="0"/>
              <w:rPr>
                <w:sz w:val="20"/>
                <w:szCs w:val="20"/>
                <w:color w:val="auto"/>
              </w:rPr>
            </w:pPr>
            <w:r>
              <w:rPr>
                <w:rFonts w:ascii="Arial" w:cs="Arial" w:eastAsia="Arial" w:hAnsi="Arial"/>
                <w:sz w:val="14"/>
                <w:szCs w:val="14"/>
                <w:b w:val="1"/>
                <w:bCs w:val="1"/>
                <w:color w:val="auto"/>
                <w:w w:val="83"/>
              </w:rPr>
              <w:t>Requested</w:t>
            </w:r>
          </w:p>
        </w:tc>
        <w:tc>
          <w:tcPr>
            <w:tcW w:w="24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 Competitive Bid</w:t>
            </w:r>
          </w:p>
        </w:tc>
      </w:tr>
      <w:tr>
        <w:trPr>
          <w:trHeight w:val="149"/>
        </w:trPr>
        <w:tc>
          <w:tcPr>
            <w:tcW w:w="1380" w:type="dxa"/>
            <w:vAlign w:val="bottom"/>
          </w:tcPr>
          <w:p>
            <w:pPr>
              <w:spacing w:after="0"/>
              <w:rPr>
                <w:sz w:val="12"/>
                <w:szCs w:val="12"/>
                <w:color w:val="auto"/>
              </w:rPr>
            </w:pPr>
          </w:p>
        </w:tc>
        <w:tc>
          <w:tcPr>
            <w:tcW w:w="136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Offered</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500" w:type="dxa"/>
            <w:vAlign w:val="bottom"/>
            <w:gridSpan w:val="5"/>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Interest Period(s)</w:t>
            </w:r>
          </w:p>
        </w:tc>
        <w:tc>
          <w:tcPr>
            <w:tcW w:w="1980" w:type="dxa"/>
            <w:vAlign w:val="bottom"/>
            <w:gridSpan w:val="2"/>
          </w:tcPr>
          <w:p>
            <w:pPr>
              <w:jc w:val="center"/>
              <w:ind w:left="152"/>
              <w:spacing w:after="0" w:line="129" w:lineRule="exact"/>
              <w:rPr>
                <w:sz w:val="20"/>
                <w:szCs w:val="20"/>
                <w:color w:val="auto"/>
              </w:rPr>
            </w:pPr>
            <w:r>
              <w:rPr>
                <w:rFonts w:ascii="Arial" w:cs="Arial" w:eastAsia="Arial" w:hAnsi="Arial"/>
                <w:sz w:val="14"/>
                <w:szCs w:val="14"/>
                <w:b w:val="1"/>
                <w:bCs w:val="1"/>
                <w:color w:val="auto"/>
                <w:w w:val="90"/>
              </w:rPr>
              <w:t>Rate/Competitive Bid Margin</w:t>
            </w:r>
          </w:p>
        </w:tc>
      </w:tr>
      <w:tr>
        <w:trPr>
          <w:trHeight w:val="20"/>
        </w:trPr>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 certify that the above is true and correct, and that the offer(s) set forth above irrevocably obligates us to make such Competitive Bid Loan(s) if such</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offer(s) is/are accepted by the Borrower and all of the conditions set forth in §11 of the Credit Agreement have been satisfied as of the requested Drawdown Date.</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BANK]</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25469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ACCEPTANCE/REJECTION OF COMPETITIVE BID QUOTE(S)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Revolving Credit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July 26, 2013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Notice of Competitive Bid Quote(s) under §4.7</w:t>
            </w: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120" w:type="dxa"/>
            <w:vAlign w:val="bottom"/>
            <w:gridSpan w:val="4"/>
          </w:tcPr>
          <w:p>
            <w:pPr>
              <w:spacing w:after="0"/>
              <w:rPr>
                <w:sz w:val="20"/>
                <w:szCs w:val="20"/>
                <w:color w:val="auto"/>
              </w:rPr>
            </w:pPr>
            <w:r>
              <w:rPr>
                <w:rFonts w:ascii="Arial" w:cs="Arial" w:eastAsia="Arial" w:hAnsi="Arial"/>
                <w:sz w:val="18"/>
                <w:szCs w:val="18"/>
                <w:color w:val="auto"/>
              </w:rPr>
              <w:t>Date of Competitive Bid Quote Request:</w:t>
            </w:r>
          </w:p>
        </w:tc>
        <w:tc>
          <w:tcPr>
            <w:tcW w:w="1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4120" w:type="dxa"/>
            <w:vAlign w:val="bottom"/>
            <w:gridSpan w:val="4"/>
          </w:tcPr>
          <w:p>
            <w:pPr>
              <w:spacing w:after="0"/>
              <w:rPr>
                <w:sz w:val="20"/>
                <w:szCs w:val="20"/>
                <w:color w:val="auto"/>
              </w:rPr>
            </w:pPr>
            <w:r>
              <w:rPr>
                <w:rFonts w:ascii="Arial" w:cs="Arial" w:eastAsia="Arial" w:hAnsi="Arial"/>
                <w:sz w:val="18"/>
                <w:szCs w:val="18"/>
                <w:color w:val="auto"/>
              </w:rPr>
              <w:t>Type of Competitive Bid Loans Requested:</w:t>
            </w:r>
          </w:p>
        </w:tc>
        <w:tc>
          <w:tcPr>
            <w:tcW w:w="3660" w:type="dxa"/>
            <w:vAlign w:val="bottom"/>
            <w:gridSpan w:val="3"/>
          </w:tcPr>
          <w:p>
            <w:pPr>
              <w:spacing w:after="0"/>
              <w:rPr>
                <w:sz w:val="20"/>
                <w:szCs w:val="20"/>
                <w:color w:val="auto"/>
              </w:rPr>
            </w:pPr>
            <w:r>
              <w:rPr>
                <w:rFonts w:ascii="Arial" w:cs="Arial" w:eastAsia="Arial" w:hAnsi="Arial"/>
                <w:sz w:val="18"/>
                <w:szCs w:val="18"/>
                <w:color w:val="auto"/>
              </w:rPr>
              <w:t>Eurodollar/Absolute</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120" w:type="dxa"/>
            <w:vAlign w:val="bottom"/>
            <w:gridSpan w:val="4"/>
          </w:tcPr>
          <w:p>
            <w:pPr>
              <w:spacing w:after="0"/>
              <w:rPr>
                <w:sz w:val="20"/>
                <w:szCs w:val="20"/>
                <w:color w:val="auto"/>
              </w:rPr>
            </w:pPr>
            <w:r>
              <w:rPr>
                <w:rFonts w:ascii="Arial" w:cs="Arial" w:eastAsia="Arial" w:hAnsi="Arial"/>
                <w:sz w:val="18"/>
                <w:szCs w:val="18"/>
                <w:color w:val="auto"/>
              </w:rPr>
              <w:t>Requested Drawdown Date:</w:t>
            </w:r>
          </w:p>
        </w:tc>
        <w:tc>
          <w:tcPr>
            <w:tcW w:w="18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780" w:type="dxa"/>
            <w:vAlign w:val="bottom"/>
            <w:gridSpan w:val="7"/>
          </w:tcPr>
          <w:p>
            <w:pPr>
              <w:spacing w:after="0"/>
              <w:rPr>
                <w:sz w:val="20"/>
                <w:szCs w:val="20"/>
                <w:color w:val="auto"/>
              </w:rPr>
            </w:pPr>
            <w:r>
              <w:rPr>
                <w:rFonts w:ascii="Arial" w:cs="Arial" w:eastAsia="Arial" w:hAnsi="Arial"/>
                <w:sz w:val="18"/>
                <w:szCs w:val="18"/>
                <w:color w:val="auto"/>
              </w:rPr>
              <w:t xml:space="preserve">We hereby </w:t>
            </w:r>
            <w:r>
              <w:rPr>
                <w:rFonts w:ascii="Arial" w:cs="Arial" w:eastAsia="Arial" w:hAnsi="Arial"/>
                <w:sz w:val="18"/>
                <w:szCs w:val="18"/>
                <w:b w:val="1"/>
                <w:bCs w:val="1"/>
                <w:i w:val="1"/>
                <w:iCs w:val="1"/>
                <w:color w:val="auto"/>
              </w:rPr>
              <w:t>accept</w:t>
            </w:r>
            <w:r>
              <w:rPr>
                <w:rFonts w:ascii="Arial" w:cs="Arial" w:eastAsia="Arial" w:hAnsi="Arial"/>
                <w:sz w:val="18"/>
                <w:szCs w:val="18"/>
                <w:color w:val="auto"/>
              </w:rPr>
              <w:t xml:space="preserve"> the following Competitive Bid Quote(s):</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Competitive Rate/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1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Amount of Quotes</w:t>
            </w:r>
          </w:p>
        </w:tc>
        <w:tc>
          <w:tcPr>
            <w:tcW w:w="2080" w:type="dxa"/>
            <w:vAlign w:val="bottom"/>
            <w:gridSpan w:val="2"/>
          </w:tcPr>
          <w:p>
            <w:pPr>
              <w:spacing w:after="0"/>
              <w:rPr>
                <w:sz w:val="12"/>
                <w:szCs w:val="12"/>
                <w:color w:val="auto"/>
              </w:rPr>
            </w:pPr>
          </w:p>
        </w:tc>
        <w:tc>
          <w:tcPr>
            <w:tcW w:w="1800" w:type="dxa"/>
            <w:vAlign w:val="bottom"/>
          </w:tcPr>
          <w:p>
            <w:pPr>
              <w:spacing w:after="0"/>
              <w:rPr>
                <w:sz w:val="12"/>
                <w:szCs w:val="12"/>
                <w:color w:val="auto"/>
              </w:rPr>
            </w:pPr>
          </w:p>
        </w:tc>
        <w:tc>
          <w:tcPr>
            <w:tcW w:w="1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Interest Period(s)</w:t>
            </w:r>
          </w:p>
        </w:tc>
        <w:tc>
          <w:tcPr>
            <w:tcW w:w="80" w:type="dxa"/>
            <w:vAlign w:val="bottom"/>
          </w:tcPr>
          <w:p>
            <w:pPr>
              <w:spacing w:after="0"/>
              <w:rPr>
                <w:sz w:val="12"/>
                <w:szCs w:val="12"/>
                <w:color w:val="auto"/>
              </w:rPr>
            </w:pPr>
          </w:p>
        </w:tc>
        <w:tc>
          <w:tcPr>
            <w:tcW w:w="234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9"/>
              </w:rPr>
              <w:t>Competitive Bid Margin</w:t>
            </w:r>
          </w:p>
        </w:tc>
        <w:tc>
          <w:tcPr>
            <w:tcW w:w="300" w:type="dxa"/>
            <w:vAlign w:val="bottom"/>
          </w:tcPr>
          <w:p>
            <w:pPr>
              <w:spacing w:after="0" w:line="129" w:lineRule="exact"/>
              <w:rPr>
                <w:sz w:val="20"/>
                <w:szCs w:val="20"/>
                <w:color w:val="auto"/>
              </w:rPr>
            </w:pPr>
            <w:r>
              <w:rPr>
                <w:rFonts w:ascii="Arial" w:cs="Arial" w:eastAsia="Arial" w:hAnsi="Arial"/>
                <w:sz w:val="14"/>
                <w:szCs w:val="14"/>
                <w:b w:val="1"/>
                <w:bCs w:val="1"/>
                <w:color w:val="auto"/>
                <w:w w:val="81"/>
              </w:rPr>
              <w:t>Bank</w:t>
            </w: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color w:val="auto"/>
                <w:w w:val="89"/>
              </w:rPr>
              <w:t xml:space="preserve">We hereby </w:t>
            </w:r>
            <w:r>
              <w:rPr>
                <w:rFonts w:ascii="Arial" w:cs="Arial" w:eastAsia="Arial" w:hAnsi="Arial"/>
                <w:sz w:val="18"/>
                <w:szCs w:val="18"/>
                <w:b w:val="1"/>
                <w:bCs w:val="1"/>
                <w:i w:val="1"/>
                <w:iCs w:val="1"/>
                <w:color w:val="auto"/>
                <w:w w:val="89"/>
              </w:rPr>
              <w:t>reject</w:t>
            </w:r>
            <w:r>
              <w:rPr>
                <w:rFonts w:ascii="Arial" w:cs="Arial" w:eastAsia="Arial" w:hAnsi="Arial"/>
                <w:sz w:val="18"/>
                <w:szCs w:val="18"/>
                <w:color w:val="auto"/>
                <w:w w:val="89"/>
              </w:rPr>
              <w:t xml:space="preserve"> the following Competitive Bid Quote(s):</w:t>
            </w: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gridSpan w:val="4"/>
            <w:vMerge w:val="continue"/>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7"/>
              </w:rPr>
              <w:t>Competitive Rate/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Amount of Quotes</w:t>
            </w:r>
          </w:p>
        </w:tc>
        <w:tc>
          <w:tcPr>
            <w:tcW w:w="1800" w:type="dxa"/>
            <w:vAlign w:val="bottom"/>
          </w:tcPr>
          <w:p>
            <w:pPr>
              <w:spacing w:after="0"/>
              <w:rPr>
                <w:sz w:val="12"/>
                <w:szCs w:val="12"/>
                <w:color w:val="auto"/>
              </w:rPr>
            </w:pPr>
          </w:p>
        </w:tc>
        <w:tc>
          <w:tcPr>
            <w:tcW w:w="1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Interest Period(s)</w:t>
            </w:r>
          </w:p>
        </w:tc>
        <w:tc>
          <w:tcPr>
            <w:tcW w:w="80" w:type="dxa"/>
            <w:vAlign w:val="bottom"/>
          </w:tcPr>
          <w:p>
            <w:pPr>
              <w:spacing w:after="0"/>
              <w:rPr>
                <w:sz w:val="12"/>
                <w:szCs w:val="12"/>
                <w:color w:val="auto"/>
              </w:rPr>
            </w:pPr>
          </w:p>
        </w:tc>
        <w:tc>
          <w:tcPr>
            <w:tcW w:w="234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89"/>
              </w:rPr>
              <w:t>Competitive Bid Margin</w:t>
            </w:r>
          </w:p>
        </w:tc>
        <w:tc>
          <w:tcPr>
            <w:tcW w:w="300" w:type="dxa"/>
            <w:vAlign w:val="bottom"/>
          </w:tcPr>
          <w:p>
            <w:pPr>
              <w:spacing w:after="0" w:line="129" w:lineRule="exact"/>
              <w:rPr>
                <w:sz w:val="20"/>
                <w:szCs w:val="20"/>
                <w:color w:val="auto"/>
              </w:rPr>
            </w:pPr>
            <w:r>
              <w:rPr>
                <w:rFonts w:ascii="Arial" w:cs="Arial" w:eastAsia="Arial" w:hAnsi="Arial"/>
                <w:sz w:val="14"/>
                <w:szCs w:val="14"/>
                <w:b w:val="1"/>
                <w:bCs w:val="1"/>
                <w:color w:val="auto"/>
                <w:w w:val="81"/>
              </w:rPr>
              <w:t>Bank</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accepted and rejected Competitive Bid Quotes described above constitute all Competitive Bid Quotes submitted by the Banks in accordance with §4.5 of the Credit Agreement.</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6985</wp:posOffset>
            </wp:positionV>
            <wp:extent cx="2546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FORM OF ADMINISTRATIVE QUESTIONNAIRE</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See attached.</w:t>
      </w:r>
    </w:p>
    <w:p>
      <w:pPr>
        <w:sectPr>
          <w:pgSz w:w="11900" w:h="16838" w:orient="portrait"/>
          <w:cols w:equalWidth="0" w:num="1">
            <w:col w:w="10220"/>
          </w:cols>
          <w:pgMar w:left="1440" w:top="274" w:right="239" w:bottom="1440" w:gutter="0" w:footer="0" w:header="0"/>
        </w:sectPr>
      </w:pPr>
    </w:p>
    <w:bookmarkStart w:id="146" w:name="page147"/>
    <w:bookmarkEnd w:id="146"/>
    <w:p>
      <w:pPr>
        <w:jc w:val="right"/>
        <w:ind w:right="59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DETAILS REPLY FORM – (US DOLLAR ONLY) </w:t>
      </w: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-291465</wp:posOffset>
            </wp:positionV>
            <wp:extent cx="1029335" cy="2832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9335" cy="28321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Borrower or Deal Name Waste Management, Inc.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E-mail this document with your commitment letter to: Angela Lau</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recipient: angela.lau@baml.com</w:t>
      </w:r>
    </w:p>
    <w:p>
      <w:pPr>
        <w:spacing w:after="0" w:line="165" w:lineRule="exact"/>
        <w:rPr>
          <w:sz w:val="20"/>
          <w:szCs w:val="20"/>
          <w:color w:val="auto"/>
        </w:rPr>
      </w:pPr>
    </w:p>
    <w:p>
      <w:pPr>
        <w:ind w:left="240" w:right="7280" w:hanging="232"/>
        <w:spacing w:after="0" w:line="275" w:lineRule="auto"/>
        <w:tabs>
          <w:tab w:leader="none" w:pos="186"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Legal Name of Lender of Record for Signature Page: </w:t>
      </w:r>
      <w:r>
        <w:rPr>
          <w:rFonts w:ascii="Arial" w:cs="Arial" w:eastAsia="Arial" w:hAnsi="Arial"/>
          <w:sz w:val="18"/>
          <w:szCs w:val="18"/>
          <w:color w:val="auto"/>
        </w:rPr>
        <w:t>Markit Entity Identifier (MEI)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-17145</wp:posOffset>
            </wp:positionV>
            <wp:extent cx="54629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62905" cy="8890"/>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-179705</wp:posOffset>
            </wp:positionV>
            <wp:extent cx="40970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97020" cy="8890"/>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Fund Manager Name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-5715</wp:posOffset>
            </wp:positionV>
            <wp:extent cx="52311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Legal Address from Tax Document of Lender of Record:</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-5715</wp:posOffset>
            </wp:positionV>
            <wp:extent cx="653478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Address</w:t>
      </w:r>
    </w:p>
    <w:tbl>
      <w:tblPr>
        <w:tblLayout w:type="fixed"/>
        <w:tblInd w:w="0" w:type="dxa"/>
        <w:tblCellMar>
          <w:top w:w="0" w:type="dxa"/>
          <w:left w:w="0" w:type="dxa"/>
          <w:bottom w:w="0" w:type="dxa"/>
          <w:right w:w="0" w:type="dxa"/>
        </w:tblCellMar>
      </w:tblPr>
      <w:tr>
        <w:trPr>
          <w:trHeight w:val="223"/>
        </w:trPr>
        <w:tc>
          <w:tcPr>
            <w:tcW w:w="660" w:type="dxa"/>
            <w:vAlign w:val="bottom"/>
            <w:gridSpan w:val="2"/>
          </w:tcPr>
          <w:p>
            <w:pPr>
              <w:ind w:left="240"/>
              <w:spacing w:after="0"/>
              <w:rPr>
                <w:sz w:val="20"/>
                <w:szCs w:val="20"/>
                <w:color w:val="auto"/>
              </w:rPr>
            </w:pPr>
            <w:r>
              <w:rPr>
                <w:rFonts w:ascii="Arial" w:cs="Arial" w:eastAsia="Arial" w:hAnsi="Arial"/>
                <w:sz w:val="18"/>
                <w:szCs w:val="18"/>
                <w:color w:val="auto"/>
              </w:rPr>
              <w:t>City</w:t>
            </w:r>
          </w:p>
        </w:tc>
        <w:tc>
          <w:tcPr>
            <w:tcW w:w="460" w:type="dxa"/>
            <w:vAlign w:val="bottom"/>
            <w:tcBorders>
              <w:bottom w:val="single" w:sz="8" w:color="auto"/>
            </w:tcBorders>
            <w:gridSpan w:val="2"/>
          </w:tcPr>
          <w:p>
            <w:pPr>
              <w:spacing w:after="0"/>
              <w:rPr>
                <w:sz w:val="19"/>
                <w:szCs w:val="19"/>
                <w:color w:val="auto"/>
              </w:rPr>
            </w:pPr>
          </w:p>
        </w:tc>
        <w:tc>
          <w:tcPr>
            <w:tcW w:w="1660" w:type="dxa"/>
            <w:vAlign w:val="bottom"/>
            <w:tcBorders>
              <w:top w:val="single" w:sz="8" w:color="auto"/>
              <w:bottom w:val="single" w:sz="8" w:color="auto"/>
            </w:tcBorders>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State/Province</w:t>
            </w:r>
          </w:p>
        </w:tc>
        <w:tc>
          <w:tcPr>
            <w:tcW w:w="2240" w:type="dxa"/>
            <w:vAlign w:val="bottom"/>
            <w:tcBorders>
              <w:top w:val="single" w:sz="8" w:color="auto"/>
              <w:bottom w:val="single" w:sz="8" w:color="auto"/>
            </w:tcBorders>
            <w:gridSpan w:val="5"/>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Country</w:t>
            </w:r>
          </w:p>
        </w:tc>
        <w:tc>
          <w:tcPr>
            <w:tcW w:w="2120" w:type="dxa"/>
            <w:vAlign w:val="bottom"/>
            <w:tcBorders>
              <w:top w:val="single" w:sz="8" w:color="auto"/>
              <w:bottom w:val="single" w:sz="8" w:color="auto"/>
            </w:tcBorders>
            <w:gridSpan w:val="3"/>
          </w:tcPr>
          <w:p>
            <w:pPr>
              <w:spacing w:after="0"/>
              <w:rPr>
                <w:sz w:val="19"/>
                <w:szCs w:val="19"/>
                <w:color w:val="auto"/>
              </w:rPr>
            </w:pPr>
          </w:p>
        </w:tc>
      </w:tr>
      <w:tr>
        <w:trPr>
          <w:trHeight w:val="464"/>
        </w:trPr>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3. Domestic Funding Address: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40" w:type="dxa"/>
            <w:vAlign w:val="bottom"/>
            <w:gridSpan w:val="6"/>
          </w:tcPr>
          <w:p>
            <w:pPr>
              <w:ind w:left="340"/>
              <w:spacing w:after="0"/>
              <w:rPr>
                <w:sz w:val="20"/>
                <w:szCs w:val="20"/>
                <w:color w:val="auto"/>
              </w:rPr>
            </w:pPr>
            <w:r>
              <w:rPr>
                <w:rFonts w:ascii="Arial" w:cs="Arial" w:eastAsia="Arial" w:hAnsi="Arial"/>
                <w:sz w:val="18"/>
                <w:szCs w:val="18"/>
                <w:b w:val="1"/>
                <w:bCs w:val="1"/>
                <w:color w:val="auto"/>
                <w:w w:val="92"/>
              </w:rPr>
              <w:t>4. Eurodollar Funding Address: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8"/>
        </w:trPr>
        <w:tc>
          <w:tcPr>
            <w:tcW w:w="1100" w:type="dxa"/>
            <w:vAlign w:val="bottom"/>
            <w:gridSpan w:val="3"/>
          </w:tcPr>
          <w:p>
            <w:pPr>
              <w:ind w:left="20"/>
              <w:spacing w:after="0"/>
              <w:rPr>
                <w:sz w:val="20"/>
                <w:szCs w:val="20"/>
                <w:color w:val="auto"/>
              </w:rPr>
            </w:pPr>
            <w:r>
              <w:rPr>
                <w:rFonts w:ascii="Arial" w:cs="Arial" w:eastAsia="Arial" w:hAnsi="Arial"/>
                <w:sz w:val="18"/>
                <w:szCs w:val="18"/>
                <w:color w:val="auto"/>
                <w:w w:val="88"/>
              </w:rPr>
              <w:t>Street Address</w:t>
            </w:r>
          </w:p>
        </w:tc>
        <w:tc>
          <w:tcPr>
            <w:tcW w:w="1680" w:type="dxa"/>
            <w:vAlign w:val="bottom"/>
            <w:tcBorders>
              <w:bottom w:val="single" w:sz="8" w:color="auto"/>
            </w:tcBorders>
            <w:gridSpan w:val="3"/>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gridSpan w:val="3"/>
          </w:tcPr>
          <w:p>
            <w:pPr>
              <w:ind w:left="340"/>
              <w:spacing w:after="0"/>
              <w:rPr>
                <w:sz w:val="20"/>
                <w:szCs w:val="20"/>
                <w:color w:val="auto"/>
              </w:rPr>
            </w:pPr>
            <w:r>
              <w:rPr>
                <w:rFonts w:ascii="Arial" w:cs="Arial" w:eastAsia="Arial" w:hAnsi="Arial"/>
                <w:sz w:val="18"/>
                <w:szCs w:val="18"/>
                <w:color w:val="auto"/>
                <w:w w:val="90"/>
              </w:rPr>
              <w:t>Street Address</w:t>
            </w:r>
          </w:p>
        </w:tc>
        <w:tc>
          <w:tcPr>
            <w:tcW w:w="1400" w:type="dxa"/>
            <w:vAlign w:val="bottom"/>
            <w:tcBorders>
              <w:bottom w:val="single" w:sz="8" w:color="auto"/>
            </w:tcBorders>
            <w:gridSpan w:val="3"/>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220" w:type="dxa"/>
            <w:vAlign w:val="bottom"/>
            <w:gridSpan w:val="5"/>
          </w:tcPr>
          <w:p>
            <w:pPr>
              <w:ind w:left="20"/>
              <w:spacing w:after="0"/>
              <w:rPr>
                <w:sz w:val="20"/>
                <w:szCs w:val="20"/>
                <w:color w:val="auto"/>
              </w:rPr>
            </w:pPr>
            <w:r>
              <w:rPr>
                <w:rFonts w:ascii="Arial" w:cs="Arial" w:eastAsia="Arial" w:hAnsi="Arial"/>
                <w:sz w:val="18"/>
                <w:szCs w:val="18"/>
                <w:color w:val="auto"/>
                <w:w w:val="92"/>
              </w:rPr>
              <w:t>Suite/Mail Code</w:t>
            </w:r>
          </w:p>
        </w:tc>
        <w:tc>
          <w:tcPr>
            <w:tcW w:w="1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0" w:type="dxa"/>
            <w:vAlign w:val="bottom"/>
            <w:gridSpan w:val="5"/>
          </w:tcPr>
          <w:p>
            <w:pPr>
              <w:ind w:left="340"/>
              <w:spacing w:after="0"/>
              <w:rPr>
                <w:sz w:val="20"/>
                <w:szCs w:val="20"/>
                <w:color w:val="auto"/>
              </w:rPr>
            </w:pPr>
            <w:r>
              <w:rPr>
                <w:rFonts w:ascii="Arial" w:cs="Arial" w:eastAsia="Arial" w:hAnsi="Arial"/>
                <w:sz w:val="18"/>
                <w:szCs w:val="18"/>
                <w:color w:val="auto"/>
                <w:w w:val="93"/>
              </w:rPr>
              <w:t>Suite/ Mail Code</w:t>
            </w:r>
          </w:p>
        </w:tc>
        <w:tc>
          <w:tcPr>
            <w:tcW w:w="1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40" w:type="dxa"/>
            <w:vAlign w:val="bottom"/>
          </w:tcPr>
          <w:p>
            <w:pPr>
              <w:ind w:left="20"/>
              <w:spacing w:after="0"/>
              <w:rPr>
                <w:sz w:val="20"/>
                <w:szCs w:val="20"/>
                <w:color w:val="auto"/>
              </w:rPr>
            </w:pPr>
            <w:r>
              <w:rPr>
                <w:rFonts w:ascii="Arial" w:cs="Arial" w:eastAsia="Arial" w:hAnsi="Arial"/>
                <w:sz w:val="18"/>
                <w:szCs w:val="18"/>
                <w:color w:val="auto"/>
              </w:rPr>
              <w:t>City</w:t>
            </w:r>
          </w:p>
        </w:tc>
        <w:tc>
          <w:tcPr>
            <w:tcW w:w="2240" w:type="dxa"/>
            <w:vAlign w:val="bottom"/>
            <w:tcBorders>
              <w:bottom w:val="single" w:sz="8" w:color="auto"/>
            </w:tcBorders>
            <w:gridSpan w:val="5"/>
          </w:tcPr>
          <w:p>
            <w:pPr>
              <w:spacing w:after="0"/>
              <w:rPr>
                <w:sz w:val="19"/>
                <w:szCs w:val="19"/>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w w:val="90"/>
              </w:rPr>
              <w:t>State</w:t>
            </w:r>
          </w:p>
        </w:tc>
        <w:tc>
          <w:tcPr>
            <w:tcW w:w="1440" w:type="dxa"/>
            <w:vAlign w:val="bottom"/>
            <w:tcBorders>
              <w:bottom w:val="single" w:sz="8" w:color="auto"/>
            </w:tcBorders>
            <w:gridSpan w:val="2"/>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City</w:t>
            </w:r>
          </w:p>
        </w:tc>
        <w:tc>
          <w:tcPr>
            <w:tcW w:w="1960" w:type="dxa"/>
            <w:vAlign w:val="bottom"/>
            <w:tcBorders>
              <w:bottom w:val="single" w:sz="8" w:color="auto"/>
            </w:tcBorders>
            <w:gridSpan w:val="4"/>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w w:val="95"/>
              </w:rPr>
              <w:t>State</w:t>
            </w:r>
          </w:p>
        </w:tc>
        <w:tc>
          <w:tcPr>
            <w:tcW w:w="2240" w:type="dxa"/>
            <w:vAlign w:val="bottom"/>
            <w:tcBorders>
              <w:bottom w:val="single" w:sz="8" w:color="auto"/>
            </w:tcBorders>
            <w:gridSpan w:val="3"/>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120" w:type="dxa"/>
            <w:vAlign w:val="bottom"/>
            <w:gridSpan w:val="4"/>
          </w:tcPr>
          <w:p>
            <w:pPr>
              <w:ind w:left="20"/>
              <w:spacing w:after="0"/>
              <w:rPr>
                <w:sz w:val="20"/>
                <w:szCs w:val="20"/>
                <w:color w:val="auto"/>
              </w:rPr>
            </w:pPr>
            <w:r>
              <w:rPr>
                <w:rFonts w:ascii="Arial" w:cs="Arial" w:eastAsia="Arial" w:hAnsi="Arial"/>
                <w:sz w:val="18"/>
                <w:szCs w:val="18"/>
                <w:color w:val="auto"/>
              </w:rPr>
              <w:t>Postal Code</w:t>
            </w:r>
          </w:p>
        </w:tc>
        <w:tc>
          <w:tcPr>
            <w:tcW w:w="166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Country</w:t>
            </w:r>
          </w:p>
        </w:tc>
        <w:tc>
          <w:tcPr>
            <w:tcW w:w="9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60" w:type="dxa"/>
            <w:vAlign w:val="bottom"/>
            <w:gridSpan w:val="4"/>
          </w:tcPr>
          <w:p>
            <w:pPr>
              <w:ind w:left="340"/>
              <w:spacing w:after="0"/>
              <w:rPr>
                <w:sz w:val="20"/>
                <w:szCs w:val="20"/>
                <w:color w:val="auto"/>
              </w:rPr>
            </w:pPr>
            <w:r>
              <w:rPr>
                <w:rFonts w:ascii="Arial" w:cs="Arial" w:eastAsia="Arial" w:hAnsi="Arial"/>
                <w:sz w:val="18"/>
                <w:szCs w:val="18"/>
                <w:color w:val="auto"/>
              </w:rPr>
              <w:t>Postal Code</w:t>
            </w:r>
          </w:p>
        </w:tc>
        <w:tc>
          <w:tcPr>
            <w:tcW w:w="138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8"/>
                <w:szCs w:val="18"/>
                <w:color w:val="auto"/>
              </w:rPr>
              <w:t>Country</w:t>
            </w:r>
          </w:p>
        </w:tc>
        <w:tc>
          <w:tcPr>
            <w:tcW w:w="1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Credit Contact Information:</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Primary Credit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IntraLinks/SyndTrak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6985</wp:posOffset>
            </wp:positionV>
            <wp:extent cx="60115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Secondary Credit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First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Middle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Last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Suite/Mail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Telephone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Office 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Work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IntraLinks/SyndTrak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6985</wp:posOffset>
            </wp:positionV>
            <wp:extent cx="601154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 |  REV April 2013</w:t>
      </w:r>
    </w:p>
    <w:p>
      <w:pPr>
        <w:sectPr>
          <w:pgSz w:w="11900" w:h="16838" w:orient="portrait"/>
          <w:cols w:equalWidth="0" w:num="1">
            <w:col w:w="11420"/>
          </w:cols>
          <w:pgMar w:left="240" w:top="274"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DETAILS REPLY FORM – (US DOLLAR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-121920</wp:posOffset>
            </wp:positionV>
            <wp:extent cx="1029335" cy="2832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029335" cy="2832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gridSpan w:val="8"/>
          </w:tcPr>
          <w:p>
            <w:pPr>
              <w:ind w:left="580"/>
              <w:spacing w:after="0"/>
              <w:rPr>
                <w:sz w:val="20"/>
                <w:szCs w:val="20"/>
                <w:color w:val="auto"/>
              </w:rPr>
            </w:pPr>
            <w:r>
              <w:rPr>
                <w:rFonts w:ascii="Arial" w:cs="Arial" w:eastAsia="Arial" w:hAnsi="Arial"/>
                <w:sz w:val="18"/>
                <w:szCs w:val="18"/>
                <w:b w:val="1"/>
                <w:bCs w:val="1"/>
                <w:i w:val="1"/>
                <w:iCs w:val="1"/>
                <w:color w:val="auto"/>
              </w:rPr>
              <w:t>CONFIDENTIAL</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74"/>
        </w:trPr>
        <w:tc>
          <w:tcPr>
            <w:tcW w:w="2420" w:type="dxa"/>
            <w:vAlign w:val="bottom"/>
            <w:gridSpan w:val="12"/>
          </w:tcPr>
          <w:p>
            <w:pPr>
              <w:spacing w:after="0"/>
              <w:rPr>
                <w:sz w:val="20"/>
                <w:szCs w:val="20"/>
                <w:color w:val="auto"/>
              </w:rPr>
            </w:pPr>
            <w:r>
              <w:rPr>
                <w:rFonts w:ascii="Arial" w:cs="Arial" w:eastAsia="Arial" w:hAnsi="Arial"/>
                <w:sz w:val="18"/>
                <w:szCs w:val="18"/>
                <w:b w:val="1"/>
                <w:bCs w:val="1"/>
                <w:color w:val="auto"/>
                <w:w w:val="97"/>
              </w:rPr>
              <w:t>Primary Operations Contact: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15"/>
          </w:tcPr>
          <w:p>
            <w:pPr>
              <w:spacing w:after="0"/>
              <w:rPr>
                <w:sz w:val="20"/>
                <w:szCs w:val="20"/>
                <w:color w:val="auto"/>
              </w:rPr>
            </w:pPr>
            <w:r>
              <w:rPr>
                <w:rFonts w:ascii="Arial" w:cs="Arial" w:eastAsia="Arial" w:hAnsi="Arial"/>
                <w:sz w:val="18"/>
                <w:szCs w:val="18"/>
                <w:b w:val="1"/>
                <w:bCs w:val="1"/>
                <w:color w:val="auto"/>
                <w:w w:val="89"/>
              </w:rPr>
              <w:t>Secondary Operations Contact: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77"/>
        </w:trPr>
        <w:tc>
          <w:tcPr>
            <w:tcW w:w="1900" w:type="dxa"/>
            <w:vAlign w:val="bottom"/>
            <w:tcBorders>
              <w:top w:val="single" w:sz="8" w:color="auto"/>
            </w:tcBorders>
            <w:gridSpan w:val="9"/>
          </w:tcPr>
          <w:p>
            <w:pPr>
              <w:ind w:left="20"/>
              <w:spacing w:after="0"/>
              <w:rPr>
                <w:sz w:val="20"/>
                <w:szCs w:val="20"/>
                <w:color w:val="auto"/>
              </w:rPr>
            </w:pPr>
            <w:r>
              <w:rPr>
                <w:rFonts w:ascii="Arial" w:cs="Arial" w:eastAsia="Arial" w:hAnsi="Arial"/>
                <w:sz w:val="18"/>
                <w:szCs w:val="18"/>
                <w:color w:val="auto"/>
              </w:rPr>
              <w:t>First</w:t>
            </w:r>
          </w:p>
        </w:tc>
        <w:tc>
          <w:tcPr>
            <w:tcW w:w="3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MI</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6"/>
          </w:tcPr>
          <w:p>
            <w:pPr>
              <w:ind w:left="60"/>
              <w:spacing w:after="0"/>
              <w:rPr>
                <w:sz w:val="20"/>
                <w:szCs w:val="20"/>
                <w:color w:val="auto"/>
              </w:rPr>
            </w:pPr>
            <w:r>
              <w:rPr>
                <w:rFonts w:ascii="Arial" w:cs="Arial" w:eastAsia="Arial" w:hAnsi="Arial"/>
                <w:sz w:val="18"/>
                <w:szCs w:val="18"/>
                <w:color w:val="auto"/>
              </w:rPr>
              <w:t>Last</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First</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MI</w:t>
            </w:r>
          </w:p>
        </w:tc>
        <w:tc>
          <w:tcPr>
            <w:tcW w:w="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ind w:left="40"/>
              <w:spacing w:after="0"/>
              <w:rPr>
                <w:sz w:val="20"/>
                <w:szCs w:val="20"/>
                <w:color w:val="auto"/>
              </w:rPr>
            </w:pPr>
            <w:r>
              <w:rPr>
                <w:rFonts w:ascii="Arial" w:cs="Arial" w:eastAsia="Arial" w:hAnsi="Arial"/>
                <w:sz w:val="18"/>
                <w:szCs w:val="18"/>
                <w:color w:val="auto"/>
              </w:rPr>
              <w:t>Last</w:t>
            </w:r>
          </w:p>
        </w:tc>
      </w:tr>
      <w:tr>
        <w:trPr>
          <w:trHeight w:val="21"/>
        </w:trPr>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2"/>
        </w:trPr>
        <w:tc>
          <w:tcPr>
            <w:tcW w:w="660" w:type="dxa"/>
            <w:vAlign w:val="bottom"/>
            <w:gridSpan w:val="3"/>
          </w:tcPr>
          <w:p>
            <w:pPr>
              <w:ind w:left="20"/>
              <w:spacing w:after="0"/>
              <w:rPr>
                <w:sz w:val="20"/>
                <w:szCs w:val="20"/>
                <w:color w:val="auto"/>
              </w:rPr>
            </w:pPr>
            <w:r>
              <w:rPr>
                <w:rFonts w:ascii="Arial" w:cs="Arial" w:eastAsia="Arial" w:hAnsi="Arial"/>
                <w:sz w:val="18"/>
                <w:szCs w:val="18"/>
                <w:color w:val="auto"/>
              </w:rPr>
              <w:t>Title</w:t>
            </w:r>
          </w:p>
        </w:tc>
        <w:tc>
          <w:tcPr>
            <w:tcW w:w="1240" w:type="dxa"/>
            <w:vAlign w:val="bottom"/>
            <w:tcBorders>
              <w:bottom w:val="single" w:sz="8" w:color="auto"/>
            </w:tcBorders>
            <w:gridSpan w:val="6"/>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Title</w:t>
            </w:r>
          </w:p>
        </w:tc>
        <w:tc>
          <w:tcPr>
            <w:tcW w:w="640" w:type="dxa"/>
            <w:vAlign w:val="bottom"/>
            <w:tcBorders>
              <w:bottom w:val="single" w:sz="8" w:color="auto"/>
            </w:tcBorders>
            <w:gridSpan w:val="3"/>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2"/>
        </w:trPr>
        <w:tc>
          <w:tcPr>
            <w:tcW w:w="1660" w:type="dxa"/>
            <w:vAlign w:val="bottom"/>
            <w:gridSpan w:val="7"/>
          </w:tcPr>
          <w:p>
            <w:pPr>
              <w:ind w:left="20"/>
              <w:spacing w:after="0"/>
              <w:rPr>
                <w:sz w:val="20"/>
                <w:szCs w:val="20"/>
                <w:color w:val="auto"/>
              </w:rPr>
            </w:pPr>
            <w:r>
              <w:rPr>
                <w:rFonts w:ascii="Arial" w:cs="Arial" w:eastAsia="Arial" w:hAnsi="Arial"/>
                <w:sz w:val="18"/>
                <w:szCs w:val="18"/>
                <w:color w:val="auto"/>
              </w:rPr>
              <w:t>Street Address</w:t>
            </w:r>
          </w:p>
        </w:tc>
        <w:tc>
          <w:tcPr>
            <w:tcW w:w="24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Street Address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3"/>
        </w:trPr>
        <w:tc>
          <w:tcPr>
            <w:tcW w:w="1660" w:type="dxa"/>
            <w:vAlign w:val="bottom"/>
            <w:gridSpan w:val="7"/>
          </w:tcPr>
          <w:p>
            <w:pPr>
              <w:ind w:left="20"/>
              <w:spacing w:after="0"/>
              <w:rPr>
                <w:sz w:val="20"/>
                <w:szCs w:val="20"/>
                <w:color w:val="auto"/>
              </w:rPr>
            </w:pPr>
            <w:r>
              <w:rPr>
                <w:rFonts w:ascii="Arial" w:cs="Arial" w:eastAsia="Arial" w:hAnsi="Arial"/>
                <w:sz w:val="18"/>
                <w:szCs w:val="18"/>
                <w:color w:val="auto"/>
              </w:rPr>
              <w:t>Suite/ Mail Code</w:t>
            </w:r>
          </w:p>
        </w:tc>
        <w:tc>
          <w:tcPr>
            <w:tcW w:w="24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w w:val="98"/>
              </w:rPr>
              <w:t>Suite/ Mail Code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4"/>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City</w:t>
            </w:r>
          </w:p>
        </w:tc>
        <w:tc>
          <w:tcPr>
            <w:tcW w:w="1360" w:type="dxa"/>
            <w:vAlign w:val="bottom"/>
            <w:tcBorders>
              <w:bottom w:val="single" w:sz="8" w:color="auto"/>
            </w:tcBorders>
            <w:gridSpan w:val="7"/>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w w:val="90"/>
              </w:rPr>
              <w:t>State</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City</w:t>
            </w:r>
          </w:p>
        </w:tc>
        <w:tc>
          <w:tcPr>
            <w:tcW w:w="780" w:type="dxa"/>
            <w:vAlign w:val="bottom"/>
            <w:tcBorders>
              <w:bottom w:val="single" w:sz="8" w:color="auto"/>
            </w:tcBorders>
            <w:gridSpan w:val="4"/>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gridSpan w:val="4"/>
          </w:tcPr>
          <w:p>
            <w:pPr>
              <w:ind w:left="40"/>
              <w:spacing w:after="0"/>
              <w:rPr>
                <w:sz w:val="20"/>
                <w:szCs w:val="20"/>
                <w:color w:val="auto"/>
              </w:rPr>
            </w:pPr>
            <w:r>
              <w:rPr>
                <w:rFonts w:ascii="Arial" w:cs="Arial" w:eastAsia="Arial" w:hAnsi="Arial"/>
                <w:sz w:val="18"/>
                <w:szCs w:val="18"/>
                <w:color w:val="auto"/>
                <w:w w:val="95"/>
              </w:rPr>
              <w:t>State</w:t>
            </w:r>
          </w:p>
        </w:tc>
        <w:tc>
          <w:tcPr>
            <w:tcW w:w="2240" w:type="dxa"/>
            <w:vAlign w:val="bottom"/>
            <w:tcBorders>
              <w:bottom w:val="single" w:sz="8" w:color="auto"/>
            </w:tcBorders>
            <w:gridSpan w:val="3"/>
          </w:tcPr>
          <w:p>
            <w:pPr>
              <w:spacing w:after="0"/>
              <w:rPr>
                <w:sz w:val="19"/>
                <w:szCs w:val="19"/>
                <w:color w:val="auto"/>
              </w:rPr>
            </w:pPr>
          </w:p>
        </w:tc>
      </w:tr>
      <w:tr>
        <w:trPr>
          <w:trHeight w:val="223"/>
        </w:trPr>
        <w:tc>
          <w:tcPr>
            <w:tcW w:w="960" w:type="dxa"/>
            <w:vAlign w:val="bottom"/>
            <w:gridSpan w:val="5"/>
          </w:tcPr>
          <w:p>
            <w:pPr>
              <w:ind w:left="20"/>
              <w:spacing w:after="0"/>
              <w:rPr>
                <w:sz w:val="20"/>
                <w:szCs w:val="20"/>
                <w:color w:val="auto"/>
              </w:rPr>
            </w:pPr>
            <w:r>
              <w:rPr>
                <w:rFonts w:ascii="Arial" w:cs="Arial" w:eastAsia="Arial" w:hAnsi="Arial"/>
                <w:sz w:val="18"/>
                <w:szCs w:val="18"/>
                <w:color w:val="auto"/>
                <w:w w:val="93"/>
              </w:rPr>
              <w:t>Postal Code</w:t>
            </w:r>
          </w:p>
        </w:tc>
        <w:tc>
          <w:tcPr>
            <w:tcW w:w="940" w:type="dxa"/>
            <w:vAlign w:val="bottom"/>
            <w:tcBorders>
              <w:bottom w:val="single" w:sz="8" w:color="auto"/>
            </w:tcBorders>
            <w:gridSpan w:val="4"/>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gridSpan w:val="4"/>
          </w:tcPr>
          <w:p>
            <w:pPr>
              <w:ind w:left="60"/>
              <w:spacing w:after="0"/>
              <w:rPr>
                <w:sz w:val="20"/>
                <w:szCs w:val="20"/>
                <w:color w:val="auto"/>
              </w:rPr>
            </w:pPr>
            <w:r>
              <w:rPr>
                <w:rFonts w:ascii="Arial" w:cs="Arial" w:eastAsia="Arial" w:hAnsi="Arial"/>
                <w:sz w:val="18"/>
                <w:szCs w:val="18"/>
                <w:color w:val="auto"/>
                <w:w w:val="95"/>
              </w:rPr>
              <w:t>Country</w:t>
            </w: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Arial" w:cs="Arial" w:eastAsia="Arial" w:hAnsi="Arial"/>
                <w:sz w:val="18"/>
                <w:szCs w:val="18"/>
                <w:color w:val="auto"/>
                <w:w w:val="95"/>
              </w:rPr>
              <w:t>Postal Code</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gridSpan w:val="4"/>
          </w:tcPr>
          <w:p>
            <w:pPr>
              <w:ind w:left="40"/>
              <w:spacing w:after="0"/>
              <w:rPr>
                <w:sz w:val="20"/>
                <w:szCs w:val="20"/>
                <w:color w:val="auto"/>
              </w:rPr>
            </w:pPr>
            <w:r>
              <w:rPr>
                <w:rFonts w:ascii="Arial" w:cs="Arial" w:eastAsia="Arial" w:hAnsi="Arial"/>
                <w:sz w:val="18"/>
                <w:szCs w:val="18"/>
                <w:color w:val="auto"/>
                <w:w w:val="98"/>
              </w:rPr>
              <w:t>Country</w:t>
            </w:r>
          </w:p>
        </w:tc>
        <w:tc>
          <w:tcPr>
            <w:tcW w:w="1920" w:type="dxa"/>
            <w:vAlign w:val="bottom"/>
            <w:tcBorders>
              <w:bottom w:val="single" w:sz="8" w:color="auto"/>
            </w:tcBorders>
            <w:gridSpan w:val="2"/>
          </w:tcPr>
          <w:p>
            <w:pPr>
              <w:spacing w:after="0"/>
              <w:rPr>
                <w:sz w:val="19"/>
                <w:szCs w:val="19"/>
                <w:color w:val="auto"/>
              </w:rPr>
            </w:pPr>
          </w:p>
        </w:tc>
      </w:tr>
      <w:tr>
        <w:trPr>
          <w:trHeight w:val="223"/>
        </w:trPr>
        <w:tc>
          <w:tcPr>
            <w:tcW w:w="780" w:type="dxa"/>
            <w:vAlign w:val="bottom"/>
            <w:gridSpan w:val="4"/>
          </w:tcPr>
          <w:p>
            <w:pPr>
              <w:ind w:left="20"/>
              <w:spacing w:after="0"/>
              <w:rPr>
                <w:sz w:val="20"/>
                <w:szCs w:val="20"/>
                <w:color w:val="auto"/>
              </w:rPr>
            </w:pPr>
            <w:r>
              <w:rPr>
                <w:rFonts w:ascii="Arial" w:cs="Arial" w:eastAsia="Arial" w:hAnsi="Arial"/>
                <w:sz w:val="18"/>
                <w:szCs w:val="18"/>
                <w:color w:val="auto"/>
                <w:w w:val="86"/>
              </w:rPr>
              <w:t>Telephone</w:t>
            </w:r>
          </w:p>
        </w:tc>
        <w:tc>
          <w:tcPr>
            <w:tcW w:w="1120" w:type="dxa"/>
            <w:vAlign w:val="bottom"/>
            <w:tcBorders>
              <w:bottom w:val="single" w:sz="8" w:color="auto"/>
            </w:tcBorders>
            <w:gridSpan w:val="5"/>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Arial" w:cs="Arial" w:eastAsia="Arial" w:hAnsi="Arial"/>
                <w:sz w:val="18"/>
                <w:szCs w:val="18"/>
                <w:color w:val="auto"/>
                <w:w w:val="92"/>
              </w:rPr>
              <w:t>Facsimile</w:t>
            </w:r>
          </w:p>
        </w:tc>
        <w:tc>
          <w:tcPr>
            <w:tcW w:w="36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w w:val="89"/>
              </w:rPr>
              <w:t>Telephone</w:t>
            </w:r>
          </w:p>
        </w:tc>
        <w:tc>
          <w:tcPr>
            <w:tcW w:w="5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5"/>
          </w:tcPr>
          <w:p>
            <w:pPr>
              <w:ind w:left="20"/>
              <w:spacing w:after="0"/>
              <w:rPr>
                <w:sz w:val="20"/>
                <w:szCs w:val="20"/>
                <w:color w:val="auto"/>
              </w:rPr>
            </w:pPr>
            <w:r>
              <w:rPr>
                <w:rFonts w:ascii="Arial" w:cs="Arial" w:eastAsia="Arial" w:hAnsi="Arial"/>
                <w:sz w:val="18"/>
                <w:szCs w:val="18"/>
                <w:color w:val="auto"/>
                <w:w w:val="94"/>
              </w:rPr>
              <w:t>Facsimile</w:t>
            </w:r>
          </w:p>
        </w:tc>
        <w:tc>
          <w:tcPr>
            <w:tcW w:w="2280" w:type="dxa"/>
            <w:vAlign w:val="bottom"/>
            <w:tcBorders>
              <w:bottom w:val="single" w:sz="8" w:color="auto"/>
            </w:tcBorders>
            <w:gridSpan w:val="4"/>
          </w:tcPr>
          <w:p>
            <w:pPr>
              <w:spacing w:after="0"/>
              <w:rPr>
                <w:sz w:val="19"/>
                <w:szCs w:val="19"/>
                <w:color w:val="auto"/>
              </w:rPr>
            </w:pPr>
          </w:p>
        </w:tc>
      </w:tr>
      <w:tr>
        <w:trPr>
          <w:trHeight w:val="223"/>
        </w:trPr>
        <w:tc>
          <w:tcPr>
            <w:tcW w:w="1540" w:type="dxa"/>
            <w:vAlign w:val="bottom"/>
            <w:gridSpan w:val="6"/>
          </w:tcPr>
          <w:p>
            <w:pPr>
              <w:ind w:left="20"/>
              <w:spacing w:after="0"/>
              <w:rPr>
                <w:sz w:val="20"/>
                <w:szCs w:val="20"/>
                <w:color w:val="auto"/>
              </w:rPr>
            </w:pPr>
            <w:r>
              <w:rPr>
                <w:rFonts w:ascii="Arial" w:cs="Arial" w:eastAsia="Arial" w:hAnsi="Arial"/>
                <w:sz w:val="18"/>
                <w:szCs w:val="18"/>
                <w:color w:val="auto"/>
              </w:rPr>
              <w:t>E-Mail Address</w:t>
            </w:r>
          </w:p>
        </w:tc>
        <w:tc>
          <w:tcPr>
            <w:tcW w:w="360" w:type="dxa"/>
            <w:vAlign w:val="bottom"/>
            <w:tcBorders>
              <w:bottom w:val="single" w:sz="8" w:color="auto"/>
            </w:tcBorders>
            <w:gridSpan w:val="3"/>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E-Mail Address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16"/>
        </w:trPr>
        <w:tc>
          <w:tcPr>
            <w:tcW w:w="2420" w:type="dxa"/>
            <w:vAlign w:val="bottom"/>
            <w:gridSpan w:val="12"/>
          </w:tcPr>
          <w:p>
            <w:pPr>
              <w:ind w:left="20"/>
              <w:spacing w:after="0"/>
              <w:rPr>
                <w:sz w:val="20"/>
                <w:szCs w:val="20"/>
                <w:color w:val="auto"/>
              </w:rPr>
            </w:pPr>
            <w:r>
              <w:rPr>
                <w:rFonts w:ascii="Arial" w:cs="Arial" w:eastAsia="Arial" w:hAnsi="Arial"/>
                <w:sz w:val="18"/>
                <w:szCs w:val="18"/>
                <w:color w:val="auto"/>
              </w:rPr>
              <w:t>IntraLinks/SyndTrak E-Mail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15"/>
          </w:tcPr>
          <w:p>
            <w:pPr>
              <w:spacing w:after="0"/>
              <w:rPr>
                <w:sz w:val="20"/>
                <w:szCs w:val="20"/>
                <w:color w:val="auto"/>
              </w:rPr>
            </w:pPr>
            <w:r>
              <w:rPr>
                <w:rFonts w:ascii="Arial" w:cs="Arial" w:eastAsia="Arial" w:hAnsi="Arial"/>
                <w:sz w:val="18"/>
                <w:szCs w:val="18"/>
                <w:color w:val="auto"/>
              </w:rPr>
              <w:t>IntraLinks/SyndTrak E-Mail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3"/>
        </w:trPr>
        <w:tc>
          <w:tcPr>
            <w:tcW w:w="660" w:type="dxa"/>
            <w:vAlign w:val="bottom"/>
            <w:gridSpan w:val="3"/>
          </w:tcPr>
          <w:p>
            <w:pPr>
              <w:ind w:left="20"/>
              <w:spacing w:after="0"/>
              <w:rPr>
                <w:sz w:val="20"/>
                <w:szCs w:val="20"/>
                <w:color w:val="auto"/>
              </w:rPr>
            </w:pPr>
            <w:r>
              <w:rPr>
                <w:rFonts w:ascii="Arial" w:cs="Arial" w:eastAsia="Arial" w:hAnsi="Arial"/>
                <w:sz w:val="18"/>
                <w:szCs w:val="18"/>
                <w:color w:val="auto"/>
                <w:w w:val="93"/>
              </w:rPr>
              <w:t>Address</w:t>
            </w:r>
          </w:p>
        </w:tc>
        <w:tc>
          <w:tcPr>
            <w:tcW w:w="1240" w:type="dxa"/>
            <w:vAlign w:val="bottom"/>
            <w:tcBorders>
              <w:bottom w:val="single" w:sz="8" w:color="auto"/>
            </w:tcBorders>
            <w:gridSpan w:val="6"/>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w w:val="99"/>
              </w:rPr>
              <w:t>Address</w:t>
            </w:r>
          </w:p>
        </w:tc>
        <w:tc>
          <w:tcPr>
            <w:tcW w:w="640" w:type="dxa"/>
            <w:vAlign w:val="bottom"/>
            <w:tcBorders>
              <w:bottom w:val="single" w:sz="8" w:color="auto"/>
            </w:tcBorders>
            <w:gridSpan w:val="3"/>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575"/>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60" w:type="dxa"/>
            <w:vAlign w:val="bottom"/>
            <w:gridSpan w:val="12"/>
          </w:tcPr>
          <w:p>
            <w:pPr>
              <w:spacing w:after="0"/>
              <w:rPr>
                <w:sz w:val="20"/>
                <w:szCs w:val="20"/>
                <w:color w:val="auto"/>
              </w:rPr>
            </w:pPr>
            <w:r>
              <w:rPr>
                <w:rFonts w:ascii="Arial" w:cs="Arial" w:eastAsia="Arial" w:hAnsi="Arial"/>
                <w:sz w:val="18"/>
                <w:szCs w:val="18"/>
                <w:b w:val="1"/>
                <w:bCs w:val="1"/>
                <w:i w:val="1"/>
                <w:iCs w:val="1"/>
                <w:color w:val="auto"/>
                <w:w w:val="83"/>
              </w:rPr>
              <w:t>Does Secondary Operations Contact need copy of notices?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w w:val="99"/>
              </w:rPr>
              <w:t>YES</w:t>
            </w:r>
          </w:p>
        </w:tc>
        <w:tc>
          <w:tcPr>
            <w:tcW w:w="360" w:type="dxa"/>
            <w:vAlign w:val="bottom"/>
            <w:tcBorders>
              <w:bottom w:val="single" w:sz="8" w:color="auto"/>
            </w:tcBorders>
            <w:gridSpan w:val="4"/>
          </w:tcPr>
          <w:p>
            <w:pPr>
              <w:spacing w:after="0"/>
              <w:rPr>
                <w:sz w:val="24"/>
                <w:szCs w:val="24"/>
                <w:color w:val="auto"/>
              </w:rPr>
            </w:pPr>
          </w:p>
        </w:tc>
        <w:tc>
          <w:tcPr>
            <w:tcW w:w="3040" w:type="dxa"/>
            <w:vAlign w:val="bottom"/>
            <w:gridSpan w:val="9"/>
          </w:tcPr>
          <w:p>
            <w:pPr>
              <w:ind w:left="40"/>
              <w:spacing w:after="0"/>
              <w:rPr>
                <w:sz w:val="20"/>
                <w:szCs w:val="20"/>
                <w:color w:val="auto"/>
              </w:rPr>
            </w:pPr>
            <w:r>
              <w:rPr>
                <w:rFonts w:ascii="Arial" w:cs="Arial" w:eastAsia="Arial" w:hAnsi="Arial"/>
                <w:sz w:val="18"/>
                <w:szCs w:val="18"/>
                <w:color w:val="auto"/>
              </w:rPr>
              <w:t>NO</w:t>
            </w:r>
          </w:p>
        </w:tc>
      </w:tr>
      <w:tr>
        <w:trPr>
          <w:trHeight w:val="439"/>
        </w:trPr>
        <w:tc>
          <w:tcPr>
            <w:tcW w:w="1900" w:type="dxa"/>
            <w:vAlign w:val="bottom"/>
            <w:gridSpan w:val="9"/>
          </w:tcPr>
          <w:p>
            <w:pPr>
              <w:spacing w:after="0"/>
              <w:rPr>
                <w:sz w:val="20"/>
                <w:szCs w:val="20"/>
                <w:color w:val="auto"/>
              </w:rPr>
            </w:pPr>
            <w:r>
              <w:rPr>
                <w:rFonts w:ascii="Arial" w:cs="Arial" w:eastAsia="Arial" w:hAnsi="Arial"/>
                <w:sz w:val="18"/>
                <w:szCs w:val="18"/>
                <w:b w:val="1"/>
                <w:bCs w:val="1"/>
                <w:color w:val="auto"/>
                <w:w w:val="90"/>
              </w:rPr>
              <w:t>Letter of Credit Contact:</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80" w:type="dxa"/>
            <w:vAlign w:val="bottom"/>
            <w:gridSpan w:val="24"/>
          </w:tcPr>
          <w:p>
            <w:pPr>
              <w:spacing w:after="0"/>
              <w:rPr>
                <w:sz w:val="20"/>
                <w:szCs w:val="20"/>
                <w:color w:val="auto"/>
              </w:rPr>
            </w:pPr>
            <w:r>
              <w:rPr>
                <w:rFonts w:ascii="Arial" w:cs="Arial" w:eastAsia="Arial" w:hAnsi="Arial"/>
                <w:sz w:val="18"/>
                <w:szCs w:val="18"/>
                <w:b w:val="1"/>
                <w:bCs w:val="1"/>
                <w:color w:val="auto"/>
              </w:rPr>
              <w:t>Draft Documentation Contact or Legal Counsel:</w:t>
            </w:r>
          </w:p>
        </w:tc>
      </w:tr>
      <w:tr>
        <w:trPr>
          <w:trHeight w:val="277"/>
        </w:trPr>
        <w:tc>
          <w:tcPr>
            <w:tcW w:w="1900" w:type="dxa"/>
            <w:vAlign w:val="bottom"/>
            <w:tcBorders>
              <w:top w:val="single" w:sz="8" w:color="auto"/>
            </w:tcBorders>
            <w:gridSpan w:val="9"/>
          </w:tcPr>
          <w:p>
            <w:pPr>
              <w:ind w:left="20"/>
              <w:spacing w:after="0"/>
              <w:rPr>
                <w:sz w:val="20"/>
                <w:szCs w:val="20"/>
                <w:color w:val="auto"/>
              </w:rPr>
            </w:pPr>
            <w:r>
              <w:rPr>
                <w:rFonts w:ascii="Arial" w:cs="Arial" w:eastAsia="Arial" w:hAnsi="Arial"/>
                <w:sz w:val="18"/>
                <w:szCs w:val="18"/>
                <w:color w:val="auto"/>
              </w:rPr>
              <w:t>First</w:t>
            </w: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MI</w:t>
            </w:r>
          </w:p>
        </w:tc>
        <w:tc>
          <w:tcPr>
            <w:tcW w:w="120" w:type="dxa"/>
            <w:vAlign w:val="bottom"/>
          </w:tcPr>
          <w:p>
            <w:pPr>
              <w:spacing w:after="0"/>
              <w:rPr>
                <w:sz w:val="24"/>
                <w:szCs w:val="24"/>
                <w:color w:val="auto"/>
              </w:rPr>
            </w:pPr>
          </w:p>
        </w:tc>
        <w:tc>
          <w:tcPr>
            <w:tcW w:w="1020" w:type="dxa"/>
            <w:vAlign w:val="bottom"/>
            <w:gridSpan w:val="6"/>
          </w:tcPr>
          <w:p>
            <w:pPr>
              <w:ind w:left="60"/>
              <w:spacing w:after="0"/>
              <w:rPr>
                <w:sz w:val="20"/>
                <w:szCs w:val="20"/>
                <w:color w:val="auto"/>
              </w:rPr>
            </w:pPr>
            <w:r>
              <w:rPr>
                <w:rFonts w:ascii="Arial" w:cs="Arial" w:eastAsia="Arial" w:hAnsi="Arial"/>
                <w:sz w:val="18"/>
                <w:szCs w:val="18"/>
                <w:color w:val="auto"/>
              </w:rPr>
              <w:t>Last</w:t>
            </w: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First</w:t>
            </w: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gridSpan w:val="5"/>
          </w:tcPr>
          <w:p>
            <w:pPr>
              <w:ind w:left="60"/>
              <w:spacing w:after="0"/>
              <w:rPr>
                <w:sz w:val="20"/>
                <w:szCs w:val="20"/>
                <w:color w:val="auto"/>
              </w:rPr>
            </w:pPr>
            <w:r>
              <w:rPr>
                <w:rFonts w:ascii="Arial" w:cs="Arial" w:eastAsia="Arial" w:hAnsi="Arial"/>
                <w:sz w:val="18"/>
                <w:szCs w:val="18"/>
                <w:color w:val="auto"/>
              </w:rPr>
              <w:t>MI</w:t>
            </w: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7"/>
          </w:tcPr>
          <w:p>
            <w:pPr>
              <w:ind w:left="40"/>
              <w:spacing w:after="0"/>
              <w:rPr>
                <w:sz w:val="20"/>
                <w:szCs w:val="20"/>
                <w:color w:val="auto"/>
              </w:rPr>
            </w:pPr>
            <w:r>
              <w:rPr>
                <w:rFonts w:ascii="Arial" w:cs="Arial" w:eastAsia="Arial" w:hAnsi="Arial"/>
                <w:sz w:val="18"/>
                <w:szCs w:val="18"/>
                <w:color w:val="auto"/>
              </w:rPr>
              <w:t>Last</w:t>
            </w:r>
          </w:p>
        </w:tc>
        <w:tc>
          <w:tcPr>
            <w:tcW w:w="1860" w:type="dxa"/>
            <w:vAlign w:val="bottom"/>
          </w:tcPr>
          <w:p>
            <w:pPr>
              <w:spacing w:after="0"/>
              <w:rPr>
                <w:sz w:val="24"/>
                <w:szCs w:val="24"/>
                <w:color w:val="auto"/>
              </w:rPr>
            </w:pPr>
          </w:p>
        </w:tc>
      </w:tr>
      <w:tr>
        <w:trPr>
          <w:trHeight w:val="21"/>
        </w:trPr>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2"/>
        </w:trPr>
        <w:tc>
          <w:tcPr>
            <w:tcW w:w="660" w:type="dxa"/>
            <w:vAlign w:val="bottom"/>
            <w:gridSpan w:val="3"/>
          </w:tcPr>
          <w:p>
            <w:pPr>
              <w:ind w:left="20"/>
              <w:spacing w:after="0"/>
              <w:rPr>
                <w:sz w:val="20"/>
                <w:szCs w:val="20"/>
                <w:color w:val="auto"/>
              </w:rPr>
            </w:pPr>
            <w:r>
              <w:rPr>
                <w:rFonts w:ascii="Arial" w:cs="Arial" w:eastAsia="Arial" w:hAnsi="Arial"/>
                <w:sz w:val="18"/>
                <w:szCs w:val="18"/>
                <w:color w:val="auto"/>
              </w:rPr>
              <w:t>Title</w:t>
            </w:r>
          </w:p>
        </w:tc>
        <w:tc>
          <w:tcPr>
            <w:tcW w:w="1240" w:type="dxa"/>
            <w:vAlign w:val="bottom"/>
            <w:tcBorders>
              <w:bottom w:val="single" w:sz="8" w:color="auto"/>
            </w:tcBorders>
            <w:gridSpan w:val="6"/>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Title</w:t>
            </w:r>
          </w:p>
        </w:tc>
        <w:tc>
          <w:tcPr>
            <w:tcW w:w="640" w:type="dxa"/>
            <w:vAlign w:val="bottom"/>
            <w:tcBorders>
              <w:bottom w:val="single" w:sz="8" w:color="auto"/>
            </w:tcBorders>
            <w:gridSpan w:val="3"/>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2"/>
        </w:trPr>
        <w:tc>
          <w:tcPr>
            <w:tcW w:w="1660" w:type="dxa"/>
            <w:vAlign w:val="bottom"/>
            <w:gridSpan w:val="7"/>
          </w:tcPr>
          <w:p>
            <w:pPr>
              <w:ind w:left="20"/>
              <w:spacing w:after="0"/>
              <w:rPr>
                <w:sz w:val="20"/>
                <w:szCs w:val="20"/>
                <w:color w:val="auto"/>
              </w:rPr>
            </w:pPr>
            <w:r>
              <w:rPr>
                <w:rFonts w:ascii="Arial" w:cs="Arial" w:eastAsia="Arial" w:hAnsi="Arial"/>
                <w:sz w:val="18"/>
                <w:szCs w:val="18"/>
                <w:color w:val="auto"/>
              </w:rPr>
              <w:t>Street Address</w:t>
            </w:r>
          </w:p>
        </w:tc>
        <w:tc>
          <w:tcPr>
            <w:tcW w:w="24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Street Address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3"/>
        </w:trPr>
        <w:tc>
          <w:tcPr>
            <w:tcW w:w="1660" w:type="dxa"/>
            <w:vAlign w:val="bottom"/>
            <w:gridSpan w:val="7"/>
          </w:tcPr>
          <w:p>
            <w:pPr>
              <w:ind w:left="20"/>
              <w:spacing w:after="0"/>
              <w:rPr>
                <w:sz w:val="20"/>
                <w:szCs w:val="20"/>
                <w:color w:val="auto"/>
              </w:rPr>
            </w:pPr>
            <w:r>
              <w:rPr>
                <w:rFonts w:ascii="Arial" w:cs="Arial" w:eastAsia="Arial" w:hAnsi="Arial"/>
                <w:sz w:val="18"/>
                <w:szCs w:val="18"/>
                <w:color w:val="auto"/>
              </w:rPr>
              <w:t>Suite/ Mail Code</w:t>
            </w:r>
          </w:p>
        </w:tc>
        <w:tc>
          <w:tcPr>
            <w:tcW w:w="240" w:type="dxa"/>
            <w:vAlign w:val="bottom"/>
            <w:tcBorders>
              <w:bottom w:val="single" w:sz="8" w:color="auto"/>
            </w:tcBorders>
            <w:gridSpan w:val="2"/>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w w:val="98"/>
              </w:rPr>
              <w:t>Suite/ Mail Code</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24"/>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City</w:t>
            </w:r>
          </w:p>
        </w:tc>
        <w:tc>
          <w:tcPr>
            <w:tcW w:w="1360" w:type="dxa"/>
            <w:vAlign w:val="bottom"/>
            <w:tcBorders>
              <w:bottom w:val="single" w:sz="8" w:color="auto"/>
            </w:tcBorders>
            <w:gridSpan w:val="7"/>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gridSpan w:val="4"/>
          </w:tcPr>
          <w:p>
            <w:pPr>
              <w:ind w:left="60"/>
              <w:spacing w:after="0"/>
              <w:rPr>
                <w:sz w:val="20"/>
                <w:szCs w:val="20"/>
                <w:color w:val="auto"/>
              </w:rPr>
            </w:pPr>
            <w:r>
              <w:rPr>
                <w:rFonts w:ascii="Arial" w:cs="Arial" w:eastAsia="Arial" w:hAnsi="Arial"/>
                <w:sz w:val="18"/>
                <w:szCs w:val="18"/>
                <w:color w:val="auto"/>
                <w:w w:val="90"/>
              </w:rPr>
              <w:t>State</w:t>
            </w: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auto"/>
              </w:rPr>
              <w:t>City</w:t>
            </w:r>
          </w:p>
        </w:tc>
        <w:tc>
          <w:tcPr>
            <w:tcW w:w="780" w:type="dxa"/>
            <w:vAlign w:val="bottom"/>
            <w:tcBorders>
              <w:bottom w:val="single" w:sz="8" w:color="auto"/>
            </w:tcBorders>
            <w:gridSpan w:val="4"/>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gridSpan w:val="4"/>
          </w:tcPr>
          <w:p>
            <w:pPr>
              <w:ind w:left="40"/>
              <w:spacing w:after="0"/>
              <w:rPr>
                <w:sz w:val="20"/>
                <w:szCs w:val="20"/>
                <w:color w:val="auto"/>
              </w:rPr>
            </w:pPr>
            <w:r>
              <w:rPr>
                <w:rFonts w:ascii="Arial" w:cs="Arial" w:eastAsia="Arial" w:hAnsi="Arial"/>
                <w:sz w:val="18"/>
                <w:szCs w:val="18"/>
                <w:color w:val="auto"/>
                <w:w w:val="95"/>
              </w:rPr>
              <w:t>State</w:t>
            </w:r>
          </w:p>
        </w:tc>
        <w:tc>
          <w:tcPr>
            <w:tcW w:w="2240" w:type="dxa"/>
            <w:vAlign w:val="bottom"/>
            <w:tcBorders>
              <w:bottom w:val="single" w:sz="8" w:color="auto"/>
            </w:tcBorders>
            <w:gridSpan w:val="3"/>
          </w:tcPr>
          <w:p>
            <w:pPr>
              <w:spacing w:after="0"/>
              <w:rPr>
                <w:sz w:val="19"/>
                <w:szCs w:val="19"/>
                <w:color w:val="auto"/>
              </w:rPr>
            </w:pPr>
          </w:p>
        </w:tc>
      </w:tr>
      <w:tr>
        <w:trPr>
          <w:trHeight w:val="223"/>
        </w:trPr>
        <w:tc>
          <w:tcPr>
            <w:tcW w:w="960" w:type="dxa"/>
            <w:vAlign w:val="bottom"/>
            <w:gridSpan w:val="5"/>
          </w:tcPr>
          <w:p>
            <w:pPr>
              <w:ind w:left="20"/>
              <w:spacing w:after="0"/>
              <w:rPr>
                <w:sz w:val="20"/>
                <w:szCs w:val="20"/>
                <w:color w:val="auto"/>
              </w:rPr>
            </w:pPr>
            <w:r>
              <w:rPr>
                <w:rFonts w:ascii="Arial" w:cs="Arial" w:eastAsia="Arial" w:hAnsi="Arial"/>
                <w:sz w:val="18"/>
                <w:szCs w:val="18"/>
                <w:color w:val="auto"/>
                <w:w w:val="93"/>
              </w:rPr>
              <w:t>Postal Code</w:t>
            </w:r>
          </w:p>
        </w:tc>
        <w:tc>
          <w:tcPr>
            <w:tcW w:w="940" w:type="dxa"/>
            <w:vAlign w:val="bottom"/>
            <w:tcBorders>
              <w:bottom w:val="single" w:sz="8" w:color="auto"/>
            </w:tcBorders>
            <w:gridSpan w:val="4"/>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gridSpan w:val="4"/>
          </w:tcPr>
          <w:p>
            <w:pPr>
              <w:ind w:left="60"/>
              <w:spacing w:after="0"/>
              <w:rPr>
                <w:sz w:val="20"/>
                <w:szCs w:val="20"/>
                <w:color w:val="auto"/>
              </w:rPr>
            </w:pPr>
            <w:r>
              <w:rPr>
                <w:rFonts w:ascii="Arial" w:cs="Arial" w:eastAsia="Arial" w:hAnsi="Arial"/>
                <w:sz w:val="18"/>
                <w:szCs w:val="18"/>
                <w:color w:val="auto"/>
                <w:w w:val="95"/>
              </w:rPr>
              <w:t>Country</w:t>
            </w: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5"/>
          </w:tcPr>
          <w:p>
            <w:pPr>
              <w:spacing w:after="0"/>
              <w:rPr>
                <w:sz w:val="20"/>
                <w:szCs w:val="20"/>
                <w:color w:val="auto"/>
              </w:rPr>
            </w:pPr>
            <w:r>
              <w:rPr>
                <w:rFonts w:ascii="Arial" w:cs="Arial" w:eastAsia="Arial" w:hAnsi="Arial"/>
                <w:sz w:val="18"/>
                <w:szCs w:val="18"/>
                <w:color w:val="auto"/>
                <w:w w:val="95"/>
              </w:rPr>
              <w:t>Postal Code</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gridSpan w:val="4"/>
          </w:tcPr>
          <w:p>
            <w:pPr>
              <w:ind w:left="40"/>
              <w:spacing w:after="0"/>
              <w:rPr>
                <w:sz w:val="20"/>
                <w:szCs w:val="20"/>
                <w:color w:val="auto"/>
              </w:rPr>
            </w:pPr>
            <w:r>
              <w:rPr>
                <w:rFonts w:ascii="Arial" w:cs="Arial" w:eastAsia="Arial" w:hAnsi="Arial"/>
                <w:sz w:val="18"/>
                <w:szCs w:val="18"/>
                <w:color w:val="auto"/>
                <w:w w:val="98"/>
              </w:rPr>
              <w:t>Country</w:t>
            </w:r>
          </w:p>
        </w:tc>
        <w:tc>
          <w:tcPr>
            <w:tcW w:w="1920" w:type="dxa"/>
            <w:vAlign w:val="bottom"/>
            <w:tcBorders>
              <w:bottom w:val="single" w:sz="8" w:color="auto"/>
            </w:tcBorders>
            <w:gridSpan w:val="2"/>
          </w:tcPr>
          <w:p>
            <w:pPr>
              <w:spacing w:after="0"/>
              <w:rPr>
                <w:sz w:val="19"/>
                <w:szCs w:val="19"/>
                <w:color w:val="auto"/>
              </w:rPr>
            </w:pPr>
          </w:p>
        </w:tc>
      </w:tr>
      <w:tr>
        <w:trPr>
          <w:trHeight w:val="223"/>
        </w:trPr>
        <w:tc>
          <w:tcPr>
            <w:tcW w:w="780" w:type="dxa"/>
            <w:vAlign w:val="bottom"/>
            <w:gridSpan w:val="4"/>
          </w:tcPr>
          <w:p>
            <w:pPr>
              <w:ind w:left="20"/>
              <w:spacing w:after="0"/>
              <w:rPr>
                <w:sz w:val="20"/>
                <w:szCs w:val="20"/>
                <w:color w:val="auto"/>
              </w:rPr>
            </w:pPr>
            <w:r>
              <w:rPr>
                <w:rFonts w:ascii="Arial" w:cs="Arial" w:eastAsia="Arial" w:hAnsi="Arial"/>
                <w:sz w:val="18"/>
                <w:szCs w:val="18"/>
                <w:color w:val="auto"/>
                <w:w w:val="86"/>
              </w:rPr>
              <w:t>Telephone</w:t>
            </w:r>
          </w:p>
        </w:tc>
        <w:tc>
          <w:tcPr>
            <w:tcW w:w="1120" w:type="dxa"/>
            <w:vAlign w:val="bottom"/>
            <w:tcBorders>
              <w:bottom w:val="single" w:sz="8" w:color="auto"/>
            </w:tcBorders>
            <w:gridSpan w:val="5"/>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gridSpan w:val="5"/>
          </w:tcPr>
          <w:p>
            <w:pPr>
              <w:ind w:left="60"/>
              <w:spacing w:after="0"/>
              <w:rPr>
                <w:sz w:val="20"/>
                <w:szCs w:val="20"/>
                <w:color w:val="auto"/>
              </w:rPr>
            </w:pPr>
            <w:r>
              <w:rPr>
                <w:rFonts w:ascii="Arial" w:cs="Arial" w:eastAsia="Arial" w:hAnsi="Arial"/>
                <w:sz w:val="18"/>
                <w:szCs w:val="18"/>
                <w:color w:val="auto"/>
                <w:w w:val="92"/>
              </w:rPr>
              <w:t>Facsimile</w:t>
            </w:r>
          </w:p>
        </w:tc>
        <w:tc>
          <w:tcPr>
            <w:tcW w:w="360" w:type="dxa"/>
            <w:vAlign w:val="bottom"/>
            <w:tcBorders>
              <w:bottom w:val="single" w:sz="8" w:color="auto"/>
            </w:tcBorders>
            <w:gridSpan w:val="2"/>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4"/>
          </w:tcPr>
          <w:p>
            <w:pPr>
              <w:spacing w:after="0"/>
              <w:rPr>
                <w:sz w:val="20"/>
                <w:szCs w:val="20"/>
                <w:color w:val="auto"/>
              </w:rPr>
            </w:pPr>
            <w:r>
              <w:rPr>
                <w:rFonts w:ascii="Arial" w:cs="Arial" w:eastAsia="Arial" w:hAnsi="Arial"/>
                <w:sz w:val="18"/>
                <w:szCs w:val="18"/>
                <w:color w:val="auto"/>
                <w:w w:val="89"/>
              </w:rPr>
              <w:t>Telephone</w:t>
            </w:r>
          </w:p>
        </w:tc>
        <w:tc>
          <w:tcPr>
            <w:tcW w:w="540" w:type="dxa"/>
            <w:vAlign w:val="bottom"/>
            <w:tcBorders>
              <w:bottom w:val="single" w:sz="8" w:color="auto"/>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gridSpan w:val="5"/>
          </w:tcPr>
          <w:p>
            <w:pPr>
              <w:ind w:left="20"/>
              <w:spacing w:after="0"/>
              <w:rPr>
                <w:sz w:val="20"/>
                <w:szCs w:val="20"/>
                <w:color w:val="auto"/>
              </w:rPr>
            </w:pPr>
            <w:r>
              <w:rPr>
                <w:rFonts w:ascii="Arial" w:cs="Arial" w:eastAsia="Arial" w:hAnsi="Arial"/>
                <w:sz w:val="18"/>
                <w:szCs w:val="18"/>
                <w:color w:val="auto"/>
                <w:w w:val="94"/>
              </w:rPr>
              <w:t>Facsimile</w:t>
            </w:r>
          </w:p>
        </w:tc>
        <w:tc>
          <w:tcPr>
            <w:tcW w:w="2280" w:type="dxa"/>
            <w:vAlign w:val="bottom"/>
            <w:tcBorders>
              <w:bottom w:val="single" w:sz="8" w:color="auto"/>
            </w:tcBorders>
            <w:gridSpan w:val="4"/>
          </w:tcPr>
          <w:p>
            <w:pPr>
              <w:spacing w:after="0"/>
              <w:rPr>
                <w:sz w:val="19"/>
                <w:szCs w:val="19"/>
                <w:color w:val="auto"/>
              </w:rPr>
            </w:pPr>
          </w:p>
        </w:tc>
      </w:tr>
      <w:tr>
        <w:trPr>
          <w:trHeight w:val="223"/>
        </w:trPr>
        <w:tc>
          <w:tcPr>
            <w:tcW w:w="1540" w:type="dxa"/>
            <w:vAlign w:val="bottom"/>
            <w:gridSpan w:val="6"/>
          </w:tcPr>
          <w:p>
            <w:pPr>
              <w:ind w:left="20"/>
              <w:spacing w:after="0"/>
              <w:rPr>
                <w:sz w:val="20"/>
                <w:szCs w:val="20"/>
                <w:color w:val="auto"/>
              </w:rPr>
            </w:pPr>
            <w:r>
              <w:rPr>
                <w:rFonts w:ascii="Arial" w:cs="Arial" w:eastAsia="Arial" w:hAnsi="Arial"/>
                <w:sz w:val="18"/>
                <w:szCs w:val="18"/>
                <w:color w:val="auto"/>
              </w:rPr>
              <w:t>E-Mail Address</w:t>
            </w:r>
          </w:p>
        </w:tc>
        <w:tc>
          <w:tcPr>
            <w:tcW w:w="360" w:type="dxa"/>
            <w:vAlign w:val="bottom"/>
            <w:tcBorders>
              <w:bottom w:val="single" w:sz="8" w:color="auto"/>
            </w:tcBorders>
            <w:gridSpan w:val="3"/>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6"/>
          </w:tcPr>
          <w:p>
            <w:pPr>
              <w:spacing w:after="0"/>
              <w:rPr>
                <w:sz w:val="20"/>
                <w:szCs w:val="20"/>
                <w:color w:val="auto"/>
              </w:rPr>
            </w:pPr>
            <w:r>
              <w:rPr>
                <w:rFonts w:ascii="Arial" w:cs="Arial" w:eastAsia="Arial" w:hAnsi="Arial"/>
                <w:sz w:val="18"/>
                <w:szCs w:val="18"/>
                <w:color w:val="auto"/>
              </w:rPr>
              <w:t>E-Mail Address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bl>
    <w:p>
      <w:pPr>
        <w:spacing w:after="0" w:line="391" w:lineRule="exact"/>
        <w:rPr>
          <w:sz w:val="20"/>
          <w:szCs w:val="20"/>
          <w:color w:val="auto"/>
        </w:rPr>
      </w:pPr>
    </w:p>
    <w:p>
      <w:pPr>
        <w:ind w:right="7980" w:firstLine="8"/>
        <w:spacing w:after="0" w:line="369" w:lineRule="auto"/>
        <w:tabs>
          <w:tab w:leader="none" w:pos="176"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Lender’s Fed Wire Payment Instructions: </w:t>
      </w:r>
      <w:r>
        <w:rPr>
          <w:rFonts w:ascii="Arial" w:cs="Arial" w:eastAsia="Arial" w:hAnsi="Arial"/>
          <w:sz w:val="18"/>
          <w:szCs w:val="18"/>
          <w:color w:val="auto"/>
        </w:rPr>
        <w:t>Pay 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65779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66033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10795</wp:posOffset>
            </wp:positionV>
            <wp:extent cx="60458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72" w:lineRule="exact"/>
        <w:rPr>
          <w:sz w:val="20"/>
          <w:szCs w:val="20"/>
          <w:color w:val="auto"/>
        </w:rPr>
      </w:pPr>
    </w:p>
    <w:p>
      <w:pPr>
        <w:ind w:right="760" w:firstLine="8"/>
        <w:spacing w:after="0" w:line="347" w:lineRule="auto"/>
        <w:tabs>
          <w:tab w:leader="none" w:pos="176"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Lender’s Standby Letter of Credit, Commercial Letter of Credit, and Bankers’ Acceptance Fed Wire Payment Instructions (if applicable): </w:t>
      </w:r>
      <w:r>
        <w:rPr>
          <w:rFonts w:ascii="Arial" w:cs="Arial" w:eastAsia="Arial" w:hAnsi="Arial"/>
          <w:sz w:val="18"/>
          <w:szCs w:val="18"/>
          <w:color w:val="auto"/>
        </w:rPr>
        <w:t>Pay to:</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10795</wp:posOffset>
            </wp:positionV>
            <wp:extent cx="657796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602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660336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10795</wp:posOffset>
            </wp:positionV>
            <wp:extent cx="6045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10795</wp:posOffset>
            </wp:positionV>
            <wp:extent cx="625157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178" w:lineRule="exact"/>
        <w:rPr>
          <w:sz w:val="20"/>
          <w:szCs w:val="20"/>
          <w:color w:val="auto"/>
        </w:rPr>
      </w:pPr>
    </w:p>
    <w:p>
      <w:pPr>
        <w:ind w:left="2500"/>
        <w:spacing w:after="0"/>
        <w:tabs>
          <w:tab w:leader="none" w:pos="7880" w:val="left"/>
          <w:tab w:leader="none" w:pos="8660" w:val="left"/>
        </w:tabs>
        <w:rPr>
          <w:sz w:val="20"/>
          <w:szCs w:val="20"/>
          <w:color w:val="auto"/>
        </w:rPr>
      </w:pPr>
      <w:r>
        <w:rPr>
          <w:rFonts w:ascii="Arial" w:cs="Arial" w:eastAsia="Arial" w:hAnsi="Arial"/>
          <w:sz w:val="18"/>
          <w:szCs w:val="18"/>
          <w:color w:val="auto"/>
        </w:rPr>
        <w:t>Can the Lender’s Fed Wire Payment Instructions in Section 6 be used?</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6"/>
          <w:szCs w:val="16"/>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-13970</wp:posOffset>
            </wp:positionV>
            <wp:extent cx="2228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-13970</wp:posOffset>
            </wp:positionV>
            <wp:extent cx="2228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3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 |  REV April 2013</w:t>
      </w:r>
    </w:p>
    <w:p>
      <w:pPr>
        <w:sectPr>
          <w:pgSz w:w="11900" w:h="16838" w:orient="portrait"/>
          <w:cols w:equalWidth="0" w:num="1">
            <w:col w:w="11300"/>
          </w:cols>
          <w:pgMar w:left="240" w:top="274" w:right="359" w:bottom="1440" w:gutter="0" w:footer="0" w:header="0"/>
        </w:sectPr>
      </w:pPr>
    </w:p>
    <w:bookmarkStart w:id="148" w:name="page149"/>
    <w:bookmarkEnd w:id="148"/>
    <w:p>
      <w:pPr>
        <w:jc w:val="right"/>
        <w:ind w:right="59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ADMINISTRATIVE DETAILS REPLY FORM – (US DOLLAR ONLY) </w:t>
      </w: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-291465</wp:posOffset>
            </wp:positionV>
            <wp:extent cx="1029335" cy="283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29335" cy="28321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Lender’s Organizational Structure and Tax Status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refer to the enclosed withholding tax instructions below and then complete this section accordingly:</w:t>
      </w:r>
    </w:p>
    <w:p>
      <w:pPr>
        <w:spacing w:after="0" w:line="171"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Lender Taxpayer Identification Number (TIN):</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-10160</wp:posOffset>
            </wp:positionV>
            <wp:extent cx="20440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44065"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Tax Withholding Form Delivered to Bank of America (check applicable one):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880" w:type="dxa"/>
            <w:vAlign w:val="bottom"/>
            <w:gridSpan w:val="6"/>
          </w:tcPr>
          <w:p>
            <w:pPr>
              <w:spacing w:after="0"/>
              <w:rPr>
                <w:sz w:val="20"/>
                <w:szCs w:val="20"/>
                <w:color w:val="auto"/>
              </w:rPr>
            </w:pPr>
            <w:r>
              <w:rPr>
                <w:rFonts w:ascii="Arial" w:cs="Arial" w:eastAsia="Arial" w:hAnsi="Arial"/>
                <w:sz w:val="18"/>
                <w:szCs w:val="18"/>
                <w:b w:val="1"/>
                <w:bCs w:val="1"/>
                <w:color w:val="auto"/>
              </w:rPr>
              <w:t>W-9</w:t>
            </w:r>
          </w:p>
        </w:tc>
        <w:tc>
          <w:tcPr>
            <w:tcW w:w="900" w:type="dxa"/>
            <w:vAlign w:val="bottom"/>
            <w:gridSpan w:val="6"/>
          </w:tcPr>
          <w:p>
            <w:pPr>
              <w:ind w:left="200"/>
              <w:spacing w:after="0"/>
              <w:rPr>
                <w:sz w:val="20"/>
                <w:szCs w:val="20"/>
                <w:color w:val="auto"/>
              </w:rPr>
            </w:pPr>
            <w:r>
              <w:rPr>
                <w:rFonts w:ascii="Arial" w:cs="Arial" w:eastAsia="Arial" w:hAnsi="Arial"/>
                <w:sz w:val="18"/>
                <w:szCs w:val="18"/>
                <w:b w:val="1"/>
                <w:bCs w:val="1"/>
                <w:color w:val="auto"/>
                <w:w w:val="95"/>
              </w:rPr>
              <w:t>W-8BEN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spacing w:after="0"/>
              <w:rPr>
                <w:sz w:val="20"/>
                <w:szCs w:val="20"/>
                <w:color w:val="auto"/>
              </w:rPr>
            </w:pPr>
            <w:r>
              <w:rPr>
                <w:rFonts w:ascii="Arial" w:cs="Arial" w:eastAsia="Arial" w:hAnsi="Arial"/>
                <w:sz w:val="18"/>
                <w:szCs w:val="18"/>
                <w:b w:val="1"/>
                <w:bCs w:val="1"/>
                <w:color w:val="auto"/>
              </w:rPr>
              <w:t>W-8ECI</w:t>
            </w:r>
          </w:p>
        </w:tc>
        <w:tc>
          <w:tcPr>
            <w:tcW w:w="14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W-8EXP</w:t>
            </w:r>
          </w:p>
        </w:tc>
        <w:tc>
          <w:tcPr>
            <w:tcW w:w="1040" w:type="dxa"/>
            <w:vAlign w:val="bottom"/>
            <w:gridSpan w:val="2"/>
          </w:tcPr>
          <w:p>
            <w:pPr>
              <w:ind w:left="360"/>
              <w:spacing w:after="0"/>
              <w:rPr>
                <w:sz w:val="20"/>
                <w:szCs w:val="20"/>
                <w:color w:val="auto"/>
              </w:rPr>
            </w:pPr>
            <w:r>
              <w:rPr>
                <w:rFonts w:ascii="Arial" w:cs="Arial" w:eastAsia="Arial" w:hAnsi="Arial"/>
                <w:sz w:val="18"/>
                <w:szCs w:val="18"/>
                <w:b w:val="1"/>
                <w:bCs w:val="1"/>
                <w:color w:val="auto"/>
              </w:rPr>
              <w:t>W-8IMY</w:t>
            </w:r>
          </w:p>
        </w:tc>
      </w:tr>
      <w:tr>
        <w:trPr>
          <w:trHeight w:val="20"/>
        </w:trPr>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39"/>
        </w:trPr>
        <w:tc>
          <w:tcPr>
            <w:tcW w:w="1260" w:type="dxa"/>
            <w:vAlign w:val="bottom"/>
            <w:gridSpan w:val="7"/>
          </w:tcPr>
          <w:p>
            <w:pPr>
              <w:spacing w:after="0"/>
              <w:rPr>
                <w:sz w:val="20"/>
                <w:szCs w:val="20"/>
                <w:color w:val="auto"/>
              </w:rPr>
            </w:pPr>
            <w:r>
              <w:rPr>
                <w:rFonts w:ascii="Arial" w:cs="Arial" w:eastAsia="Arial" w:hAnsi="Arial"/>
                <w:sz w:val="18"/>
                <w:szCs w:val="18"/>
                <w:b w:val="1"/>
                <w:bCs w:val="1"/>
                <w:color w:val="auto"/>
              </w:rPr>
              <w:t>Tax Contact: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7"/>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First</w:t>
            </w:r>
          </w:p>
        </w:tc>
        <w:tc>
          <w:tcPr>
            <w:tcW w:w="600" w:type="dxa"/>
            <w:vAlign w:val="bottom"/>
            <w:tcBorders>
              <w:top w:val="single" w:sz="8" w:color="auto"/>
              <w:bottom w:val="single" w:sz="8" w:color="auto"/>
            </w:tcBorders>
            <w:gridSpan w:val="3"/>
          </w:tcPr>
          <w:p>
            <w:pPr>
              <w:spacing w:after="0"/>
              <w:rPr>
                <w:sz w:val="24"/>
                <w:szCs w:val="24"/>
                <w:color w:val="auto"/>
              </w:rPr>
            </w:pPr>
          </w:p>
        </w:tc>
        <w:tc>
          <w:tcPr>
            <w:tcW w:w="280" w:type="dxa"/>
            <w:vAlign w:val="bottom"/>
            <w:tcBorders>
              <w:bottom w:val="single" w:sz="8" w:color="auto"/>
            </w:tcBorders>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MI</w:t>
            </w:r>
          </w:p>
        </w:tc>
        <w:tc>
          <w:tcPr>
            <w:tcW w:w="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8"/>
              </w:rPr>
              <w:t>Last</w:t>
            </w:r>
          </w:p>
        </w:tc>
        <w:tc>
          <w:tcPr>
            <w:tcW w:w="1240" w:type="dxa"/>
            <w:vAlign w:val="bottom"/>
            <w:tcBorders>
              <w:bottom w:val="single" w:sz="8" w:color="auto"/>
            </w:tcBorders>
            <w:gridSpan w:val="6"/>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w w:val="99"/>
              </w:rPr>
              <w:t>Title</w:t>
            </w:r>
          </w:p>
        </w:tc>
        <w:tc>
          <w:tcPr>
            <w:tcW w:w="880" w:type="dxa"/>
            <w:vAlign w:val="bottom"/>
            <w:tcBorders>
              <w:bottom w:val="single" w:sz="8" w:color="auto"/>
            </w:tcBorders>
            <w:gridSpan w:val="6"/>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w w:val="88"/>
              </w:rPr>
              <w:t>Street Address</w:t>
            </w:r>
          </w:p>
        </w:tc>
        <w:tc>
          <w:tcPr>
            <w:tcW w:w="180" w:type="dxa"/>
            <w:vAlign w:val="bottom"/>
            <w:tcBorders>
              <w:bottom w:val="single" w:sz="8" w:color="auto"/>
            </w:tcBorders>
            <w:gridSpan w:val="2"/>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260" w:type="dxa"/>
            <w:vAlign w:val="bottom"/>
            <w:gridSpan w:val="7"/>
          </w:tcPr>
          <w:p>
            <w:pPr>
              <w:spacing w:after="0" w:line="196" w:lineRule="exact"/>
              <w:rPr>
                <w:sz w:val="20"/>
                <w:szCs w:val="20"/>
                <w:color w:val="auto"/>
              </w:rPr>
            </w:pPr>
            <w:r>
              <w:rPr>
                <w:rFonts w:ascii="Arial" w:cs="Arial" w:eastAsia="Arial" w:hAnsi="Arial"/>
                <w:sz w:val="18"/>
                <w:szCs w:val="18"/>
                <w:color w:val="auto"/>
                <w:w w:val="93"/>
              </w:rPr>
              <w:t>Suite/ Mail Code</w:t>
            </w: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380" w:type="dxa"/>
            <w:vAlign w:val="bottom"/>
          </w:tcPr>
          <w:p>
            <w:pPr>
              <w:spacing w:after="0" w:line="196" w:lineRule="exact"/>
              <w:rPr>
                <w:sz w:val="20"/>
                <w:szCs w:val="20"/>
                <w:color w:val="auto"/>
              </w:rPr>
            </w:pPr>
            <w:r>
              <w:rPr>
                <w:rFonts w:ascii="Arial" w:cs="Arial" w:eastAsia="Arial" w:hAnsi="Arial"/>
                <w:sz w:val="18"/>
                <w:szCs w:val="18"/>
                <w:color w:val="auto"/>
              </w:rPr>
              <w:t>City</w:t>
            </w:r>
          </w:p>
        </w:tc>
        <w:tc>
          <w:tcPr>
            <w:tcW w:w="880" w:type="dxa"/>
            <w:vAlign w:val="bottom"/>
            <w:tcBorders>
              <w:bottom w:val="single" w:sz="8" w:color="auto"/>
            </w:tcBorders>
            <w:gridSpan w:val="6"/>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gridSpan w:val="3"/>
          </w:tcPr>
          <w:p>
            <w:pPr>
              <w:spacing w:after="0"/>
              <w:rPr>
                <w:sz w:val="20"/>
                <w:szCs w:val="20"/>
                <w:color w:val="auto"/>
              </w:rPr>
            </w:pPr>
            <w:r>
              <w:rPr>
                <w:rFonts w:ascii="Arial" w:cs="Arial" w:eastAsia="Arial" w:hAnsi="Arial"/>
                <w:sz w:val="16"/>
                <w:szCs w:val="16"/>
                <w:color w:val="auto"/>
                <w:w w:val="74"/>
              </w:rPr>
              <w:t>State</w:t>
            </w:r>
          </w:p>
        </w:tc>
        <w:tc>
          <w:tcPr>
            <w:tcW w:w="1000" w:type="dxa"/>
            <w:vAlign w:val="bottom"/>
            <w:tcBorders>
              <w:bottom w:val="single" w:sz="8" w:color="auto"/>
            </w:tcBorders>
            <w:gridSpan w:val="4"/>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900" w:type="dxa"/>
            <w:vAlign w:val="bottom"/>
            <w:gridSpan w:val="3"/>
          </w:tcPr>
          <w:p>
            <w:pPr>
              <w:spacing w:after="0" w:line="196" w:lineRule="exact"/>
              <w:rPr>
                <w:sz w:val="20"/>
                <w:szCs w:val="20"/>
                <w:color w:val="auto"/>
              </w:rPr>
            </w:pPr>
            <w:r>
              <w:rPr>
                <w:rFonts w:ascii="Arial" w:cs="Arial" w:eastAsia="Arial" w:hAnsi="Arial"/>
                <w:sz w:val="18"/>
                <w:szCs w:val="18"/>
                <w:color w:val="auto"/>
                <w:w w:val="89"/>
              </w:rPr>
              <w:t>Postal Code</w:t>
            </w:r>
          </w:p>
        </w:tc>
        <w:tc>
          <w:tcPr>
            <w:tcW w:w="360" w:type="dxa"/>
            <w:vAlign w:val="bottom"/>
            <w:tcBorders>
              <w:bottom w:val="single" w:sz="8" w:color="auto"/>
            </w:tcBorders>
            <w:gridSpan w:val="4"/>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91"/>
              </w:rPr>
              <w:t>Country</w:t>
            </w:r>
          </w:p>
        </w:tc>
        <w:tc>
          <w:tcPr>
            <w:tcW w:w="1160" w:type="dxa"/>
            <w:vAlign w:val="bottom"/>
            <w:tcBorders>
              <w:bottom w:val="single" w:sz="8" w:color="auto"/>
            </w:tcBorders>
            <w:gridSpan w:val="6"/>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780" w:type="dxa"/>
            <w:vAlign w:val="bottom"/>
            <w:gridSpan w:val="2"/>
          </w:tcPr>
          <w:p>
            <w:pPr>
              <w:spacing w:after="0" w:line="196" w:lineRule="exact"/>
              <w:rPr>
                <w:sz w:val="20"/>
                <w:szCs w:val="20"/>
                <w:color w:val="auto"/>
              </w:rPr>
            </w:pPr>
            <w:r>
              <w:rPr>
                <w:rFonts w:ascii="Arial" w:cs="Arial" w:eastAsia="Arial" w:hAnsi="Arial"/>
                <w:sz w:val="18"/>
                <w:szCs w:val="18"/>
                <w:color w:val="auto"/>
                <w:w w:val="89"/>
              </w:rPr>
              <w:t>Telephone</w:t>
            </w:r>
          </w:p>
        </w:tc>
        <w:tc>
          <w:tcPr>
            <w:tcW w:w="480" w:type="dxa"/>
            <w:vAlign w:val="bottom"/>
            <w:tcBorders>
              <w:bottom w:val="single" w:sz="8" w:color="auto"/>
            </w:tcBorders>
            <w:gridSpan w:val="5"/>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gridSpan w:val="6"/>
          </w:tcPr>
          <w:p>
            <w:pPr>
              <w:ind w:left="40"/>
              <w:spacing w:after="0" w:line="196" w:lineRule="exact"/>
              <w:rPr>
                <w:sz w:val="20"/>
                <w:szCs w:val="20"/>
                <w:color w:val="auto"/>
              </w:rPr>
            </w:pPr>
            <w:r>
              <w:rPr>
                <w:rFonts w:ascii="Arial" w:cs="Arial" w:eastAsia="Arial" w:hAnsi="Arial"/>
                <w:sz w:val="18"/>
                <w:szCs w:val="18"/>
                <w:color w:val="auto"/>
                <w:w w:val="94"/>
              </w:rPr>
              <w:t>Facsimile</w:t>
            </w:r>
          </w:p>
        </w:tc>
        <w:tc>
          <w:tcPr>
            <w:tcW w:w="1200" w:type="dxa"/>
            <w:vAlign w:val="bottom"/>
            <w:tcBorders>
              <w:bottom w:val="single" w:sz="8" w:color="auto"/>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1160" w:type="dxa"/>
            <w:vAlign w:val="bottom"/>
            <w:gridSpan w:val="6"/>
          </w:tcPr>
          <w:p>
            <w:pPr>
              <w:spacing w:after="0" w:line="196" w:lineRule="exact"/>
              <w:rPr>
                <w:sz w:val="20"/>
                <w:szCs w:val="20"/>
                <w:color w:val="auto"/>
              </w:rPr>
            </w:pPr>
            <w:r>
              <w:rPr>
                <w:rFonts w:ascii="Arial" w:cs="Arial" w:eastAsia="Arial" w:hAnsi="Arial"/>
                <w:sz w:val="18"/>
                <w:szCs w:val="18"/>
                <w:color w:val="auto"/>
                <w:w w:val="91"/>
              </w:rPr>
              <w:t>E-Mail Address</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LENDER INSTITUTIONS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1. Corporations: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14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6"/>
          <w:szCs w:val="16"/>
          <w:b w:val="1"/>
          <w:bCs w:val="1"/>
          <w:color w:val="auto"/>
        </w:rPr>
        <w:t>An original tax form must be submitted.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2. Flow-Through Entities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instructions when completing this form. In addition, please be advised that U.S. tax regulations do not permit the acceptance of faxed forms.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tax form(s) must be submitted</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LENDER INSTITUTIONS: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8"/>
          <w:szCs w:val="18"/>
          <w:b w:val="1"/>
          <w:bCs w:val="1"/>
          <w:color w:val="auto"/>
        </w:rPr>
        <w:t>Please be advised that we require an original form W-9</w:t>
      </w:r>
      <w:r>
        <w:rPr>
          <w:rFonts w:ascii="Arial" w:cs="Arial" w:eastAsia="Arial" w:hAnsi="Arial"/>
          <w:sz w:val="18"/>
          <w:szCs w:val="18"/>
          <w:color w:val="auto"/>
        </w:rPr>
        <w:t>.</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1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 |  REV April 2013</w:t>
      </w:r>
    </w:p>
    <w:p>
      <w:pPr>
        <w:sectPr>
          <w:pgSz w:w="11900" w:h="16838" w:orient="portrait"/>
          <w:cols w:equalWidth="0" w:num="1">
            <w:col w:w="11360"/>
          </w:cols>
          <w:pgMar w:left="240" w:top="274" w:right="299" w:bottom="1440" w:gutter="0" w:footer="0" w:header="0"/>
        </w:sectPr>
      </w:pPr>
    </w:p>
    <w:bookmarkStart w:id="149" w:name="page150"/>
    <w:bookmarkEnd w:id="149"/>
    <w:p>
      <w:pPr>
        <w:jc w:val="right"/>
        <w:ind w:right="475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DETAILS REPLY FORM – (US DOLLAR ONLY) </w:t>
      </w:r>
      <w:r>
        <w:rPr>
          <w:rFonts w:ascii="Arial" w:cs="Arial" w:eastAsia="Arial" w:hAnsi="Arial"/>
          <w:sz w:val="18"/>
          <w:szCs w:val="18"/>
          <w:b w:val="1"/>
          <w:bCs w:val="1"/>
          <w:i w:val="1"/>
          <w:iCs w:val="1"/>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-291465</wp:posOffset>
            </wp:positionV>
            <wp:extent cx="1029335" cy="283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9335" cy="283210"/>
                    </a:xfrm>
                    <a:prstGeom prst="rect">
                      <a:avLst/>
                    </a:prstGeom>
                    <a:noFill/>
                  </pic:spPr>
                </pic:pic>
              </a:graphicData>
            </a:graphic>
          </wp:anchor>
        </w:drawing>
      </w:r>
    </w:p>
    <w:p>
      <w:pPr>
        <w:spacing w:after="0" w:line="106"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1835" cy="4972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183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Bank of America’s Payment Instructions: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Pay to:</w:t>
      </w:r>
      <w:r>
        <w:rPr>
          <w:sz w:val="20"/>
          <w:szCs w:val="20"/>
          <w:color w:val="auto"/>
        </w:rPr>
        <w:tab/>
      </w:r>
      <w:r>
        <w:rPr>
          <w:rFonts w:ascii="Arial" w:cs="Arial" w:eastAsia="Arial" w:hAnsi="Arial"/>
          <w:sz w:val="16"/>
          <w:szCs w:val="16"/>
          <w:color w:val="auto"/>
        </w:rPr>
        <w:t>Bank of America, N.A.</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ABA # 026009593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Account # 1292000883</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Attn: Corporate Credit Services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Ref: Waste Management, Inc.</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 |  REV April 2013</w:t>
      </w:r>
    </w:p>
    <w:p>
      <w:pPr>
        <w:sectPr>
          <w:pgSz w:w="11900" w:h="16838" w:orient="portrait"/>
          <w:cols w:equalWidth="0" w:num="1">
            <w:col w:w="10219"/>
          </w:cols>
          <w:pgMar w:left="240" w:top="274"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20" w:type="dxa"/>
            <w:vAlign w:val="bottom"/>
            <w:gridSpan w:val="3"/>
          </w:tcPr>
          <w:p>
            <w:pPr>
              <w:ind w:left="2500"/>
              <w:spacing w:after="0"/>
              <w:rPr>
                <w:sz w:val="20"/>
                <w:szCs w:val="20"/>
                <w:color w:val="auto"/>
              </w:rPr>
            </w:pPr>
            <w:r>
              <w:rPr>
                <w:rFonts w:ascii="Arial" w:cs="Arial" w:eastAsia="Arial" w:hAnsi="Arial"/>
                <w:sz w:val="18"/>
                <w:szCs w:val="18"/>
                <w:b w:val="1"/>
                <w:bCs w:val="1"/>
                <w:color w:val="auto"/>
              </w:rPr>
              <w:t>BANKS; COMMITMENTS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Bank</w:t>
            </w:r>
          </w:p>
        </w:tc>
        <w:tc>
          <w:tcPr>
            <w:tcW w:w="210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7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JPMorgan Chase Bank, N.A.</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182,500,000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Bank of America, 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182,500,000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BNP Paribas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Citibank, 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Deutsche Bank AG New York Branch</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The Royal Bank of Scotland plc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U.S. Bank National Association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Wells Fargo Bank, National Association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137,500,000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Compass Bank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Credit Suisse AG, Cayman Islands Branch</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Mizuho Bank (USA)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The Bank of Nova Scotia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Comerica Bank</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Lloyds TSB Bank, Plc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Sumitomo Mitsui Banking Corporation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The Bank of New York Mellon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20"/>
          </w:cols>
          <w:pgMar w:left="1440" w:top="2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LIENS</w:t>
      </w:r>
    </w:p>
    <w:p>
      <w:pPr>
        <w:spacing w:after="0" w:line="218"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Various capital leases entered into by Subsidiaries in the ordinary course of business for operating equipment and facilities.</w:t>
      </w:r>
    </w:p>
    <w:p>
      <w:pPr>
        <w:spacing w:after="0" w:line="90"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note payable associated with the investment in federal low-income housing tax credits as described in Note 9, Income Taxes, and Note 20, Variable Interest Entities, in the Annual Report on Form 10-K for the year ended December 31, 2012.</w:t>
      </w:r>
    </w:p>
    <w:p>
      <w:pPr>
        <w:sectPr>
          <w:pgSz w:w="11900" w:h="16838" w:orient="portrait"/>
          <w:cols w:equalWidth="0" w:num="1">
            <w:col w:w="11420"/>
          </w:cols>
          <w:pgMar w:left="240" w:top="273"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40" w:type="dxa"/>
            <w:vAlign w:val="bottom"/>
            <w:gridSpan w:val="2"/>
          </w:tcPr>
          <w:p>
            <w:pPr>
              <w:ind w:left="1960"/>
              <w:spacing w:after="0"/>
              <w:rPr>
                <w:sz w:val="20"/>
                <w:szCs w:val="20"/>
                <w:color w:val="auto"/>
              </w:rPr>
            </w:pPr>
            <w:r>
              <w:rPr>
                <w:rFonts w:ascii="Arial" w:cs="Arial" w:eastAsia="Arial" w:hAnsi="Arial"/>
                <w:sz w:val="18"/>
                <w:szCs w:val="18"/>
                <w:b w:val="1"/>
                <w:bCs w:val="1"/>
                <w:color w:val="auto"/>
                <w:w w:val="97"/>
              </w:rPr>
              <w:t>ISSUING BANKS AND ISSUING BANK LIMITS</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60" w:type="dxa"/>
            <w:vAlign w:val="bottom"/>
          </w:tcPr>
          <w:p>
            <w:pPr>
              <w:spacing w:after="0"/>
              <w:rPr>
                <w:sz w:val="19"/>
                <w:szCs w:val="19"/>
                <w:color w:val="auto"/>
              </w:rPr>
            </w:pPr>
          </w:p>
        </w:tc>
        <w:tc>
          <w:tcPr>
            <w:tcW w:w="378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JPMorgan Chase Bank, N.A.</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$500,000,000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w:t>
            </w:r>
          </w:p>
        </w:tc>
        <w:tc>
          <w:tcPr>
            <w:tcW w:w="2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Compass Bank</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bl>
    <w:p>
      <w:pPr>
        <w:sectPr>
          <w:pgSz w:w="11900" w:h="16838" w:orient="portrait"/>
          <w:cols w:equalWidth="0" w:num="1">
            <w:col w:w="10220"/>
          </w:cols>
          <w:pgMar w:left="1440" w:top="27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3.1.1</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FORM OF INCREASE/DECREASE LETTER</w:t>
      </w:r>
    </w:p>
    <w:p>
      <w:pPr>
        <w:spacing w:after="0" w:line="17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-13970</wp:posOffset>
            </wp:positionV>
            <wp:extent cx="66865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jc w:val="both"/>
        <w:ind w:right="140" w:firstLine="913"/>
        <w:spacing w:after="0" w:line="294" w:lineRule="auto"/>
        <w:rPr>
          <w:sz w:val="20"/>
          <w:szCs w:val="20"/>
          <w:color w:val="auto"/>
        </w:rPr>
      </w:pPr>
      <w:r>
        <w:rPr>
          <w:rFonts w:ascii="Arial" w:cs="Arial" w:eastAsia="Arial" w:hAnsi="Arial"/>
          <w:sz w:val="16"/>
          <w:szCs w:val="16"/>
          <w:color w:val="auto"/>
        </w:rPr>
        <w:t>Reference is made to the SECOND AMENDED AND RESTATED REVOLVING CREDIT AGREEMENT dated as of July 26, 2013 (as amended and in effect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and not otherwise defined herein shall have the meanings assigned thereto in the Credit Agreement), by and among WASTE MANAGEMENT,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WASTE MANAGEMENT HOLDINGS, INC., a wholly-owned Subsidiary of the Borrower (the “</w:t>
      </w:r>
      <w:r>
        <w:rPr>
          <w:rFonts w:ascii="Arial" w:cs="Arial" w:eastAsia="Arial" w:hAnsi="Arial"/>
          <w:sz w:val="16"/>
          <w:szCs w:val="16"/>
          <w:u w:val="single" w:color="auto"/>
          <w:color w:val="auto"/>
        </w:rPr>
        <w:t>Guarantor</w:t>
      </w:r>
      <w:r>
        <w:rPr>
          <w:rFonts w:ascii="Arial" w:cs="Arial" w:eastAsia="Arial" w:hAnsi="Arial"/>
          <w:sz w:val="16"/>
          <w:szCs w:val="16"/>
          <w:color w:val="auto"/>
        </w:rPr>
        <w:t>”), certain Banks from time to time party thereto and BANK OF AMERICA,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xml:space="preserve">”), and specifically to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attached thereto.</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The undersigned, being an Issuing Bank, hereby agrees pursuant to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of the Credit Agreement that the limit set forth in said </w:t>
      </w:r>
      <w:r>
        <w:rPr>
          <w:rFonts w:ascii="Arial" w:cs="Arial" w:eastAsia="Arial" w:hAnsi="Arial"/>
          <w:sz w:val="16"/>
          <w:szCs w:val="16"/>
          <w:u w:val="single" w:color="auto"/>
          <w:color w:val="auto"/>
        </w:rPr>
        <w:t>Schedule 3.1</w:t>
      </w:r>
      <w:r>
        <w:rPr>
          <w:rFonts w:ascii="Arial" w:cs="Arial" w:eastAsia="Arial" w:hAnsi="Arial"/>
          <w:sz w:val="16"/>
          <w:szCs w:val="16"/>
          <w:color w:val="auto"/>
        </w:rPr>
        <w:t xml:space="preserve"> with</w:t>
      </w:r>
    </w:p>
    <w:p>
      <w:pPr>
        <w:spacing w:after="0" w:line="38" w:lineRule="exact"/>
        <w:rPr>
          <w:sz w:val="20"/>
          <w:szCs w:val="20"/>
          <w:color w:val="auto"/>
        </w:rPr>
      </w:pPr>
    </w:p>
    <w:p>
      <w:pPr>
        <w:spacing w:after="0"/>
        <w:tabs>
          <w:tab w:leader="none" w:pos="5920" w:val="left"/>
        </w:tabs>
        <w:rPr>
          <w:sz w:val="20"/>
          <w:szCs w:val="20"/>
          <w:color w:val="auto"/>
        </w:rPr>
      </w:pPr>
      <w:r>
        <w:rPr>
          <w:rFonts w:ascii="Arial" w:cs="Arial" w:eastAsia="Arial" w:hAnsi="Arial"/>
          <w:sz w:val="16"/>
          <w:szCs w:val="16"/>
          <w:color w:val="auto"/>
        </w:rPr>
        <w:t>respect to the undersigned shall, effective on the date hereof, be changed to $</w:t>
      </w:r>
      <w:r>
        <w:rPr>
          <w:sz w:val="20"/>
          <w:szCs w:val="20"/>
          <w:color w:val="auto"/>
        </w:rPr>
        <w:tab/>
      </w:r>
      <w:r>
        <w:rPr>
          <w:rFonts w:ascii="Arial" w:cs="Arial" w:eastAsia="Arial" w:hAnsi="Arial"/>
          <w:sz w:val="18"/>
          <w:szCs w:val="18"/>
          <w:color w:val="auto"/>
        </w:rPr>
        <w: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the Guarantor and the Administrative Agent acknowledge the foregoing.</w:t>
      </w:r>
    </w:p>
    <w:p>
      <w:pPr>
        <w:spacing w:after="0" w:line="171"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This letter agreement may be executed in any number of counterparts, and shall be governed by and construed in accordance with the law of the State of New York.</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Issuing Bank]</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-129540</wp:posOffset>
            </wp:positionV>
            <wp:extent cx="21609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6985</wp:posOffset>
            </wp:positionV>
            <wp:extent cx="21609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-129540</wp:posOffset>
            </wp:positionV>
            <wp:extent cx="21609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-129540</wp:posOffset>
            </wp:positionV>
            <wp:extent cx="216090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6985</wp:posOffset>
            </wp:positionV>
            <wp:extent cx="216090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60905" cy="8890"/>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-129540</wp:posOffset>
            </wp:positionV>
            <wp:extent cx="216090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4" w:name="page155"/>
    <w:bookmarkEnd w:id="15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HOLDINGS,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-129540</wp:posOffset>
            </wp:positionV>
            <wp:extent cx="217805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6985</wp:posOffset>
            </wp:positionV>
            <wp:extent cx="217805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-129540</wp:posOffset>
            </wp:positionV>
            <wp:extent cx="217805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19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BANK OF AMERICA, N.A., as Administrative Agent</w:t>
      </w:r>
    </w:p>
    <w:p>
      <w:pPr>
        <w:spacing w:after="0" w:line="25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-129540</wp:posOffset>
            </wp:positionV>
            <wp:extent cx="21780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6985</wp:posOffset>
            </wp:positionV>
            <wp:extent cx="21780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-129540</wp:posOffset>
            </wp:positionV>
            <wp:extent cx="21780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838" w:orient="portrait"/>
          <w:cols w:equalWidth="0" w:num="1">
            <w:col w:w="9700"/>
          </w:cols>
          <w:pgMar w:left="1440" w:top="274" w:right="75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4"/>
          </w:tcPr>
          <w:p>
            <w:pPr>
              <w:ind w:left="620"/>
              <w:spacing w:after="0"/>
              <w:rPr>
                <w:sz w:val="20"/>
                <w:szCs w:val="20"/>
                <w:color w:val="auto"/>
              </w:rPr>
            </w:pPr>
            <w:r>
              <w:rPr>
                <w:rFonts w:ascii="Arial" w:cs="Arial" w:eastAsia="Arial" w:hAnsi="Arial"/>
                <w:sz w:val="18"/>
                <w:szCs w:val="18"/>
                <w:b w:val="1"/>
                <w:bCs w:val="1"/>
                <w:color w:val="auto"/>
                <w:w w:val="92"/>
              </w:rPr>
              <w:t>SCHEDULE 3.1.2</w:t>
            </w:r>
          </w:p>
        </w:tc>
        <w:tc>
          <w:tcPr>
            <w:tcW w:w="0" w:type="dxa"/>
            <w:vAlign w:val="bottom"/>
          </w:tcPr>
          <w:p>
            <w:pPr>
              <w:spacing w:after="0"/>
              <w:rPr>
                <w:sz w:val="1"/>
                <w:szCs w:val="1"/>
                <w:color w:val="auto"/>
              </w:rPr>
            </w:pPr>
          </w:p>
        </w:tc>
      </w:tr>
      <w:tr>
        <w:trPr>
          <w:trHeight w:val="50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3"/>
          </w:tcPr>
          <w:p>
            <w:pPr>
              <w:ind w:left="1580"/>
              <w:spacing w:after="0"/>
              <w:rPr>
                <w:sz w:val="20"/>
                <w:szCs w:val="20"/>
                <w:color w:val="auto"/>
              </w:rPr>
            </w:pPr>
            <w:r>
              <w:rPr>
                <w:rFonts w:ascii="Arial" w:cs="Arial" w:eastAsia="Arial" w:hAnsi="Arial"/>
                <w:sz w:val="18"/>
                <w:szCs w:val="18"/>
                <w:b w:val="1"/>
                <w:bCs w:val="1"/>
                <w:color w:val="auto"/>
              </w:rPr>
              <w:t>EXISTING LETTERS OF CREDIT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auto"/>
              </w:rPr>
              <w:t>Waste Management, Inc.</w:t>
            </w:r>
          </w:p>
        </w:tc>
        <w:tc>
          <w:tcPr>
            <w:tcW w:w="272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760" w:type="dxa"/>
            <w:vAlign w:val="bottom"/>
            <w:gridSpan w:val="6"/>
          </w:tcPr>
          <w:p>
            <w:pPr>
              <w:ind w:left="60"/>
              <w:spacing w:after="0"/>
              <w:rPr>
                <w:sz w:val="20"/>
                <w:szCs w:val="20"/>
                <w:color w:val="auto"/>
              </w:rPr>
            </w:pPr>
            <w:r>
              <w:rPr>
                <w:rFonts w:ascii="Arial" w:cs="Arial" w:eastAsia="Arial" w:hAnsi="Arial"/>
                <w:sz w:val="18"/>
                <w:szCs w:val="18"/>
                <w:color w:val="auto"/>
              </w:rPr>
              <w:t>Outstanding Letters of Credit as of 7/19/13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Issuance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0"/>
        </w:trPr>
        <w:tc>
          <w:tcPr>
            <w:tcW w:w="760" w:type="dxa"/>
            <w:vAlign w:val="bottom"/>
            <w:vMerge w:val="restart"/>
          </w:tcPr>
          <w:p>
            <w:pPr>
              <w:spacing w:after="0"/>
              <w:rPr>
                <w:sz w:val="20"/>
                <w:szCs w:val="20"/>
                <w:color w:val="auto"/>
              </w:rPr>
            </w:pPr>
            <w:r>
              <w:rPr>
                <w:rFonts w:ascii="Arial" w:cs="Arial" w:eastAsia="Arial" w:hAnsi="Arial"/>
                <w:sz w:val="14"/>
                <w:szCs w:val="14"/>
                <w:color w:val="auto"/>
                <w:w w:val="92"/>
              </w:rPr>
              <w:t>Issuing Bank</w:t>
            </w:r>
          </w:p>
        </w:tc>
        <w:tc>
          <w:tcPr>
            <w:tcW w:w="50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60" w:type="dxa"/>
            <w:vAlign w:val="bottom"/>
            <w:gridSpan w:val="2"/>
            <w:vMerge w:val="restart"/>
          </w:tcPr>
          <w:p>
            <w:pPr>
              <w:ind w:left="540"/>
              <w:spacing w:after="0"/>
              <w:rPr>
                <w:sz w:val="20"/>
                <w:szCs w:val="20"/>
                <w:color w:val="auto"/>
              </w:rPr>
            </w:pPr>
            <w:r>
              <w:rPr>
                <w:rFonts w:ascii="Arial" w:cs="Arial" w:eastAsia="Arial" w:hAnsi="Arial"/>
                <w:sz w:val="14"/>
                <w:szCs w:val="14"/>
                <w:color w:val="auto"/>
              </w:rPr>
              <w:t>Beneficiary Name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ind w:left="480"/>
              <w:spacing w:after="0" w:line="146" w:lineRule="exact"/>
              <w:rPr>
                <w:sz w:val="20"/>
                <w:szCs w:val="20"/>
                <w:color w:val="auto"/>
              </w:rPr>
            </w:pPr>
            <w:r>
              <w:rPr>
                <w:rFonts w:ascii="Arial" w:cs="Arial" w:eastAsia="Arial" w:hAnsi="Arial"/>
                <w:sz w:val="14"/>
                <w:szCs w:val="14"/>
                <w:color w:val="auto"/>
              </w:rPr>
              <w:t>LC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Amount</w:t>
            </w:r>
          </w:p>
        </w:tc>
        <w:tc>
          <w:tcPr>
            <w:tcW w:w="10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1"/>
              </w:rPr>
              <w:t>Date</w:t>
            </w:r>
          </w:p>
        </w:tc>
        <w:tc>
          <w:tcPr>
            <w:tcW w:w="980" w:type="dxa"/>
            <w:vAlign w:val="bottom"/>
            <w:gridSpan w:val="2"/>
          </w:tcPr>
          <w:p>
            <w:pPr>
              <w:ind w:left="100"/>
              <w:spacing w:after="0" w:line="146" w:lineRule="exact"/>
              <w:rPr>
                <w:sz w:val="20"/>
                <w:szCs w:val="20"/>
                <w:color w:val="auto"/>
              </w:rPr>
            </w:pPr>
            <w:r>
              <w:rPr>
                <w:rFonts w:ascii="Arial" w:cs="Arial" w:eastAsia="Arial" w:hAnsi="Arial"/>
                <w:sz w:val="14"/>
                <w:szCs w:val="14"/>
                <w:color w:val="auto"/>
              </w:rPr>
              <w:t>Expiry Date</w:t>
            </w: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3"/>
              </w:rPr>
              <w:t>Bank of America</w:t>
            </w:r>
          </w:p>
        </w:tc>
        <w:tc>
          <w:tcPr>
            <w:tcW w:w="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T00000000213002</w:t>
            </w:r>
          </w:p>
        </w:tc>
        <w:tc>
          <w:tcPr>
            <w:tcW w:w="120" w:type="dxa"/>
            <w:vAlign w:val="bottom"/>
            <w:tcBorders>
              <w:top w:val="single" w:sz="8" w:color="CCEEFF"/>
            </w:tcBorders>
            <w:shd w:val="clear" w:color="auto" w:fill="CCEEFF"/>
          </w:tcPr>
          <w:p>
            <w:pPr>
              <w:spacing w:after="0"/>
              <w:rPr>
                <w:sz w:val="17"/>
                <w:szCs w:val="17"/>
                <w:color w:val="auto"/>
              </w:rPr>
            </w:pPr>
          </w:p>
        </w:tc>
        <w:tc>
          <w:tcPr>
            <w:tcW w:w="5240" w:type="dxa"/>
            <w:vAlign w:val="bottom"/>
            <w:tcBorders>
              <w:top w:val="single" w:sz="8" w:color="auto"/>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NATIONAL UNION FIRE INS. CO</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9,467,000.00</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4/2/2013</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4/1/2014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T00000001232800</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THE BANK OF NEW YORK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27,757,743.00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T00000001247976</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THE BANK OF NEW YORK</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7,356,311.00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T00000001251000</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THE BANK OF NEW YORK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15,236,713.00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T00000001257761</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THE BANK OF NEW YORK MELLON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22,368,877.00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T00000001278952</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NEW CASTLE COUNTY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6/22/2013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12/20/2013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T00000001282117</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CALIFORNIA INTEGRATE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8/1/2013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T00000001302974</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PENNSYLVANIA DEP</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18,284,965.00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4/20/2012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12/12/2013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T00000001303357</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CITY OF TAMPA, FLORIDA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12/6/2012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12/31/2013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T00000001303916</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COMMISSIONER, NY DEC</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8,459,697.00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T00000001323375</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RELIANCE INSURANCE CO</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1,940,808.00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4/16/2013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T00000001324248</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WELLS FARGO BANK, NA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2,576,464.64</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4/30/2014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T00000001335043</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PENNSYLVANIA DEP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10,219,006.00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3/14/2013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T00000001335049</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DEP PUBLIC WORKS COUNTY LA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T00000001335064</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CITY OF CHICAGO, COMMISSIONER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5/17/2013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T00000001409712</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THE BANK OF NEW YORK</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15,140,035.00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6/8/2014</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760" w:type="dxa"/>
            <w:vAlign w:val="bottom"/>
            <w:gridSpan w:val="6"/>
            <w:shd w:val="clear" w:color="auto" w:fill="CCEEFF"/>
          </w:tcPr>
          <w:p>
            <w:pPr>
              <w:ind w:left="60"/>
              <w:spacing w:after="0"/>
              <w:rPr>
                <w:sz w:val="20"/>
                <w:szCs w:val="20"/>
                <w:color w:val="auto"/>
              </w:rPr>
            </w:pPr>
            <w:r>
              <w:rPr>
                <w:rFonts w:ascii="Arial" w:cs="Arial" w:eastAsia="Arial" w:hAnsi="Arial"/>
                <w:sz w:val="18"/>
                <w:szCs w:val="18"/>
                <w:color w:val="auto"/>
              </w:rPr>
              <w:t>T00000001411998  THE BANK OF NEW YORK</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10,157,809.00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6/22/2010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T00000007269871</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INSURANCE COMPANY OF NORTH AMERICA</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582,000.00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12/31/2013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T00000007270224</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PENNSYLVANIA DEP</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225,326.00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4/20/2012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8/31/2013</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T00000007270536</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JEFFERSON COUNTY BOARD OF ZONING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2,702,500.00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4/20/2012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8/31/2013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T00000007285972</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OLD REPUBLIC INSURANCE CO</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T00000007310687</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WEST VIRGINIA DEP</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32,000.00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12/31/2013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T00000007316467</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CITY OF NORCO</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3/1/2014</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w w:val="87"/>
              </w:rPr>
              <w:t>T00000007319982</w:t>
            </w:r>
          </w:p>
        </w:tc>
        <w:tc>
          <w:tcPr>
            <w:tcW w:w="5360" w:type="dxa"/>
            <w:vAlign w:val="bottom"/>
            <w:gridSpan w:val="4"/>
          </w:tcPr>
          <w:p>
            <w:pPr>
              <w:ind w:left="120"/>
              <w:spacing w:after="0"/>
              <w:rPr>
                <w:sz w:val="20"/>
                <w:szCs w:val="20"/>
                <w:color w:val="auto"/>
              </w:rPr>
            </w:pPr>
            <w:r>
              <w:rPr>
                <w:rFonts w:ascii="Arial" w:cs="Arial" w:eastAsia="Arial" w:hAnsi="Arial"/>
                <w:sz w:val="18"/>
                <w:szCs w:val="18"/>
                <w:color w:val="auto"/>
              </w:rPr>
              <w:t>MUNISING LANDFILL AUTHORITY</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313,237.00</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1/1/2013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12/31/2013</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7"/>
              </w:rPr>
              <w:t>T00000007400118</w:t>
            </w:r>
          </w:p>
        </w:tc>
        <w:tc>
          <w:tcPr>
            <w:tcW w:w="53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LUMBERMENS MUTUAL CASUALTY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10/1/2012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9/30/2013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6" w:name="page157"/>
    <w:bookmarkEnd w:id="156"/>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T00000007400153</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TAMPA, CHIEF ACCOUNTANT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10/1/2012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T00000007400154</w:t>
            </w:r>
          </w:p>
        </w:tc>
        <w:tc>
          <w:tcPr>
            <w:tcW w:w="4780" w:type="dxa"/>
            <w:vAlign w:val="bottom"/>
          </w:tcPr>
          <w:p>
            <w:pPr>
              <w:ind w:left="80"/>
              <w:spacing w:after="0"/>
              <w:rPr>
                <w:sz w:val="20"/>
                <w:szCs w:val="20"/>
                <w:color w:val="auto"/>
              </w:rPr>
            </w:pPr>
            <w:r>
              <w:rPr>
                <w:rFonts w:ascii="Arial" w:cs="Arial" w:eastAsia="Arial" w:hAnsi="Arial"/>
                <w:sz w:val="18"/>
                <w:szCs w:val="18"/>
                <w:color w:val="auto"/>
              </w:rPr>
              <w:t>LUMBERMEN’S UNDERWRITING ALLIANCE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350,000.00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6/30/2010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T00000007401424</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PUBLIC SERVICE ELECTRID &amp; GAS CO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1,440,000.00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T00000007402063</w:t>
            </w:r>
          </w:p>
        </w:tc>
        <w:tc>
          <w:tcPr>
            <w:tcW w:w="4780" w:type="dxa"/>
            <w:vAlign w:val="bottom"/>
          </w:tcPr>
          <w:p>
            <w:pPr>
              <w:ind w:left="80"/>
              <w:spacing w:after="0"/>
              <w:rPr>
                <w:sz w:val="20"/>
                <w:szCs w:val="20"/>
                <w:color w:val="auto"/>
              </w:rPr>
            </w:pPr>
            <w:r>
              <w:rPr>
                <w:rFonts w:ascii="Arial" w:cs="Arial" w:eastAsia="Arial" w:hAnsi="Arial"/>
                <w:sz w:val="18"/>
                <w:szCs w:val="18"/>
                <w:color w:val="auto"/>
              </w:rPr>
              <w:t>CAPE MAY COUNTY MUNICIPAL UTILITIES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4/20/2012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T00000007403099</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 OF NEVADA DEPT INSURANCE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7440" w:type="dxa"/>
            <w:vAlign w:val="bottom"/>
            <w:gridSpan w:val="2"/>
          </w:tcPr>
          <w:p>
            <w:pPr>
              <w:ind w:left="1260"/>
              <w:spacing w:after="0"/>
              <w:rPr>
                <w:sz w:val="20"/>
                <w:szCs w:val="20"/>
                <w:color w:val="auto"/>
              </w:rPr>
            </w:pPr>
            <w:r>
              <w:rPr>
                <w:rFonts w:ascii="Arial" w:cs="Arial" w:eastAsia="Arial" w:hAnsi="Arial"/>
                <w:sz w:val="18"/>
                <w:szCs w:val="18"/>
                <w:color w:val="auto"/>
              </w:rPr>
              <w:t>T00000007404115  CITY OF DIAMOND BAR</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125,000.00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6/30/2010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8/31/2013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T00000007404298</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CHARTER TOWNSHIP OF ORION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T00000007404522</w:t>
            </w:r>
          </w:p>
        </w:tc>
        <w:tc>
          <w:tcPr>
            <w:tcW w:w="4780" w:type="dxa"/>
            <w:vAlign w:val="bottom"/>
          </w:tcPr>
          <w:p>
            <w:pPr>
              <w:ind w:left="80"/>
              <w:spacing w:after="0"/>
              <w:rPr>
                <w:sz w:val="20"/>
                <w:szCs w:val="20"/>
                <w:color w:val="auto"/>
              </w:rPr>
            </w:pPr>
            <w:r>
              <w:rPr>
                <w:rFonts w:ascii="Arial" w:cs="Arial" w:eastAsia="Arial" w:hAnsi="Arial"/>
                <w:sz w:val="18"/>
                <w:szCs w:val="18"/>
                <w:color w:val="auto"/>
              </w:rPr>
              <w:t>CITY OF CHICAGO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T00000007404577</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CHICAGO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T00000007405890</w:t>
            </w:r>
          </w:p>
        </w:tc>
        <w:tc>
          <w:tcPr>
            <w:tcW w:w="4780" w:type="dxa"/>
            <w:vAlign w:val="bottom"/>
          </w:tcPr>
          <w:p>
            <w:pPr>
              <w:ind w:left="80"/>
              <w:spacing w:after="0"/>
              <w:rPr>
                <w:sz w:val="20"/>
                <w:szCs w:val="20"/>
                <w:color w:val="auto"/>
              </w:rPr>
            </w:pPr>
            <w:r>
              <w:rPr>
                <w:rFonts w:ascii="Arial" w:cs="Arial" w:eastAsia="Arial" w:hAnsi="Arial"/>
                <w:sz w:val="18"/>
                <w:szCs w:val="18"/>
                <w:color w:val="auto"/>
              </w:rPr>
              <w:t>NATIONAL UNION FIRE INS.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244,145.00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10/3/2012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T00000007410766</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VILLAGE OF WESTMONT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4/23/2013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5/31/2014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T00000007412800</w:t>
            </w:r>
          </w:p>
        </w:tc>
        <w:tc>
          <w:tcPr>
            <w:tcW w:w="4780" w:type="dxa"/>
            <w:vAlign w:val="bottom"/>
          </w:tcPr>
          <w:p>
            <w:pPr>
              <w:ind w:left="80"/>
              <w:spacing w:after="0"/>
              <w:rPr>
                <w:sz w:val="20"/>
                <w:szCs w:val="20"/>
                <w:color w:val="auto"/>
              </w:rPr>
            </w:pPr>
            <w:r>
              <w:rPr>
                <w:rFonts w:ascii="Arial" w:cs="Arial" w:eastAsia="Arial" w:hAnsi="Arial"/>
                <w:sz w:val="18"/>
                <w:szCs w:val="18"/>
                <w:color w:val="auto"/>
              </w:rPr>
              <w:t>DEUTSCHE BANK TRUST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w w:val="86"/>
              </w:rPr>
              <w:t>10,118,357.00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T00000007414621</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STEADFAST INSURANCE CO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8,492,177.00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4/20/2012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T00000050060807</w:t>
            </w:r>
          </w:p>
        </w:tc>
        <w:tc>
          <w:tcPr>
            <w:tcW w:w="4780" w:type="dxa"/>
            <w:vAlign w:val="bottom"/>
          </w:tcPr>
          <w:p>
            <w:pPr>
              <w:ind w:left="80"/>
              <w:spacing w:after="0"/>
              <w:rPr>
                <w:sz w:val="20"/>
                <w:szCs w:val="20"/>
                <w:color w:val="auto"/>
              </w:rPr>
            </w:pPr>
            <w:r>
              <w:rPr>
                <w:rFonts w:ascii="Arial" w:cs="Arial" w:eastAsia="Arial" w:hAnsi="Arial"/>
                <w:sz w:val="18"/>
                <w:szCs w:val="18"/>
                <w:color w:val="auto"/>
              </w:rPr>
              <w:t>RELIANCE INSURANCE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w w:val="95"/>
              </w:rPr>
              <w:t>1,373,000.00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1/4/2013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T00000050061032</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PENNSYLVANIA MANUF ASSOC INS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6/30/2010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T00000050061263</w:t>
            </w:r>
          </w:p>
        </w:tc>
        <w:tc>
          <w:tcPr>
            <w:tcW w:w="4780" w:type="dxa"/>
            <w:vAlign w:val="bottom"/>
          </w:tcPr>
          <w:p>
            <w:pPr>
              <w:ind w:left="80"/>
              <w:spacing w:after="0"/>
              <w:rPr>
                <w:sz w:val="20"/>
                <w:szCs w:val="20"/>
                <w:color w:val="auto"/>
              </w:rPr>
            </w:pPr>
            <w:r>
              <w:rPr>
                <w:rFonts w:ascii="Arial" w:cs="Arial" w:eastAsia="Arial" w:hAnsi="Arial"/>
                <w:sz w:val="18"/>
                <w:szCs w:val="18"/>
                <w:color w:val="auto"/>
              </w:rPr>
              <w:t>STATE OF FLORIDA, DEP LABOR &amp; EMPL</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7/16/2014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T00000050061572</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SHADE TOWNSHIP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1,748,866.00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T00000050061643</w:t>
            </w:r>
          </w:p>
        </w:tc>
        <w:tc>
          <w:tcPr>
            <w:tcW w:w="4780" w:type="dxa"/>
            <w:vAlign w:val="bottom"/>
          </w:tcPr>
          <w:p>
            <w:pPr>
              <w:ind w:left="80"/>
              <w:spacing w:after="0"/>
              <w:rPr>
                <w:sz w:val="20"/>
                <w:szCs w:val="20"/>
                <w:color w:val="auto"/>
              </w:rPr>
            </w:pPr>
            <w:r>
              <w:rPr>
                <w:rFonts w:ascii="Arial" w:cs="Arial" w:eastAsia="Arial" w:hAnsi="Arial"/>
                <w:sz w:val="18"/>
                <w:szCs w:val="18"/>
                <w:color w:val="auto"/>
              </w:rPr>
              <w:t>NATIONAL UNION FIRE INS.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581,250.00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5/17/2013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T00000050061680</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WEST VIRGINIA DEP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32,000.00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T00000050061694</w:t>
            </w:r>
          </w:p>
        </w:tc>
        <w:tc>
          <w:tcPr>
            <w:tcW w:w="4780" w:type="dxa"/>
            <w:vAlign w:val="bottom"/>
          </w:tcPr>
          <w:p>
            <w:pPr>
              <w:ind w:left="80"/>
              <w:spacing w:after="0"/>
              <w:rPr>
                <w:sz w:val="20"/>
                <w:szCs w:val="20"/>
                <w:color w:val="auto"/>
              </w:rPr>
            </w:pPr>
            <w:r>
              <w:rPr>
                <w:rFonts w:ascii="Arial" w:cs="Arial" w:eastAsia="Arial" w:hAnsi="Arial"/>
                <w:sz w:val="18"/>
                <w:szCs w:val="18"/>
                <w:color w:val="auto"/>
              </w:rPr>
              <w:t>VILLAGE OF HAWTHORN WOODS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11/30/2013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T00000050061801</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NATIONAL UNION FIRE INS. CO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6"/>
              </w:rPr>
              <w:t>10,863,137.00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T00000050061858</w:t>
            </w:r>
          </w:p>
        </w:tc>
        <w:tc>
          <w:tcPr>
            <w:tcW w:w="4780" w:type="dxa"/>
            <w:vAlign w:val="bottom"/>
          </w:tcPr>
          <w:p>
            <w:pPr>
              <w:ind w:left="80"/>
              <w:spacing w:after="0"/>
              <w:rPr>
                <w:sz w:val="20"/>
                <w:szCs w:val="20"/>
                <w:color w:val="auto"/>
              </w:rPr>
            </w:pPr>
            <w:r>
              <w:rPr>
                <w:rFonts w:ascii="Arial" w:cs="Arial" w:eastAsia="Arial" w:hAnsi="Arial"/>
                <w:sz w:val="18"/>
                <w:szCs w:val="18"/>
                <w:color w:val="auto"/>
              </w:rPr>
              <w:t>ARROWOOD INDEMNITY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24,000.00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5/17/2013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T00000050061869</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VILLAGE OF HOLIDAY HILLS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T00000050061886</w:t>
            </w:r>
          </w:p>
        </w:tc>
        <w:tc>
          <w:tcPr>
            <w:tcW w:w="4780" w:type="dxa"/>
            <w:vAlign w:val="bottom"/>
          </w:tcPr>
          <w:p>
            <w:pPr>
              <w:ind w:left="80"/>
              <w:spacing w:after="0"/>
              <w:rPr>
                <w:sz w:val="20"/>
                <w:szCs w:val="20"/>
                <w:color w:val="auto"/>
              </w:rPr>
            </w:pPr>
            <w:r>
              <w:rPr>
                <w:rFonts w:ascii="Arial" w:cs="Arial" w:eastAsia="Arial" w:hAnsi="Arial"/>
                <w:sz w:val="18"/>
                <w:szCs w:val="18"/>
                <w:color w:val="auto"/>
              </w:rPr>
              <w:t>PENNSYLVANIA DEP</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w w:val="86"/>
              </w:rPr>
              <w:t>14,384,305.00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T00000050061897</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STAFFORD COUNTY ADMINISTRATOR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T00000050061910</w:t>
            </w:r>
          </w:p>
        </w:tc>
        <w:tc>
          <w:tcPr>
            <w:tcW w:w="4780" w:type="dxa"/>
            <w:vAlign w:val="bottom"/>
          </w:tcPr>
          <w:p>
            <w:pPr>
              <w:ind w:left="80"/>
              <w:spacing w:after="0"/>
              <w:rPr>
                <w:sz w:val="20"/>
                <w:szCs w:val="20"/>
                <w:color w:val="auto"/>
              </w:rPr>
            </w:pPr>
            <w:r>
              <w:rPr>
                <w:rFonts w:ascii="Arial" w:cs="Arial" w:eastAsia="Arial" w:hAnsi="Arial"/>
                <w:sz w:val="18"/>
                <w:szCs w:val="18"/>
                <w:color w:val="auto"/>
              </w:rPr>
              <w:t>CONSUMERS POWER CO.</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283,470.00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5/5/2013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T00000050061917</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AMERICAN HOME ASSURANCE CO</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345,000.00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3/30/2014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T00000050061920</w:t>
            </w:r>
          </w:p>
        </w:tc>
        <w:tc>
          <w:tcPr>
            <w:tcW w:w="4780" w:type="dxa"/>
            <w:vAlign w:val="bottom"/>
          </w:tcPr>
          <w:p>
            <w:pPr>
              <w:ind w:left="80"/>
              <w:spacing w:after="0"/>
              <w:rPr>
                <w:sz w:val="20"/>
                <w:szCs w:val="20"/>
                <w:color w:val="auto"/>
              </w:rPr>
            </w:pPr>
            <w:r>
              <w:rPr>
                <w:rFonts w:ascii="Arial" w:cs="Arial" w:eastAsia="Arial" w:hAnsi="Arial"/>
                <w:sz w:val="18"/>
                <w:szCs w:val="18"/>
                <w:color w:val="auto"/>
              </w:rPr>
              <w:t>WASTE SYSTEM AUTH. E. MONTGOMER COUNTY</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206,075.00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T00000050061925</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ANTRIM TOWNSHIP</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1,080,000.00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6/14/2013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6/16/2014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T00000050061975</w:t>
            </w:r>
          </w:p>
        </w:tc>
        <w:tc>
          <w:tcPr>
            <w:tcW w:w="4780" w:type="dxa"/>
            <w:vAlign w:val="bottom"/>
          </w:tcPr>
          <w:p>
            <w:pPr>
              <w:ind w:left="80"/>
              <w:spacing w:after="0"/>
              <w:rPr>
                <w:sz w:val="20"/>
                <w:szCs w:val="20"/>
                <w:color w:val="auto"/>
              </w:rPr>
            </w:pPr>
            <w:r>
              <w:rPr>
                <w:rFonts w:ascii="Arial" w:cs="Arial" w:eastAsia="Arial" w:hAnsi="Arial"/>
                <w:sz w:val="18"/>
                <w:szCs w:val="18"/>
                <w:color w:val="auto"/>
              </w:rPr>
              <w:t>NY DEC COMMISSIONER</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w w:val="86"/>
              </w:rPr>
              <w:t>10,831,400.00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2/4/2013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T00000050061985</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T00000050061986</w:t>
            </w:r>
          </w:p>
        </w:tc>
        <w:tc>
          <w:tcPr>
            <w:tcW w:w="4780" w:type="dxa"/>
            <w:vAlign w:val="bottom"/>
          </w:tcPr>
          <w:p>
            <w:pPr>
              <w:ind w:left="80"/>
              <w:spacing w:after="0"/>
              <w:rPr>
                <w:sz w:val="20"/>
                <w:szCs w:val="20"/>
                <w:color w:val="auto"/>
              </w:rPr>
            </w:pPr>
            <w:r>
              <w:rPr>
                <w:rFonts w:ascii="Arial" w:cs="Arial" w:eastAsia="Arial" w:hAnsi="Arial"/>
                <w:sz w:val="18"/>
                <w:szCs w:val="18"/>
                <w:color w:val="auto"/>
              </w:rPr>
              <w:t>AIG</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T00000050061998</w:t>
            </w:r>
          </w:p>
        </w:tc>
        <w:tc>
          <w:tcPr>
            <w:tcW w:w="47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TWO RIVERS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5/10/2013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22"/>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T00000050062000</w:t>
            </w:r>
          </w:p>
        </w:tc>
        <w:tc>
          <w:tcPr>
            <w:tcW w:w="4780" w:type="dxa"/>
            <w:vAlign w:val="bottom"/>
          </w:tcPr>
          <w:p>
            <w:pPr>
              <w:ind w:left="80"/>
              <w:spacing w:after="0"/>
              <w:rPr>
                <w:sz w:val="20"/>
                <w:szCs w:val="20"/>
                <w:color w:val="auto"/>
              </w:rPr>
            </w:pPr>
            <w:r>
              <w:rPr>
                <w:rFonts w:ascii="Arial" w:cs="Arial" w:eastAsia="Arial" w:hAnsi="Arial"/>
                <w:sz w:val="18"/>
                <w:szCs w:val="18"/>
                <w:color w:val="auto"/>
              </w:rPr>
              <w:t>VILLAGE OF THIRD LAKE</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75,000.00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11/30/2013</w:t>
            </w:r>
          </w:p>
        </w:tc>
      </w:tr>
    </w:tbl>
    <w:p>
      <w:pPr>
        <w:jc w:val="right"/>
        <w:ind w:right="12"/>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7" w:name="page158"/>
    <w:bookmarkEnd w:id="157"/>
    <w:tbl>
      <w:tblPr>
        <w:tblLayout w:type="fixed"/>
        <w:tblInd w:w="0" w:type="dxa"/>
        <w:tblCellMar>
          <w:top w:w="0" w:type="dxa"/>
          <w:left w:w="0" w:type="dxa"/>
          <w:bottom w:w="0" w:type="dxa"/>
          <w:right w:w="0" w:type="dxa"/>
        </w:tblCellMar>
      </w:tblP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T00000050062044</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CONTINENTAL CASUALTY CO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5,018,000.00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T00000050062050</w:t>
            </w:r>
          </w:p>
        </w:tc>
        <w:tc>
          <w:tcPr>
            <w:tcW w:w="4880" w:type="dxa"/>
            <w:vAlign w:val="bottom"/>
          </w:tcPr>
          <w:p>
            <w:pPr>
              <w:ind w:left="80"/>
              <w:spacing w:after="0"/>
              <w:rPr>
                <w:sz w:val="20"/>
                <w:szCs w:val="20"/>
                <w:color w:val="auto"/>
              </w:rPr>
            </w:pPr>
            <w:r>
              <w:rPr>
                <w:rFonts w:ascii="Arial" w:cs="Arial" w:eastAsia="Arial" w:hAnsi="Arial"/>
                <w:sz w:val="18"/>
                <w:szCs w:val="18"/>
                <w:color w:val="auto"/>
              </w:rPr>
              <w:t>RAYFORD HUDSON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960,000.00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T00000050062053</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CHICAGO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T00000050062054</w:t>
            </w:r>
          </w:p>
        </w:tc>
        <w:tc>
          <w:tcPr>
            <w:tcW w:w="4880" w:type="dxa"/>
            <w:vAlign w:val="bottom"/>
          </w:tcPr>
          <w:p>
            <w:pPr>
              <w:ind w:left="80"/>
              <w:spacing w:after="0"/>
              <w:rPr>
                <w:sz w:val="20"/>
                <w:szCs w:val="20"/>
                <w:color w:val="auto"/>
              </w:rPr>
            </w:pPr>
            <w:r>
              <w:rPr>
                <w:rFonts w:ascii="Arial" w:cs="Arial" w:eastAsia="Arial" w:hAnsi="Arial"/>
                <w:sz w:val="18"/>
                <w:szCs w:val="18"/>
                <w:color w:val="auto"/>
              </w:rPr>
              <w:t>CITY OF CHICAGO</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T00000050062099</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NEW JERSERY DEP COMMISSIONER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239,610.00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12/8/2012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12/8/2013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T00000050062119</w:t>
            </w:r>
          </w:p>
        </w:tc>
        <w:tc>
          <w:tcPr>
            <w:tcW w:w="4880" w:type="dxa"/>
            <w:vAlign w:val="bottom"/>
          </w:tcPr>
          <w:p>
            <w:pPr>
              <w:ind w:left="80"/>
              <w:spacing w:after="0"/>
              <w:rPr>
                <w:sz w:val="20"/>
                <w:szCs w:val="20"/>
                <w:color w:val="auto"/>
              </w:rPr>
            </w:pPr>
            <w:r>
              <w:rPr>
                <w:rFonts w:ascii="Arial" w:cs="Arial" w:eastAsia="Arial" w:hAnsi="Arial"/>
                <w:sz w:val="18"/>
                <w:szCs w:val="18"/>
                <w:color w:val="auto"/>
              </w:rPr>
              <w:t>ACE AMERICAN INSURANCE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w w:val="97"/>
              </w:rPr>
              <w:t>1,740,679.00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12/1/2012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12/1/2013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T00000050062137</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ACE-INA OVERSEAS INSURANCE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740,799.00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7/30/2013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T00000050062140</w:t>
            </w:r>
          </w:p>
        </w:tc>
        <w:tc>
          <w:tcPr>
            <w:tcW w:w="4880" w:type="dxa"/>
            <w:vAlign w:val="bottom"/>
          </w:tcPr>
          <w:p>
            <w:pPr>
              <w:ind w:left="80"/>
              <w:spacing w:after="0"/>
              <w:rPr>
                <w:sz w:val="20"/>
                <w:szCs w:val="20"/>
                <w:color w:val="auto"/>
              </w:rPr>
            </w:pPr>
            <w:r>
              <w:rPr>
                <w:rFonts w:ascii="Arial" w:cs="Arial" w:eastAsia="Arial" w:hAnsi="Arial"/>
                <w:sz w:val="18"/>
                <w:szCs w:val="18"/>
                <w:color w:val="auto"/>
              </w:rPr>
              <w:t>NATIONAL UNION FIRE INS. CO</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250,000.00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7/1/2013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T00000050062141</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NATIONAL UNION FIRE INS. CO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3,085,000.00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T00000064016602</w:t>
            </w:r>
          </w:p>
        </w:tc>
        <w:tc>
          <w:tcPr>
            <w:tcW w:w="4880" w:type="dxa"/>
            <w:vAlign w:val="bottom"/>
          </w:tcPr>
          <w:p>
            <w:pPr>
              <w:ind w:left="80"/>
              <w:spacing w:after="0"/>
              <w:rPr>
                <w:sz w:val="20"/>
                <w:szCs w:val="20"/>
                <w:color w:val="auto"/>
              </w:rPr>
            </w:pPr>
            <w:r>
              <w:rPr>
                <w:rFonts w:ascii="Arial" w:cs="Arial" w:eastAsia="Arial" w:hAnsi="Arial"/>
                <w:sz w:val="18"/>
                <w:szCs w:val="18"/>
                <w:color w:val="auto"/>
              </w:rPr>
              <w:t>NATIONAL RESOURCE RECOVERY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6/1/2013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T00000064016609</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DEQ MICHIGAN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5/24/2013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T00000064016613</w:t>
            </w:r>
          </w:p>
        </w:tc>
        <w:tc>
          <w:tcPr>
            <w:tcW w:w="4880" w:type="dxa"/>
            <w:vAlign w:val="bottom"/>
          </w:tcPr>
          <w:p>
            <w:pPr>
              <w:ind w:left="80"/>
              <w:spacing w:after="0"/>
              <w:rPr>
                <w:sz w:val="20"/>
                <w:szCs w:val="20"/>
                <w:color w:val="auto"/>
              </w:rPr>
            </w:pPr>
            <w:r>
              <w:rPr>
                <w:rFonts w:ascii="Arial" w:cs="Arial" w:eastAsia="Arial" w:hAnsi="Arial"/>
                <w:sz w:val="18"/>
                <w:szCs w:val="18"/>
                <w:color w:val="auto"/>
              </w:rPr>
              <w:t>COUNTY COMMISSIONERS OF WORCESTER COUNTY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6/5/2013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T00000064016621</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NEW ENGLAND POWER CO</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340,788.00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T00000064016622</w:t>
            </w:r>
          </w:p>
        </w:tc>
        <w:tc>
          <w:tcPr>
            <w:tcW w:w="4880" w:type="dxa"/>
            <w:vAlign w:val="bottom"/>
          </w:tcPr>
          <w:p>
            <w:pPr>
              <w:ind w:left="80"/>
              <w:spacing w:after="0"/>
              <w:rPr>
                <w:sz w:val="20"/>
                <w:szCs w:val="20"/>
                <w:color w:val="auto"/>
              </w:rPr>
            </w:pPr>
            <w:r>
              <w:rPr>
                <w:rFonts w:ascii="Arial" w:cs="Arial" w:eastAsia="Arial" w:hAnsi="Arial"/>
                <w:sz w:val="18"/>
                <w:szCs w:val="18"/>
                <w:color w:val="auto"/>
              </w:rPr>
              <w:t>ISO NEW ENGLAND INC.</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20,885.22</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T00000064016624</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ACE AMERICAN INSURANCE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21,350,000.00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12/15/2013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T00000064016628</w:t>
            </w:r>
          </w:p>
        </w:tc>
        <w:tc>
          <w:tcPr>
            <w:tcW w:w="4880" w:type="dxa"/>
            <w:vAlign w:val="bottom"/>
          </w:tcPr>
          <w:p>
            <w:pPr>
              <w:ind w:left="80"/>
              <w:spacing w:after="0"/>
              <w:rPr>
                <w:sz w:val="20"/>
                <w:szCs w:val="20"/>
                <w:color w:val="auto"/>
              </w:rPr>
            </w:pPr>
            <w:r>
              <w:rPr>
                <w:rFonts w:ascii="Arial" w:cs="Arial" w:eastAsia="Arial" w:hAnsi="Arial"/>
                <w:sz w:val="18"/>
                <w:szCs w:val="18"/>
                <w:color w:val="auto"/>
              </w:rPr>
              <w:t>ISO NEW ENGLAND INC.</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47,493.04</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8/31/2014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T00000064016635</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WINTERS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12/11/2013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T00000064016655</w:t>
            </w:r>
          </w:p>
        </w:tc>
        <w:tc>
          <w:tcPr>
            <w:tcW w:w="4880" w:type="dxa"/>
            <w:vAlign w:val="bottom"/>
          </w:tcPr>
          <w:p>
            <w:pPr>
              <w:ind w:left="80"/>
              <w:spacing w:after="0"/>
              <w:rPr>
                <w:sz w:val="20"/>
                <w:szCs w:val="20"/>
                <w:color w:val="auto"/>
              </w:rPr>
            </w:pPr>
            <w:r>
              <w:rPr>
                <w:rFonts w:ascii="Arial" w:cs="Arial" w:eastAsia="Arial" w:hAnsi="Arial"/>
                <w:sz w:val="18"/>
                <w:szCs w:val="18"/>
                <w:color w:val="auto"/>
              </w:rPr>
              <w:t>THE BANK OF NEW YORK MELLON</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w w:val="88"/>
              </w:rPr>
              <w:t>10,138,889.00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8/10/2014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T00000064016661</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ISO NEW ENGLAND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53,730.33</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9/21/2014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T00000064016664</w:t>
            </w:r>
          </w:p>
        </w:tc>
        <w:tc>
          <w:tcPr>
            <w:tcW w:w="4880" w:type="dxa"/>
            <w:vAlign w:val="bottom"/>
          </w:tcPr>
          <w:p>
            <w:pPr>
              <w:ind w:left="80"/>
              <w:spacing w:after="0"/>
              <w:rPr>
                <w:sz w:val="20"/>
                <w:szCs w:val="20"/>
                <w:color w:val="auto"/>
              </w:rPr>
            </w:pPr>
            <w:r>
              <w:rPr>
                <w:rFonts w:ascii="Arial" w:cs="Arial" w:eastAsia="Arial" w:hAnsi="Arial"/>
                <w:sz w:val="18"/>
                <w:szCs w:val="18"/>
                <w:color w:val="auto"/>
              </w:rPr>
              <w:t>U.S. BANK NATIONAL ASSOC</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w w:val="88"/>
              </w:rPr>
              <w:t>10,180,556.00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8/10/2014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T00000064016672</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COUNTY OF MONMOUTH, NJ</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T00000064016680</w:t>
            </w:r>
          </w:p>
        </w:tc>
        <w:tc>
          <w:tcPr>
            <w:tcW w:w="4880" w:type="dxa"/>
            <w:vAlign w:val="bottom"/>
          </w:tcPr>
          <w:p>
            <w:pPr>
              <w:ind w:left="80"/>
              <w:spacing w:after="0"/>
              <w:rPr>
                <w:sz w:val="20"/>
                <w:szCs w:val="20"/>
                <w:color w:val="auto"/>
              </w:rPr>
            </w:pPr>
            <w:r>
              <w:rPr>
                <w:rFonts w:ascii="Arial" w:cs="Arial" w:eastAsia="Arial" w:hAnsi="Arial"/>
                <w:sz w:val="18"/>
                <w:szCs w:val="18"/>
                <w:color w:val="auto"/>
              </w:rPr>
              <w:t>CITY OF PRIOR LAKE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3/20/2013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T00000064016683</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DUKE ENERGY CAROLINAS LLC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6/23/2013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6/22/2014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T00000064016686</w:t>
            </w:r>
          </w:p>
        </w:tc>
        <w:tc>
          <w:tcPr>
            <w:tcW w:w="4880" w:type="dxa"/>
            <w:vAlign w:val="bottom"/>
          </w:tcPr>
          <w:p>
            <w:pPr>
              <w:ind w:left="80"/>
              <w:spacing w:after="0"/>
              <w:rPr>
                <w:sz w:val="20"/>
                <w:szCs w:val="20"/>
                <w:color w:val="auto"/>
              </w:rPr>
            </w:pPr>
            <w:r>
              <w:rPr>
                <w:rFonts w:ascii="Arial" w:cs="Arial" w:eastAsia="Arial" w:hAnsi="Arial"/>
                <w:sz w:val="18"/>
                <w:szCs w:val="18"/>
                <w:color w:val="auto"/>
              </w:rPr>
              <w:t>CALIFORNIA DEPARTMENT FISH &amp; GAME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747,961.00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10/1/2012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8/20/2013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T00000064016688</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WAYNE COUNTY AIRPORT AUTH</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10/26/2010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10/22/2013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T00000064016689</w:t>
            </w:r>
          </w:p>
        </w:tc>
        <w:tc>
          <w:tcPr>
            <w:tcW w:w="4880" w:type="dxa"/>
            <w:vAlign w:val="bottom"/>
          </w:tcPr>
          <w:p>
            <w:pPr>
              <w:ind w:left="80"/>
              <w:spacing w:after="0"/>
              <w:rPr>
                <w:sz w:val="20"/>
                <w:szCs w:val="20"/>
                <w:color w:val="auto"/>
              </w:rPr>
            </w:pPr>
            <w:r>
              <w:rPr>
                <w:rFonts w:ascii="Arial" w:cs="Arial" w:eastAsia="Arial" w:hAnsi="Arial"/>
                <w:sz w:val="18"/>
                <w:szCs w:val="18"/>
                <w:color w:val="auto"/>
              </w:rPr>
              <w:t>AEP OHIO</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54,000.00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11/5/2010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T00000064016690</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TENNESSEE VALLEY AUTHORITY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11/16/2013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T00000064551002</w:t>
            </w:r>
          </w:p>
        </w:tc>
        <w:tc>
          <w:tcPr>
            <w:tcW w:w="4880" w:type="dxa"/>
            <w:vAlign w:val="bottom"/>
          </w:tcPr>
          <w:p>
            <w:pPr>
              <w:ind w:left="80"/>
              <w:spacing w:after="0"/>
              <w:rPr>
                <w:sz w:val="20"/>
                <w:szCs w:val="20"/>
                <w:color w:val="auto"/>
              </w:rPr>
            </w:pPr>
            <w:r>
              <w:rPr>
                <w:rFonts w:ascii="Arial" w:cs="Arial" w:eastAsia="Arial" w:hAnsi="Arial"/>
                <w:sz w:val="18"/>
                <w:szCs w:val="18"/>
                <w:color w:val="auto"/>
              </w:rPr>
              <w:t>COUNTY ADMINISTRATOR BROWARD COUNTY</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22,024.00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12/15/2010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12/5/2013</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T00000064551004</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TENNESSEE VALLEY AUTHORITY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1/14/2011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1/13/2014</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T00000064551007</w:t>
            </w:r>
          </w:p>
        </w:tc>
        <w:tc>
          <w:tcPr>
            <w:tcW w:w="4880" w:type="dxa"/>
            <w:vAlign w:val="bottom"/>
          </w:tcPr>
          <w:p>
            <w:pPr>
              <w:ind w:left="80"/>
              <w:spacing w:after="0"/>
              <w:rPr>
                <w:sz w:val="20"/>
                <w:szCs w:val="20"/>
                <w:color w:val="auto"/>
              </w:rPr>
            </w:pPr>
            <w:r>
              <w:rPr>
                <w:rFonts w:ascii="Arial" w:cs="Arial" w:eastAsia="Arial" w:hAnsi="Arial"/>
                <w:sz w:val="18"/>
                <w:szCs w:val="18"/>
                <w:color w:val="auto"/>
              </w:rPr>
              <w:t>VILLAGE OF RICHMOND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25,000.00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3/2/2013</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T00000064551018</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TAMPA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10/18/2011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10/16/2013</w:t>
            </w:r>
          </w:p>
        </w:tc>
      </w:tr>
      <w:tr>
        <w:trPr>
          <w:trHeight w:val="216"/>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T00000064551020</w:t>
            </w:r>
          </w:p>
        </w:tc>
        <w:tc>
          <w:tcPr>
            <w:tcW w:w="4880" w:type="dxa"/>
            <w:vAlign w:val="bottom"/>
          </w:tcPr>
          <w:p>
            <w:pPr>
              <w:ind w:left="80"/>
              <w:spacing w:after="0"/>
              <w:rPr>
                <w:sz w:val="20"/>
                <w:szCs w:val="20"/>
                <w:color w:val="auto"/>
              </w:rPr>
            </w:pPr>
            <w:r>
              <w:rPr>
                <w:rFonts w:ascii="Arial" w:cs="Arial" w:eastAsia="Arial" w:hAnsi="Arial"/>
                <w:sz w:val="18"/>
                <w:szCs w:val="18"/>
                <w:color w:val="auto"/>
              </w:rPr>
              <w:t>PENNSYLVANIA DEP</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20,000.00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11/18/2011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11/18/2014</w:t>
            </w:r>
          </w:p>
        </w:tc>
      </w:tr>
      <w:tr>
        <w:trPr>
          <w:trHeight w:val="216"/>
        </w:trPr>
        <w:tc>
          <w:tcPr>
            <w:tcW w:w="2660" w:type="dxa"/>
            <w:vAlign w:val="bottom"/>
            <w:shd w:val="clear" w:color="auto" w:fill="CCEEFF"/>
          </w:tcPr>
          <w:p>
            <w:pPr>
              <w:ind w:left="1260"/>
              <w:spacing w:after="0"/>
              <w:rPr>
                <w:sz w:val="20"/>
                <w:szCs w:val="20"/>
                <w:color w:val="auto"/>
              </w:rPr>
            </w:pPr>
            <w:r>
              <w:rPr>
                <w:rFonts w:ascii="Arial" w:cs="Arial" w:eastAsia="Arial" w:hAnsi="Arial"/>
                <w:sz w:val="18"/>
                <w:szCs w:val="18"/>
                <w:color w:val="auto"/>
                <w:w w:val="91"/>
              </w:rPr>
              <w:t>T00000064551023</w:t>
            </w:r>
          </w:p>
        </w:tc>
        <w:tc>
          <w:tcPr>
            <w:tcW w:w="4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TACOMA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12/6/2012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12/31/2013</w:t>
            </w:r>
          </w:p>
        </w:tc>
      </w:tr>
      <w:tr>
        <w:trPr>
          <w:trHeight w:val="222"/>
        </w:trPr>
        <w:tc>
          <w:tcPr>
            <w:tcW w:w="2660" w:type="dxa"/>
            <w:vAlign w:val="bottom"/>
          </w:tcPr>
          <w:p>
            <w:pPr>
              <w:ind w:left="1260"/>
              <w:spacing w:after="0"/>
              <w:rPr>
                <w:sz w:val="20"/>
                <w:szCs w:val="20"/>
                <w:color w:val="auto"/>
              </w:rPr>
            </w:pPr>
            <w:r>
              <w:rPr>
                <w:rFonts w:ascii="Arial" w:cs="Arial" w:eastAsia="Arial" w:hAnsi="Arial"/>
                <w:sz w:val="18"/>
                <w:szCs w:val="18"/>
                <w:color w:val="auto"/>
                <w:w w:val="91"/>
              </w:rPr>
              <w:t>T00000064551026</w:t>
            </w:r>
          </w:p>
        </w:tc>
        <w:tc>
          <w:tcPr>
            <w:tcW w:w="4880" w:type="dxa"/>
            <w:vAlign w:val="bottom"/>
          </w:tcPr>
          <w:p>
            <w:pPr>
              <w:ind w:left="80"/>
              <w:spacing w:after="0"/>
              <w:rPr>
                <w:sz w:val="20"/>
                <w:szCs w:val="20"/>
                <w:color w:val="auto"/>
              </w:rPr>
            </w:pPr>
            <w:r>
              <w:rPr>
                <w:rFonts w:ascii="Arial" w:cs="Arial" w:eastAsia="Arial" w:hAnsi="Arial"/>
                <w:sz w:val="18"/>
                <w:szCs w:val="18"/>
                <w:color w:val="auto"/>
              </w:rPr>
              <w:t>LAKE COUNTY STORMWATER MNGT COM</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169,838.00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4/13/2012</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4/20/2014</w:t>
            </w:r>
          </w:p>
        </w:tc>
      </w:tr>
    </w:tbl>
    <w:p>
      <w:pPr>
        <w:jc w:val="right"/>
        <w:ind w:right="12"/>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8" w:name="page159"/>
    <w:bookmarkEnd w:id="158"/>
    <w:tbl>
      <w:tblPr>
        <w:tblLayout w:type="fixed"/>
        <w:tblInd w:w="0" w:type="dxa"/>
        <w:tblCellMar>
          <w:top w:w="0" w:type="dxa"/>
          <w:left w:w="0" w:type="dxa"/>
          <w:bottom w:w="0" w:type="dxa"/>
          <w:right w:w="0" w:type="dxa"/>
        </w:tblCellMar>
      </w:tblP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T00000064551029</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YORK INDEPENDENT SYSTEM OP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5/25/2012</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5/25/2014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w w:val="89"/>
              </w:rPr>
              <w:t>T00000068012181</w:t>
            </w:r>
          </w:p>
        </w:tc>
        <w:tc>
          <w:tcPr>
            <w:tcW w:w="4740" w:type="dxa"/>
            <w:vAlign w:val="bottom"/>
          </w:tcPr>
          <w:p>
            <w:pPr>
              <w:ind w:left="60"/>
              <w:spacing w:after="0"/>
              <w:rPr>
                <w:sz w:val="20"/>
                <w:szCs w:val="20"/>
                <w:color w:val="auto"/>
              </w:rPr>
            </w:pPr>
            <w:r>
              <w:rPr>
                <w:rFonts w:ascii="Arial" w:cs="Arial" w:eastAsia="Arial" w:hAnsi="Arial"/>
                <w:sz w:val="18"/>
                <w:szCs w:val="18"/>
                <w:color w:val="auto"/>
              </w:rPr>
              <w:t>CITY OF SANTA CLARITA</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250,000.00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4/14/2013</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4/13/2014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T00000068031686</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BANK OF NEW YORK MELLON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6,657,879.00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8/10/2014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w w:val="89"/>
              </w:rPr>
              <w:t>T00000068031687</w:t>
            </w:r>
          </w:p>
        </w:tc>
        <w:tc>
          <w:tcPr>
            <w:tcW w:w="4740" w:type="dxa"/>
            <w:vAlign w:val="bottom"/>
          </w:tcPr>
          <w:p>
            <w:pPr>
              <w:ind w:left="60"/>
              <w:spacing w:after="0"/>
              <w:rPr>
                <w:sz w:val="20"/>
                <w:szCs w:val="20"/>
                <w:color w:val="auto"/>
              </w:rPr>
            </w:pPr>
            <w:r>
              <w:rPr>
                <w:rFonts w:ascii="Arial" w:cs="Arial" w:eastAsia="Arial" w:hAnsi="Arial"/>
                <w:sz w:val="18"/>
                <w:szCs w:val="18"/>
                <w:color w:val="auto"/>
              </w:rPr>
              <w:t>THE BANK OF NEW YORK MELLON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8,519,656.00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8/10/2014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T00000068052569</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TENNESSEE VALLEY AUTHORITY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4/20/2012</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8/20/2013</w:t>
            </w:r>
          </w:p>
        </w:tc>
      </w:tr>
      <w:tr>
        <w:trPr>
          <w:trHeight w:val="208"/>
        </w:trPr>
        <w:tc>
          <w:tcPr>
            <w:tcW w:w="1320" w:type="dxa"/>
            <w:vAlign w:val="bottom"/>
          </w:tcPr>
          <w:p>
            <w:pPr>
              <w:spacing w:after="0"/>
              <w:rPr>
                <w:sz w:val="20"/>
                <w:szCs w:val="20"/>
                <w:color w:val="auto"/>
              </w:rPr>
            </w:pPr>
            <w:r>
              <w:rPr>
                <w:rFonts w:ascii="Arial" w:cs="Arial" w:eastAsia="Arial" w:hAnsi="Arial"/>
                <w:sz w:val="18"/>
                <w:szCs w:val="18"/>
                <w:color w:val="auto"/>
                <w:w w:val="98"/>
              </w:rPr>
              <w:t>Bank of America</w:t>
            </w:r>
          </w:p>
        </w:tc>
        <w:tc>
          <w:tcPr>
            <w:tcW w:w="1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Total (98 LCs)</w:t>
            </w:r>
          </w:p>
        </w:tc>
        <w:tc>
          <w:tcPr>
            <w:tcW w:w="14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86"/>
              </w:rPr>
              <w:t>294,300,801.23</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8"/>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BNP</w:t>
            </w: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BNP S401645</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CITY OF DEL MAR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4"/>
              </w:rPr>
              <w:t>BNP Total (1 LC)</w:t>
            </w:r>
          </w:p>
        </w:tc>
        <w:tc>
          <w:tcPr>
            <w:tcW w:w="14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100,000.00</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JPMorgan</w:t>
            </w: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P010300</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BANK OF NEW YORK, AS TRUSTEE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5,793,498.00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P010301</w:t>
            </w:r>
          </w:p>
        </w:tc>
        <w:tc>
          <w:tcPr>
            <w:tcW w:w="4740" w:type="dxa"/>
            <w:vAlign w:val="bottom"/>
          </w:tcPr>
          <w:p>
            <w:pPr>
              <w:ind w:left="60"/>
              <w:spacing w:after="0"/>
              <w:rPr>
                <w:sz w:val="20"/>
                <w:szCs w:val="20"/>
                <w:color w:val="auto"/>
              </w:rPr>
            </w:pPr>
            <w:r>
              <w:rPr>
                <w:rFonts w:ascii="Arial" w:cs="Arial" w:eastAsia="Arial" w:hAnsi="Arial"/>
                <w:sz w:val="18"/>
                <w:szCs w:val="18"/>
                <w:color w:val="auto"/>
              </w:rPr>
              <w:t>THE BANK OF NEW YORK MELLON, AS TRUSTEE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4,414,094.00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P010302</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THE BANK OF NEW YORK, AS TRUSTEE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20,323,221.00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P224678</w:t>
            </w:r>
          </w:p>
        </w:tc>
        <w:tc>
          <w:tcPr>
            <w:tcW w:w="4740" w:type="dxa"/>
            <w:vAlign w:val="bottom"/>
          </w:tcPr>
          <w:p>
            <w:pPr>
              <w:ind w:left="60"/>
              <w:spacing w:after="0"/>
              <w:rPr>
                <w:sz w:val="20"/>
                <w:szCs w:val="20"/>
                <w:color w:val="auto"/>
              </w:rPr>
            </w:pPr>
            <w:r>
              <w:rPr>
                <w:rFonts w:ascii="Arial" w:cs="Arial" w:eastAsia="Arial" w:hAnsi="Arial"/>
                <w:sz w:val="18"/>
                <w:szCs w:val="18"/>
                <w:color w:val="auto"/>
              </w:rPr>
              <w:t>NATIONAL UNION FIRE INS CO</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99,400.00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5/31/2014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P224680</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NATIONAL UNION FIRE INS CO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900,000.00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P224681</w:t>
            </w:r>
          </w:p>
        </w:tc>
        <w:tc>
          <w:tcPr>
            <w:tcW w:w="4740" w:type="dxa"/>
            <w:vAlign w:val="bottom"/>
          </w:tcPr>
          <w:p>
            <w:pPr>
              <w:ind w:left="60"/>
              <w:spacing w:after="0"/>
              <w:rPr>
                <w:sz w:val="20"/>
                <w:szCs w:val="20"/>
                <w:color w:val="auto"/>
              </w:rPr>
            </w:pPr>
            <w:r>
              <w:rPr>
                <w:rFonts w:ascii="Arial" w:cs="Arial" w:eastAsia="Arial" w:hAnsi="Arial"/>
                <w:sz w:val="18"/>
                <w:szCs w:val="18"/>
                <w:color w:val="auto"/>
              </w:rPr>
              <w:t>NATIONAL UNION FIRE INS CO</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1,911,666.00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P224694</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CALIFORNIA REGIONAL WATER QUALITY BOARD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207,671.40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10/30/2013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P225252</w:t>
            </w:r>
          </w:p>
        </w:tc>
        <w:tc>
          <w:tcPr>
            <w:tcW w:w="4740" w:type="dxa"/>
            <w:vAlign w:val="bottom"/>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20,279,452.06</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3/18/2014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P225809</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10,118,357.00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5/29/2014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P227887</w:t>
            </w:r>
          </w:p>
        </w:tc>
        <w:tc>
          <w:tcPr>
            <w:tcW w:w="4740" w:type="dxa"/>
            <w:vAlign w:val="bottom"/>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20,236,713.00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7/24/2013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P228576</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14,327,593.00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P230274</w:t>
            </w:r>
          </w:p>
        </w:tc>
        <w:tc>
          <w:tcPr>
            <w:tcW w:w="4740" w:type="dxa"/>
            <w:vAlign w:val="bottom"/>
          </w:tcPr>
          <w:p>
            <w:pPr>
              <w:ind w:left="60"/>
              <w:spacing w:after="0"/>
              <w:rPr>
                <w:sz w:val="20"/>
                <w:szCs w:val="20"/>
                <w:color w:val="auto"/>
              </w:rPr>
            </w:pPr>
            <w:r>
              <w:rPr>
                <w:rFonts w:ascii="Arial" w:cs="Arial" w:eastAsia="Arial" w:hAnsi="Arial"/>
                <w:sz w:val="18"/>
                <w:szCs w:val="18"/>
                <w:color w:val="auto"/>
              </w:rPr>
              <w:t>BANK OF NEW YORK MELLON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10,118,357.00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9/24/2013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P230584</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BANK OF NEW YORK MELLON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20,236,713.00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P231095</w:t>
            </w:r>
          </w:p>
        </w:tc>
        <w:tc>
          <w:tcPr>
            <w:tcW w:w="4740" w:type="dxa"/>
            <w:vAlign w:val="bottom"/>
          </w:tcPr>
          <w:p>
            <w:pPr>
              <w:ind w:left="60"/>
              <w:spacing w:after="0"/>
              <w:rPr>
                <w:sz w:val="20"/>
                <w:szCs w:val="20"/>
                <w:color w:val="auto"/>
              </w:rPr>
            </w:pPr>
            <w:r>
              <w:rPr>
                <w:rFonts w:ascii="Arial" w:cs="Arial" w:eastAsia="Arial" w:hAnsi="Arial"/>
                <w:sz w:val="18"/>
                <w:szCs w:val="18"/>
                <w:color w:val="auto"/>
              </w:rPr>
              <w:t>DEUTSCHE BANK TRUST CO</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14,165,699.00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10/23/2013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P231096</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DEUTSCHE BANK TRUST CO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25,295,891.00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10/23/2013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P231097</w:t>
            </w:r>
          </w:p>
        </w:tc>
        <w:tc>
          <w:tcPr>
            <w:tcW w:w="4740" w:type="dxa"/>
            <w:vAlign w:val="bottom"/>
          </w:tcPr>
          <w:p>
            <w:pPr>
              <w:ind w:left="60"/>
              <w:spacing w:after="0"/>
              <w:rPr>
                <w:sz w:val="20"/>
                <w:szCs w:val="20"/>
                <w:color w:val="auto"/>
              </w:rPr>
            </w:pPr>
            <w:r>
              <w:rPr>
                <w:rFonts w:ascii="Arial" w:cs="Arial" w:eastAsia="Arial" w:hAnsi="Arial"/>
                <w:sz w:val="18"/>
                <w:szCs w:val="18"/>
                <w:color w:val="auto"/>
              </w:rPr>
              <w:t>DEUTSCHE BANK TRUST CO</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4,755,628.00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10/23/2013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P231098</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DEUTSCHE BANK TRUST CO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20,236,713.00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10/23/2013</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P232178</w:t>
            </w:r>
          </w:p>
        </w:tc>
        <w:tc>
          <w:tcPr>
            <w:tcW w:w="4740" w:type="dxa"/>
            <w:vAlign w:val="bottom"/>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25,295,891.00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11/26/2013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P247295</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DEUTSCHE BANK TRUST CO</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3"/>
              </w:rPr>
              <w:t>35,414,247.00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S-259033</w:t>
            </w:r>
          </w:p>
        </w:tc>
        <w:tc>
          <w:tcPr>
            <w:tcW w:w="4740" w:type="dxa"/>
            <w:vAlign w:val="bottom"/>
          </w:tcPr>
          <w:p>
            <w:pPr>
              <w:ind w:left="60"/>
              <w:spacing w:after="0"/>
              <w:rPr>
                <w:sz w:val="20"/>
                <w:szCs w:val="20"/>
                <w:color w:val="auto"/>
              </w:rPr>
            </w:pPr>
            <w:r>
              <w:rPr>
                <w:rFonts w:ascii="Arial" w:cs="Arial" w:eastAsia="Arial" w:hAnsi="Arial"/>
                <w:sz w:val="18"/>
                <w:szCs w:val="18"/>
                <w:color w:val="auto"/>
              </w:rPr>
              <w:t>PJM INTERCONNECTION LLC</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164,400.00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6/28/2012</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S-259035</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PJM INTERCONNECTION LLC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367,000.00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6/28/2012</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320" w:type="dxa"/>
            <w:vAlign w:val="bottom"/>
          </w:tcPr>
          <w:p>
            <w:pPr>
              <w:spacing w:after="0"/>
              <w:rPr>
                <w:sz w:val="18"/>
                <w:szCs w:val="18"/>
                <w:color w:val="auto"/>
              </w:rPr>
            </w:pPr>
          </w:p>
        </w:tc>
        <w:tc>
          <w:tcPr>
            <w:tcW w:w="1440" w:type="dxa"/>
            <w:vAlign w:val="bottom"/>
          </w:tcPr>
          <w:p>
            <w:pPr>
              <w:ind w:left="60"/>
              <w:spacing w:after="0"/>
              <w:rPr>
                <w:sz w:val="20"/>
                <w:szCs w:val="20"/>
                <w:color w:val="auto"/>
              </w:rPr>
            </w:pPr>
            <w:r>
              <w:rPr>
                <w:rFonts w:ascii="Arial" w:cs="Arial" w:eastAsia="Arial" w:hAnsi="Arial"/>
                <w:sz w:val="18"/>
                <w:szCs w:val="18"/>
                <w:color w:val="auto"/>
              </w:rPr>
              <w:t>JPM S265736</w:t>
            </w:r>
          </w:p>
        </w:tc>
        <w:tc>
          <w:tcPr>
            <w:tcW w:w="4740" w:type="dxa"/>
            <w:vAlign w:val="bottom"/>
          </w:tcPr>
          <w:p>
            <w:pPr>
              <w:ind w:left="60"/>
              <w:spacing w:after="0"/>
              <w:rPr>
                <w:sz w:val="20"/>
                <w:szCs w:val="20"/>
                <w:color w:val="auto"/>
              </w:rPr>
            </w:pPr>
            <w:r>
              <w:rPr>
                <w:rFonts w:ascii="Arial" w:cs="Arial" w:eastAsia="Arial" w:hAnsi="Arial"/>
                <w:sz w:val="18"/>
                <w:szCs w:val="18"/>
                <w:color w:val="auto"/>
              </w:rPr>
              <w:t>BANK OF NEW YORK</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w w:val="93"/>
              </w:rPr>
              <w:t>20,230,137.00</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6/22/2010</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12/12/2013</w:t>
            </w:r>
          </w:p>
        </w:tc>
      </w:tr>
      <w:tr>
        <w:trPr>
          <w:trHeight w:val="216"/>
        </w:trPr>
        <w:tc>
          <w:tcPr>
            <w:tcW w:w="1320" w:type="dxa"/>
            <w:vAlign w:val="bottom"/>
            <w:shd w:val="clear" w:color="auto" w:fill="CCEEFF"/>
          </w:tcPr>
          <w:p>
            <w:pPr>
              <w:spacing w:after="0"/>
              <w:rPr>
                <w:sz w:val="18"/>
                <w:szCs w:val="18"/>
                <w:color w:val="auto"/>
              </w:rPr>
            </w:pPr>
          </w:p>
        </w:tc>
        <w:tc>
          <w:tcPr>
            <w:tcW w:w="14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JPM S-275879</w:t>
            </w:r>
          </w:p>
        </w:tc>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ISO NEW ENGLAND INC</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150,000.00</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7/17/2012</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7/18/2013</w:t>
            </w:r>
          </w:p>
        </w:tc>
      </w:tr>
    </w:tbl>
    <w:p>
      <w:pPr>
        <w:jc w:val="right"/>
        <w:ind w:right="12"/>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9" w:name="page160"/>
    <w:bookmarkEnd w:id="159"/>
    <w:tbl>
      <w:tblPr>
        <w:tblLayout w:type="fixed"/>
        <w:tblInd w:w="0" w:type="dxa"/>
        <w:tblCellMar>
          <w:top w:w="0" w:type="dxa"/>
          <w:left w:w="0" w:type="dxa"/>
          <w:bottom w:w="0" w:type="dxa"/>
          <w:right w:w="0" w:type="dxa"/>
        </w:tblCellMar>
      </w:tblP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JPM S317905</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MIDWEST INDEPENDENT TRANSMISSION SYS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67,177.00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12/16/2011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12/15/2013</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JPM S747619</w:t>
            </w:r>
          </w:p>
        </w:tc>
        <w:tc>
          <w:tcPr>
            <w:tcW w:w="5020" w:type="dxa"/>
            <w:vAlign w:val="bottom"/>
          </w:tcPr>
          <w:p>
            <w:pPr>
              <w:ind w:left="80"/>
              <w:spacing w:after="0"/>
              <w:rPr>
                <w:sz w:val="20"/>
                <w:szCs w:val="20"/>
                <w:color w:val="auto"/>
              </w:rPr>
            </w:pPr>
            <w:r>
              <w:rPr>
                <w:rFonts w:ascii="Arial" w:cs="Arial" w:eastAsia="Arial" w:hAnsi="Arial"/>
                <w:sz w:val="18"/>
                <w:szCs w:val="18"/>
                <w:color w:val="auto"/>
              </w:rPr>
              <w:t>CITY OF ANN ARBOR</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JPM S761990</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SUTTON BROOK DISPOSAL AREA SUPERFUND SITE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3,360,104.00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9/20/2013</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JPM S-881373</w:t>
            </w:r>
          </w:p>
        </w:tc>
        <w:tc>
          <w:tcPr>
            <w:tcW w:w="5020" w:type="dxa"/>
            <w:vAlign w:val="bottom"/>
          </w:tcPr>
          <w:p>
            <w:pPr>
              <w:ind w:left="80"/>
              <w:spacing w:after="0"/>
              <w:rPr>
                <w:sz w:val="20"/>
                <w:szCs w:val="20"/>
                <w:color w:val="auto"/>
              </w:rPr>
            </w:pPr>
            <w:r>
              <w:rPr>
                <w:rFonts w:ascii="Arial" w:cs="Arial" w:eastAsia="Arial" w:hAnsi="Arial"/>
                <w:sz w:val="18"/>
                <w:szCs w:val="18"/>
                <w:color w:val="auto"/>
              </w:rPr>
              <w:t>PENSYLVANIA DEP</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9/30/2010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9/30/2013</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JPM S-907859</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COUNTY OF VENTURA PUBLIC WORKS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JPM S-917985</w:t>
            </w:r>
          </w:p>
        </w:tc>
        <w:tc>
          <w:tcPr>
            <w:tcW w:w="5020" w:type="dxa"/>
            <w:vAlign w:val="bottom"/>
          </w:tcPr>
          <w:p>
            <w:pPr>
              <w:ind w:left="80"/>
              <w:spacing w:after="0"/>
              <w:rPr>
                <w:sz w:val="20"/>
                <w:szCs w:val="20"/>
                <w:color w:val="auto"/>
              </w:rPr>
            </w:pPr>
            <w:r>
              <w:rPr>
                <w:rFonts w:ascii="Arial" w:cs="Arial" w:eastAsia="Arial" w:hAnsi="Arial"/>
                <w:sz w:val="18"/>
                <w:szCs w:val="18"/>
                <w:color w:val="auto"/>
              </w:rPr>
              <w:t>COUNTY OF SANTA BARBARA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1,032,000.00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3/21/2011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JPM TFTS 867061</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EXXON MOBIL</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8/23/2010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8/26/2013</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w w:val="95"/>
              </w:rPr>
              <w:t>JPM TFTS821440</w:t>
            </w:r>
          </w:p>
        </w:tc>
        <w:tc>
          <w:tcPr>
            <w:tcW w:w="5020" w:type="dxa"/>
            <w:vAlign w:val="bottom"/>
          </w:tcPr>
          <w:p>
            <w:pPr>
              <w:ind w:left="80"/>
              <w:spacing w:after="0"/>
              <w:rPr>
                <w:sz w:val="20"/>
                <w:szCs w:val="20"/>
                <w:color w:val="auto"/>
              </w:rPr>
            </w:pPr>
            <w:r>
              <w:rPr>
                <w:rFonts w:ascii="Arial" w:cs="Arial" w:eastAsia="Arial" w:hAnsi="Arial"/>
                <w:sz w:val="18"/>
                <w:szCs w:val="18"/>
                <w:color w:val="auto"/>
              </w:rPr>
              <w:t>NEVADA POWER COMPANY</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491,000.00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JPM TFTS838883</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SOUTHEASTERN PUBLIC SERV AUTH VIRGINIA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4/30/2014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w w:val="95"/>
              </w:rPr>
              <w:t>JPM TFTS841563</w:t>
            </w:r>
          </w:p>
        </w:tc>
        <w:tc>
          <w:tcPr>
            <w:tcW w:w="5020" w:type="dxa"/>
            <w:vAlign w:val="bottom"/>
          </w:tcPr>
          <w:p>
            <w:pPr>
              <w:ind w:left="80"/>
              <w:spacing w:after="0"/>
              <w:rPr>
                <w:sz w:val="20"/>
                <w:szCs w:val="20"/>
                <w:color w:val="auto"/>
              </w:rPr>
            </w:pPr>
            <w:r>
              <w:rPr>
                <w:rFonts w:ascii="Arial" w:cs="Arial" w:eastAsia="Arial" w:hAnsi="Arial"/>
                <w:sz w:val="18"/>
                <w:szCs w:val="18"/>
                <w:color w:val="auto"/>
              </w:rPr>
              <w:t>CITY OF LA HABRA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5/31/2014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2"/>
              </w:rPr>
              <w:t>JPM TFTS-921354</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COUNTY OF SANTA BARBARA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1,206,000.00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5/12/2011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w w:val="92"/>
              </w:rPr>
              <w:t>JPM TFTS-940609</w:t>
            </w:r>
          </w:p>
        </w:tc>
        <w:tc>
          <w:tcPr>
            <w:tcW w:w="5020" w:type="dxa"/>
            <w:vAlign w:val="bottom"/>
          </w:tcPr>
          <w:p>
            <w:pPr>
              <w:ind w:left="80"/>
              <w:spacing w:after="0"/>
              <w:rPr>
                <w:sz w:val="20"/>
                <w:szCs w:val="20"/>
                <w:color w:val="auto"/>
              </w:rPr>
            </w:pPr>
            <w:r>
              <w:rPr>
                <w:rFonts w:ascii="Arial" w:cs="Arial" w:eastAsia="Arial" w:hAnsi="Arial"/>
                <w:sz w:val="18"/>
                <w:szCs w:val="18"/>
                <w:color w:val="auto"/>
              </w:rPr>
              <w:t>VILLAGE OF AURORA</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5/25/2011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5/31/2014</w:t>
            </w:r>
          </w:p>
        </w:tc>
      </w:tr>
      <w:tr>
        <w:trPr>
          <w:trHeight w:val="208"/>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w w:val="91"/>
              </w:rPr>
              <w:t>JPMorgan Total</w:t>
            </w:r>
          </w:p>
        </w:tc>
        <w:tc>
          <w:tcPr>
            <w:tcW w:w="150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4"/>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(35 LCs)</w:t>
            </w:r>
          </w:p>
        </w:tc>
        <w:tc>
          <w:tcPr>
            <w:tcW w:w="1500" w:type="dxa"/>
            <w:vAlign w:val="bottom"/>
            <w:shd w:val="clear" w:color="auto" w:fill="CCEEFF"/>
          </w:tcPr>
          <w:p>
            <w:pPr>
              <w:spacing w:after="0"/>
              <w:rPr>
                <w:sz w:val="19"/>
                <w:szCs w:val="19"/>
                <w:color w:val="auto"/>
              </w:rPr>
            </w:pPr>
          </w:p>
        </w:tc>
        <w:tc>
          <w:tcPr>
            <w:tcW w:w="50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7"/>
              </w:rPr>
              <w:t>291,468,622.46</w:t>
            </w: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PNC</w:t>
            </w:r>
          </w:p>
        </w:tc>
        <w:tc>
          <w:tcPr>
            <w:tcW w:w="1500" w:type="dxa"/>
            <w:vAlign w:val="bottom"/>
          </w:tcPr>
          <w:p>
            <w:pPr>
              <w:ind w:left="80"/>
              <w:spacing w:after="0"/>
              <w:rPr>
                <w:sz w:val="20"/>
                <w:szCs w:val="20"/>
                <w:color w:val="auto"/>
              </w:rPr>
            </w:pPr>
            <w:r>
              <w:rPr>
                <w:rFonts w:ascii="Arial" w:cs="Arial" w:eastAsia="Arial" w:hAnsi="Arial"/>
                <w:sz w:val="18"/>
                <w:szCs w:val="18"/>
                <w:color w:val="auto"/>
              </w:rPr>
              <w:t>PNC 18102759</w:t>
            </w:r>
          </w:p>
        </w:tc>
        <w:tc>
          <w:tcPr>
            <w:tcW w:w="5020" w:type="dxa"/>
            <w:vAlign w:val="bottom"/>
          </w:tcPr>
          <w:p>
            <w:pPr>
              <w:ind w:left="80"/>
              <w:spacing w:after="0"/>
              <w:rPr>
                <w:sz w:val="20"/>
                <w:szCs w:val="20"/>
                <w:color w:val="auto"/>
              </w:rPr>
            </w:pPr>
            <w:r>
              <w:rPr>
                <w:rFonts w:ascii="Arial" w:cs="Arial" w:eastAsia="Arial" w:hAnsi="Arial"/>
                <w:sz w:val="18"/>
                <w:szCs w:val="18"/>
                <w:color w:val="auto"/>
              </w:rPr>
              <w:t>ACE INSURANCE CO</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w w:val="95"/>
              </w:rPr>
              <w:t>53,600,000.00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12/31/2013</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18102837</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CUMBERLAND IMPROVEMENT AUTH</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2/15/2014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18103139</w:t>
            </w:r>
          </w:p>
        </w:tc>
        <w:tc>
          <w:tcPr>
            <w:tcW w:w="5020" w:type="dxa"/>
            <w:vAlign w:val="bottom"/>
          </w:tcPr>
          <w:p>
            <w:pPr>
              <w:ind w:left="80"/>
              <w:spacing w:after="0"/>
              <w:rPr>
                <w:sz w:val="20"/>
                <w:szCs w:val="20"/>
                <w:color w:val="auto"/>
              </w:rPr>
            </w:pPr>
            <w:r>
              <w:rPr>
                <w:rFonts w:ascii="Arial" w:cs="Arial" w:eastAsia="Arial" w:hAnsi="Arial"/>
                <w:sz w:val="18"/>
                <w:szCs w:val="18"/>
                <w:color w:val="auto"/>
              </w:rPr>
              <w:t>CITY OF ELK GROVE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140,000.00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1/27/2011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18103294</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LIBERTY MUTUAL INSURANCE CO</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5/21/2014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18110471</w:t>
            </w:r>
          </w:p>
        </w:tc>
        <w:tc>
          <w:tcPr>
            <w:tcW w:w="5020" w:type="dxa"/>
            <w:vAlign w:val="bottom"/>
          </w:tcPr>
          <w:p>
            <w:pPr>
              <w:ind w:left="80"/>
              <w:spacing w:after="0"/>
              <w:rPr>
                <w:sz w:val="20"/>
                <w:szCs w:val="20"/>
                <w:color w:val="auto"/>
              </w:rPr>
            </w:pPr>
            <w:r>
              <w:rPr>
                <w:rFonts w:ascii="Arial" w:cs="Arial" w:eastAsia="Arial" w:hAnsi="Arial"/>
                <w:sz w:val="18"/>
                <w:szCs w:val="18"/>
                <w:color w:val="auto"/>
              </w:rPr>
              <w:t>DEUTSCHE BANK TRUST CO</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w w:val="95"/>
              </w:rPr>
              <w:t>11,130,192.00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9/25/2013</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18110472</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THE BANK OF NEW YORK, AS TRUSTEE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25,295,891.00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9/25/2014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18110584</w:t>
            </w:r>
          </w:p>
        </w:tc>
        <w:tc>
          <w:tcPr>
            <w:tcW w:w="5020" w:type="dxa"/>
            <w:vAlign w:val="bottom"/>
          </w:tcPr>
          <w:p>
            <w:pPr>
              <w:ind w:left="80"/>
              <w:spacing w:after="0"/>
              <w:rPr>
                <w:sz w:val="20"/>
                <w:szCs w:val="20"/>
                <w:color w:val="auto"/>
              </w:rPr>
            </w:pPr>
            <w:r>
              <w:rPr>
                <w:rFonts w:ascii="Arial" w:cs="Arial" w:eastAsia="Arial" w:hAnsi="Arial"/>
                <w:sz w:val="18"/>
                <w:szCs w:val="18"/>
                <w:color w:val="auto"/>
              </w:rPr>
              <w:t>DEUTSCHE BANK TRUST CO</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7,538,176.00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10/16/2013</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18111692</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SIMI VALLEY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18111741</w:t>
            </w:r>
          </w:p>
        </w:tc>
        <w:tc>
          <w:tcPr>
            <w:tcW w:w="5020" w:type="dxa"/>
            <w:vAlign w:val="bottom"/>
          </w:tcPr>
          <w:p>
            <w:pPr>
              <w:ind w:left="80"/>
              <w:spacing w:after="0"/>
              <w:rPr>
                <w:sz w:val="20"/>
                <w:szCs w:val="20"/>
                <w:color w:val="auto"/>
              </w:rPr>
            </w:pPr>
            <w:r>
              <w:rPr>
                <w:rFonts w:ascii="Arial" w:cs="Arial" w:eastAsia="Arial" w:hAnsi="Arial"/>
                <w:sz w:val="18"/>
                <w:szCs w:val="18"/>
                <w:color w:val="auto"/>
              </w:rPr>
              <w:t>NEW JERSEY DEP</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58,500.00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8/24/2014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18111906</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MORPARK</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18112080</w:t>
            </w:r>
          </w:p>
        </w:tc>
        <w:tc>
          <w:tcPr>
            <w:tcW w:w="5020" w:type="dxa"/>
            <w:vAlign w:val="bottom"/>
          </w:tcPr>
          <w:p>
            <w:pPr>
              <w:ind w:left="80"/>
              <w:spacing w:after="0"/>
              <w:rPr>
                <w:sz w:val="20"/>
                <w:szCs w:val="20"/>
                <w:color w:val="auto"/>
              </w:rPr>
            </w:pPr>
            <w:r>
              <w:rPr>
                <w:rFonts w:ascii="Arial" w:cs="Arial" w:eastAsia="Arial" w:hAnsi="Arial"/>
                <w:sz w:val="18"/>
                <w:szCs w:val="18"/>
                <w:color w:val="auto"/>
              </w:rPr>
              <w:t>CANADIAN NATIONAL RAILWAY</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25,000.00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9/14/2013</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18112161</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SANTA CLARITA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1/17/2014</w:t>
            </w:r>
          </w:p>
        </w:tc>
      </w:tr>
      <w:tr>
        <w:trPr>
          <w:trHeight w:val="208"/>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18112292</w:t>
            </w:r>
          </w:p>
        </w:tc>
        <w:tc>
          <w:tcPr>
            <w:tcW w:w="5020" w:type="dxa"/>
            <w:vAlign w:val="bottom"/>
          </w:tcPr>
          <w:p>
            <w:pPr>
              <w:ind w:left="80"/>
              <w:spacing w:after="0"/>
              <w:rPr>
                <w:sz w:val="20"/>
                <w:szCs w:val="20"/>
                <w:color w:val="auto"/>
              </w:rPr>
            </w:pPr>
            <w:r>
              <w:rPr>
                <w:rFonts w:ascii="Arial" w:cs="Arial" w:eastAsia="Arial" w:hAnsi="Arial"/>
                <w:sz w:val="18"/>
                <w:szCs w:val="18"/>
                <w:color w:val="auto"/>
                <w:w w:val="98"/>
              </w:rPr>
              <w:t>SAN JOAQUIN VALLEY UNIFIED AIR POLUTION CONTROL</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1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DISTRICT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11/10/2013</w:t>
            </w:r>
          </w:p>
        </w:tc>
      </w:tr>
      <w:tr>
        <w:trPr>
          <w:trHeight w:val="217"/>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18114752</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CITY OF NEW YORK</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5"/>
              </w:rPr>
              <w:t>31,342,145.00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3/25/2011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18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18114753</w:t>
            </w:r>
          </w:p>
        </w:tc>
        <w:tc>
          <w:tcPr>
            <w:tcW w:w="5020" w:type="dxa"/>
            <w:vAlign w:val="bottom"/>
          </w:tcPr>
          <w:p>
            <w:pPr>
              <w:ind w:left="80"/>
              <w:spacing w:after="0"/>
              <w:rPr>
                <w:sz w:val="20"/>
                <w:szCs w:val="20"/>
                <w:color w:val="auto"/>
              </w:rPr>
            </w:pPr>
            <w:r>
              <w:rPr>
                <w:rFonts w:ascii="Arial" w:cs="Arial" w:eastAsia="Arial" w:hAnsi="Arial"/>
                <w:sz w:val="18"/>
                <w:szCs w:val="18"/>
                <w:color w:val="auto"/>
              </w:rPr>
              <w:t>CITY OF NEW YORK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w w:val="95"/>
              </w:rPr>
              <w:t>20,627,753.00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3/25/2011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6/30/2014</w:t>
            </w:r>
          </w:p>
        </w:tc>
      </w:tr>
      <w:tr>
        <w:trPr>
          <w:trHeight w:val="216"/>
        </w:trPr>
        <w:tc>
          <w:tcPr>
            <w:tcW w:w="1180" w:type="dxa"/>
            <w:vAlign w:val="bottom"/>
            <w:shd w:val="clear" w:color="auto" w:fill="CCEEFF"/>
          </w:tcPr>
          <w:p>
            <w:pPr>
              <w:spacing w:after="0"/>
              <w:rPr>
                <w:sz w:val="18"/>
                <w:szCs w:val="18"/>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PNC 18115486</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SOUTHERN CALIFORNIA GAS CO</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15,000.00</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8/8/2011</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8/8/2014</w:t>
            </w:r>
          </w:p>
        </w:tc>
      </w:tr>
      <w:tr>
        <w:trPr>
          <w:trHeight w:val="222"/>
        </w:trPr>
        <w:tc>
          <w:tcPr>
            <w:tcW w:w="1180" w:type="dxa"/>
            <w:vAlign w:val="bottom"/>
          </w:tcPr>
          <w:p>
            <w:pPr>
              <w:spacing w:after="0"/>
              <w:rPr>
                <w:sz w:val="19"/>
                <w:szCs w:val="19"/>
                <w:color w:val="auto"/>
              </w:rPr>
            </w:pPr>
          </w:p>
        </w:tc>
        <w:tc>
          <w:tcPr>
            <w:tcW w:w="1500" w:type="dxa"/>
            <w:vAlign w:val="bottom"/>
          </w:tcPr>
          <w:p>
            <w:pPr>
              <w:ind w:left="80"/>
              <w:spacing w:after="0"/>
              <w:rPr>
                <w:sz w:val="20"/>
                <w:szCs w:val="20"/>
                <w:color w:val="auto"/>
              </w:rPr>
            </w:pPr>
            <w:r>
              <w:rPr>
                <w:rFonts w:ascii="Arial" w:cs="Arial" w:eastAsia="Arial" w:hAnsi="Arial"/>
                <w:sz w:val="18"/>
                <w:szCs w:val="18"/>
                <w:color w:val="auto"/>
              </w:rPr>
              <w:t>PNC 18115509</w:t>
            </w:r>
          </w:p>
        </w:tc>
        <w:tc>
          <w:tcPr>
            <w:tcW w:w="5020" w:type="dxa"/>
            <w:vAlign w:val="bottom"/>
          </w:tcPr>
          <w:p>
            <w:pPr>
              <w:ind w:left="80"/>
              <w:spacing w:after="0"/>
              <w:rPr>
                <w:sz w:val="20"/>
                <w:szCs w:val="20"/>
                <w:color w:val="auto"/>
              </w:rPr>
            </w:pPr>
            <w:r>
              <w:rPr>
                <w:rFonts w:ascii="Arial" w:cs="Arial" w:eastAsia="Arial" w:hAnsi="Arial"/>
                <w:sz w:val="18"/>
                <w:szCs w:val="18"/>
                <w:color w:val="auto"/>
              </w:rPr>
              <w:t>CITY OF BURBANK</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4,500,000.00</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8/8/2011</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8/8/2014</w:t>
            </w:r>
          </w:p>
        </w:tc>
      </w:tr>
    </w:tbl>
    <w:p>
      <w:pPr>
        <w:jc w:val="right"/>
        <w:ind w:right="12"/>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0" w:name="page161"/>
    <w:bookmarkEnd w:id="16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PNC 18117826</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ARIZONA PUBLIC SERVICE CO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2,159,429.00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8/8/2012</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8/31/2014</w:t>
            </w: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PNC Total</w:t>
            </w:r>
          </w:p>
        </w:tc>
        <w:tc>
          <w:tcPr>
            <w:tcW w:w="1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6"/>
        </w:trPr>
        <w:tc>
          <w:tcPr>
            <w:tcW w:w="1140" w:type="dxa"/>
            <w:vAlign w:val="bottom"/>
            <w:gridSpan w:val="2"/>
          </w:tcPr>
          <w:p>
            <w:pPr>
              <w:spacing w:after="0"/>
              <w:rPr>
                <w:sz w:val="20"/>
                <w:szCs w:val="20"/>
                <w:color w:val="auto"/>
              </w:rPr>
            </w:pPr>
            <w:r>
              <w:rPr>
                <w:rFonts w:ascii="Arial" w:cs="Arial" w:eastAsia="Arial" w:hAnsi="Arial"/>
                <w:sz w:val="18"/>
                <w:szCs w:val="18"/>
                <w:color w:val="auto"/>
              </w:rPr>
              <w:t>(18 LCs)</w:t>
            </w:r>
          </w:p>
        </w:tc>
        <w:tc>
          <w:tcPr>
            <w:tcW w:w="1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89"/>
              </w:rPr>
              <w:t>157,427,086.00</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Wells</w:t>
            </w:r>
          </w:p>
        </w:tc>
        <w:tc>
          <w:tcPr>
            <w:tcW w:w="15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Fargo</w:t>
            </w: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WL IS0019225U</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 COUNTY DEPARTMENT OF PUBLIC WORKS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1/4/2013</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1/4/2014</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w w:val="95"/>
              </w:rPr>
              <w:t>WL LC870-093799</w:t>
            </w:r>
          </w:p>
        </w:tc>
        <w:tc>
          <w:tcPr>
            <w:tcW w:w="5200" w:type="dxa"/>
            <w:vAlign w:val="bottom"/>
          </w:tcPr>
          <w:p>
            <w:pPr>
              <w:ind w:left="80"/>
              <w:spacing w:after="0"/>
              <w:rPr>
                <w:sz w:val="20"/>
                <w:szCs w:val="20"/>
                <w:color w:val="auto"/>
              </w:rPr>
            </w:pPr>
            <w:r>
              <w:rPr>
                <w:rFonts w:ascii="Arial" w:cs="Arial" w:eastAsia="Arial" w:hAnsi="Arial"/>
                <w:sz w:val="18"/>
                <w:szCs w:val="18"/>
                <w:color w:val="auto"/>
              </w:rPr>
              <w:t>STATE STREET BANK AND TRUST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36,686,795.00</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3/5/2014</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WL LC870-097201</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 STREET BANK AND TRUST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2/18/2014</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w w:val="95"/>
              </w:rPr>
              <w:t>WL LC870-112455</w:t>
            </w:r>
          </w:p>
        </w:tc>
        <w:tc>
          <w:tcPr>
            <w:tcW w:w="5200" w:type="dxa"/>
            <w:vAlign w:val="bottom"/>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15,260,000.00</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10/5/2013</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WL LC870123639</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10,173,334.00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10/1/2010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10/1/2013</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WL SM203351W</w:t>
            </w:r>
          </w:p>
        </w:tc>
        <w:tc>
          <w:tcPr>
            <w:tcW w:w="5200" w:type="dxa"/>
            <w:vAlign w:val="bottom"/>
          </w:tcPr>
          <w:p>
            <w:pPr>
              <w:ind w:left="80"/>
              <w:spacing w:after="0"/>
              <w:rPr>
                <w:sz w:val="20"/>
                <w:szCs w:val="20"/>
                <w:color w:val="auto"/>
              </w:rPr>
            </w:pPr>
            <w:r>
              <w:rPr>
                <w:rFonts w:ascii="Arial" w:cs="Arial" w:eastAsia="Arial" w:hAnsi="Arial"/>
                <w:sz w:val="18"/>
                <w:szCs w:val="18"/>
                <w:color w:val="auto"/>
              </w:rPr>
              <w:t>COMMISSIONER, NEW YORK DEC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68,657,993.00</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5/31/2014</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WL SM204054W</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BANK OF NEW YORK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15,177,535.00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7/15/2014</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WL SM204597W</w:t>
            </w:r>
          </w:p>
        </w:tc>
        <w:tc>
          <w:tcPr>
            <w:tcW w:w="5200" w:type="dxa"/>
            <w:vAlign w:val="bottom"/>
          </w:tcPr>
          <w:p>
            <w:pPr>
              <w:ind w:left="80"/>
              <w:spacing w:after="0"/>
              <w:rPr>
                <w:sz w:val="20"/>
                <w:szCs w:val="20"/>
                <w:color w:val="auto"/>
              </w:rPr>
            </w:pPr>
            <w:r>
              <w:rPr>
                <w:rFonts w:ascii="Arial" w:cs="Arial" w:eastAsia="Arial" w:hAnsi="Arial"/>
                <w:sz w:val="18"/>
                <w:szCs w:val="18"/>
                <w:color w:val="auto"/>
              </w:rPr>
              <w:t>DEUTSCHE BANK TRUST CO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10,121,644.00</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8/25/2014</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WL SM204784W</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DEUTSCHE BANK TRUST CO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30,355,069.00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9/9/2013</w:t>
            </w: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ind w:left="120"/>
              <w:spacing w:after="0"/>
              <w:rPr>
                <w:sz w:val="20"/>
                <w:szCs w:val="20"/>
                <w:color w:val="auto"/>
              </w:rPr>
            </w:pPr>
            <w:r>
              <w:rPr>
                <w:rFonts w:ascii="Arial" w:cs="Arial" w:eastAsia="Arial" w:hAnsi="Arial"/>
                <w:sz w:val="18"/>
                <w:szCs w:val="18"/>
                <w:color w:val="auto"/>
              </w:rPr>
              <w:t>WL SM205509W</w:t>
            </w:r>
          </w:p>
        </w:tc>
        <w:tc>
          <w:tcPr>
            <w:tcW w:w="5200" w:type="dxa"/>
            <w:vAlign w:val="bottom"/>
          </w:tcPr>
          <w:p>
            <w:pPr>
              <w:ind w:left="80"/>
              <w:spacing w:after="0"/>
              <w:rPr>
                <w:sz w:val="20"/>
                <w:szCs w:val="20"/>
                <w:color w:val="auto"/>
              </w:rPr>
            </w:pPr>
            <w:r>
              <w:rPr>
                <w:rFonts w:ascii="Arial" w:cs="Arial" w:eastAsia="Arial" w:hAnsi="Arial"/>
                <w:sz w:val="18"/>
                <w:szCs w:val="18"/>
                <w:color w:val="auto"/>
              </w:rPr>
              <w:t>DEUTSCHE BANK TRUST CO</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4,224,414.00</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10/31/2013</w:t>
            </w: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WL SM205510W</w:t>
            </w:r>
          </w:p>
        </w:tc>
        <w:tc>
          <w:tcPr>
            <w:tcW w:w="5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DEUTSCHE BANK TRUST CO</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4,401,485.00</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6/22/2010</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10/31/2013</w:t>
            </w:r>
          </w:p>
        </w:tc>
      </w:tr>
      <w:tr>
        <w:trPr>
          <w:trHeight w:val="215"/>
        </w:trPr>
        <w:tc>
          <w:tcPr>
            <w:tcW w:w="1140" w:type="dxa"/>
            <w:vAlign w:val="bottom"/>
            <w:gridSpan w:val="2"/>
          </w:tcPr>
          <w:p>
            <w:pPr>
              <w:spacing w:after="0"/>
              <w:rPr>
                <w:sz w:val="20"/>
                <w:szCs w:val="20"/>
                <w:color w:val="auto"/>
              </w:rPr>
            </w:pPr>
            <w:r>
              <w:rPr>
                <w:rFonts w:ascii="Arial" w:cs="Arial" w:eastAsia="Arial" w:hAnsi="Arial"/>
                <w:sz w:val="18"/>
                <w:szCs w:val="18"/>
                <w:color w:val="auto"/>
              </w:rPr>
              <w:t>Wells Fargo</w:t>
            </w:r>
          </w:p>
        </w:tc>
        <w:tc>
          <w:tcPr>
            <w:tcW w:w="15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1"/>
        </w:trPr>
        <w:tc>
          <w:tcPr>
            <w:tcW w:w="1140" w:type="dxa"/>
            <w:vAlign w:val="bottom"/>
            <w:gridSpan w:val="2"/>
          </w:tcPr>
          <w:p>
            <w:pPr>
              <w:spacing w:after="0"/>
              <w:rPr>
                <w:sz w:val="20"/>
                <w:szCs w:val="20"/>
                <w:color w:val="auto"/>
              </w:rPr>
            </w:pPr>
            <w:r>
              <w:rPr>
                <w:rFonts w:ascii="Arial" w:cs="Arial" w:eastAsia="Arial" w:hAnsi="Arial"/>
                <w:sz w:val="18"/>
                <w:szCs w:val="18"/>
                <w:color w:val="auto"/>
                <w:w w:val="98"/>
              </w:rPr>
              <w:t>Total (11 LCs)</w:t>
            </w:r>
          </w:p>
        </w:tc>
        <w:tc>
          <w:tcPr>
            <w:tcW w:w="15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207,558,269.00</w:t>
            </w: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Grand Total</w:t>
            </w:r>
          </w:p>
        </w:tc>
        <w:tc>
          <w:tcPr>
            <w:tcW w:w="1580" w:type="dxa"/>
            <w:vAlign w:val="bottom"/>
            <w:shd w:val="clear" w:color="auto" w:fill="CCEEFF"/>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950,854,778.69</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LITIGATION</w:t>
      </w:r>
    </w:p>
    <w:p>
      <w:pPr>
        <w:spacing w:after="0" w:line="1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See the disclosure provided in (1)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sections of Note 7, Commitments and Contingencies, to Borrower’s condensed consolidated financial statements included within its Quarterly Report on Form 10-Q for the fiscal quarter ended March 31, 2013 and (2) the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Environmental Matters</w:t>
      </w:r>
      <w:r>
        <w:rPr>
          <w:rFonts w:ascii="Arial" w:cs="Arial" w:eastAsia="Arial" w:hAnsi="Arial"/>
          <w:sz w:val="18"/>
          <w:szCs w:val="18"/>
          <w:b w:val="1"/>
          <w:bCs w:val="1"/>
          <w:color w:val="auto"/>
        </w:rPr>
        <w:t>”</w:t>
      </w:r>
      <w:r>
        <w:rPr>
          <w:rFonts w:ascii="Arial" w:cs="Arial" w:eastAsia="Arial" w:hAnsi="Arial"/>
          <w:sz w:val="18"/>
          <w:szCs w:val="18"/>
          <w:color w:val="auto"/>
        </w:rPr>
        <w:t xml:space="preserve"> sections of Note 11, Commitments and Contingencies, to Borrower’s consolidated financial statements included within its Annual Report on Form 10-K for the fiscal year ended December 31, 2012.</w:t>
      </w:r>
    </w:p>
    <w:p>
      <w:pPr>
        <w:sectPr>
          <w:pgSz w:w="11900" w:h="16838" w:orient="portrait"/>
          <w:cols w:equalWidth="0" w:num="1">
            <w:col w:w="11420"/>
          </w:cols>
          <w:pgMar w:left="240" w:top="27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6.15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ENVIRONMENTAL COMPLIANCE</w:t>
      </w:r>
    </w:p>
    <w:p>
      <w:pPr>
        <w:spacing w:after="0" w:line="1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See the disclosure provided in (1) Note 2,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Commitments and Contingencies, to Borrower’s condensed consolidated financial statements included within its Quarterly Report on Form 10-Q for the fiscal quarter ended March 31, 2013 and (2) Note 4, Landfill and Environmental Remediation Liabilities, and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11, Commitments and Contingencies, to Borrower’s consolidated financial statements included within its Annual Report on Form 10-K for the fiscal year ended December 31, 2012.</w:t>
      </w:r>
    </w:p>
    <w:p>
      <w:pPr>
        <w:sectPr>
          <w:pgSz w:w="11900" w:h="16838" w:orient="portrait"/>
          <w:cols w:equalWidth="0" w:num="1">
            <w:col w:w="11420"/>
          </w:cols>
          <w:pgMar w:left="240" w:top="27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8.1(a)</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213"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Arial" w:cs="Arial" w:eastAsia="Arial" w:hAnsi="Arial"/>
                <w:sz w:val="14"/>
                <w:szCs w:val="14"/>
                <w:b w:val="1"/>
                <w:bCs w:val="1"/>
                <w:color w:val="auto"/>
              </w:rPr>
              <w:t>Principal</w:t>
            </w:r>
          </w:p>
        </w:tc>
        <w:tc>
          <w:tcPr>
            <w:tcW w:w="44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Maturity</w:t>
            </w: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Waste Management Holdings Senior Notes:</w:t>
            </w:r>
          </w:p>
        </w:tc>
        <w:tc>
          <w:tcPr>
            <w:tcW w:w="12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$450,000,000 due 8/01/26</w:t>
            </w:r>
          </w:p>
        </w:tc>
        <w:tc>
          <w:tcPr>
            <w:tcW w:w="1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448,975,000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8/1/2026</w:t>
            </w:r>
          </w:p>
        </w:tc>
        <w:tc>
          <w:tcPr>
            <w:tcW w:w="100" w:type="dxa"/>
            <w:vAlign w:val="bottom"/>
          </w:tcPr>
          <w:p>
            <w:pPr>
              <w:spacing w:after="0"/>
              <w:rPr>
                <w:sz w:val="19"/>
                <w:szCs w:val="19"/>
                <w:color w:val="auto"/>
              </w:rPr>
            </w:pPr>
          </w:p>
        </w:tc>
      </w:tr>
      <w:tr>
        <w:trPr>
          <w:trHeight w:val="216"/>
        </w:trPr>
        <w:tc>
          <w:tcPr>
            <w:tcW w:w="360" w:type="dxa"/>
            <w:vAlign w:val="bottom"/>
            <w:shd w:val="clear" w:color="auto" w:fill="CCEEFF"/>
          </w:tcPr>
          <w:p>
            <w:pPr>
              <w:spacing w:after="0"/>
              <w:rPr>
                <w:sz w:val="18"/>
                <w:szCs w:val="18"/>
                <w:color w:val="auto"/>
              </w:rPr>
            </w:pPr>
          </w:p>
        </w:tc>
        <w:tc>
          <w:tcPr>
            <w:tcW w:w="48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 WM Holdings Senior Notes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448,975,000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Tax Exempt Revenue Bonds:</w:t>
            </w:r>
          </w:p>
        </w:tc>
        <w:tc>
          <w:tcPr>
            <w:tcW w:w="1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Amelia, Virginia due 4/1/27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4/1/2027</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Arkansas due 6/01/28</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6/1/2028</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Brazoria County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5/1/2028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Bucks County due 12/01/22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12/1/2022</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11/1/2038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California CPCFA 2005A</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50,000,000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4/1/2025</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2005B</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4/1/2025</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California CPCFA 2005C</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11/1/2023</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1/1/22</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1/1/2022</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California CPCFA due 12/01/27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12/1/2027</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CPCFA due 7/01/31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7/1/2031</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California CPCFA due 7/1/27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38,435,000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7/1/2027</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Municipal Finance Authority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9/1/2014</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California Municipal Finance Authority—2008 Issuance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33,900,000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2/1/2019</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California Municipal Finance Authority—2009A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2/1/2039</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Charles City (Virginia due 2/1/29)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2/1/2029</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City (Virginia)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8/1/2027</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Charles City (Virginia) due 4/1/27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4/1/2027</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Granite City Illinois due 5/1/27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30,320,000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5/1/2027</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City of Minor Lane Heights due 3/1/21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11,000,000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3/1/2021</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of Mobile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4,175,000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10/1/2038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Cobb County Series 2004A</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4/1/2033</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Cobb County Series 2004B</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4/1/2033</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Colorado due 7/1/27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14,160,000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7/1/2027</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 due 8/1/38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8/1/2038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Colorado Series 2004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10,840,000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7/1/2018</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Countryside (Lake County) due 4/1/21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4/1/2021</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Countryside (Lake County) due 9/1/21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4,320,000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9/1/2021</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County of Logan due 3/1/21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3/1/2021</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Denton County (TX 2003B)</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5/1/2028</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7/1/2038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Gilliam County (2007)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10/1/2018</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Gilliam County due 07/01/29</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7/1/2029</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Gilliam County due 08/01/25</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15,900,000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8/1/2025</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Gloucester (VA 2003A)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9/1/2038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Gulf Coast Series 2004A</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35,000,000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4/1/2019</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Hampton due 9/1/28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9/1/2028</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Harrison County (West Virginia due 4/1/24)</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8,420,000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4/1/2024</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due 10/1/2023</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10/1/2023</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Illinois due 8/1/2029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30,000,000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8/1/2029</w:t>
            </w:r>
          </w:p>
        </w:tc>
        <w:tc>
          <w:tcPr>
            <w:tcW w:w="10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 due 9/1/27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9/1/2027</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0220"/>
          </w:cols>
          <w:pgMar w:left="1440" w:top="274" w:right="239"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Indiana due 10/01/25</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10/1/2025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Indiana due 10/01/25</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10/1/2025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Indiana due 10/01/31</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10/1/2031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King George due 6/1/23</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6/1/2023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King George due 9/1/21 (Garnet)</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19,890,000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9/1/2021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Maine</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13,500,000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11/1/2015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2/1/2016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Maricopa (Arizona) due 12/01/31</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15,580,000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12/1/2031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Maryland due 4/1/16</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10,200,000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4/1/2016</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Massachusetts</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6/1/2014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Massachusetts due 5/1/27</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5/1/2027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Miami Dade County Series 2004A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11,500,000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12/1/2018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2004B</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11,500,000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12/1/2018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Miami Dade County Series 2006</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10/1/2018</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2007</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9/1/2027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Miami Dade County Series 2008</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8/1/2023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Miami Dade County Series 2011</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11/1/2041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Michigan due 12/1/2013</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22,000,000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12/1/2013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Michigan due 8/1/2027</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8/1/2027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Michigan Strategic Fund</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13,000,000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12/1/2013</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Mission, TX Series 2006</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41,750,000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12/1/2018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Mississippi due 3/1/27</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3/1/2027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3/1/29</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3/1/2029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Mississippi due 7/1/2017</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7/1/2017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Mississippi due 7/1/28</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7/1/2028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Nashville (Tennessee) due 8/01/31</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8/1/2031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11/1/2033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Nevada due 10/01/14</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10/1/2014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New Jersey due 11/01/13</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Jersey due 6/01/15</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6/1/2015</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New Jersey due 6/01/15</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6/1/2015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York City due 12/1/17</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New York City due 5/1/19</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5/1/2019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New York Series 2004A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7/1/2017</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New York Series 2012</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5/1/2030</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North Carolina due 8/01/14</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6,500,000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8/1/2014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North Sumter, AL</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4,350,000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10/1/2038</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Ohio WDA due 11/1/22</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45,865,000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11/1/2022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Ohio WDA due 7/1/21</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7/1/2021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Okeechobee due 8/1/24</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8/1/2024</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Okeechobee Series 2004A</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15,970,000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7/1/2039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Oklahoma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12/1/2021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9/1/2013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Pennsylvania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4,000,000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11/1/2021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11/1/2021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Pennsylvania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30,000,000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11/1/2021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14,000,000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10/1/2027</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Pennsylvania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80,000,000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7/1/2041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Pennsylvania Series 2009</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12/1/2033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Rhode Island Series 2004A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8,000,000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4/1/2016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Richland (SC) due 6/1/15</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6/1/2015</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Savannah Series 2004A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5,000,000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7/1/2016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Schuylkill/Pine Grove due 10/1/19</w:t>
            </w:r>
          </w:p>
        </w:tc>
        <w:tc>
          <w:tcPr>
            <w:tcW w:w="31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11,700,000</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10/1/2019</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South Carolina</w:t>
            </w:r>
          </w:p>
        </w:tc>
        <w:tc>
          <w:tcPr>
            <w:tcW w:w="3160" w:type="dxa"/>
            <w:vAlign w:val="bottom"/>
          </w:tcPr>
          <w:p>
            <w:pPr>
              <w:jc w:val="right"/>
              <w:ind w:right="112"/>
              <w:spacing w:after="0"/>
              <w:rPr>
                <w:sz w:val="20"/>
                <w:szCs w:val="20"/>
                <w:color w:val="auto"/>
              </w:rPr>
            </w:pPr>
            <w:r>
              <w:rPr>
                <w:rFonts w:ascii="Arial" w:cs="Arial" w:eastAsia="Arial" w:hAnsi="Arial"/>
                <w:sz w:val="18"/>
                <w:szCs w:val="18"/>
                <w:color w:val="auto"/>
              </w:rPr>
              <w:t>12,500,000</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11/1/2016</w:t>
            </w:r>
          </w:p>
        </w:tc>
      </w:tr>
    </w:tbl>
    <w:p>
      <w:pPr>
        <w:sectPr>
          <w:pgSz w:w="11900" w:h="16838" w:orient="portrait"/>
          <w:cols w:equalWidth="0" w:num="1">
            <w:col w:w="9019"/>
          </w:cols>
          <w:pgMar w:left="1440" w:top="288" w:right="1440" w:bottom="1440" w:gutter="0" w:footer="0" w:header="0"/>
        </w:sectPr>
      </w:pPr>
    </w:p>
    <w:bookmarkStart w:id="165" w:name="page166"/>
    <w:bookmarkEnd w:id="1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South Carolina 2008 Issue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2/1/2015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South Carolina Series 2003A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7/1/2024</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State of New Hampshire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8/1/2024</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State of New Hampshire due 5/1/27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5/1/2027</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Sussex Co. Virginia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9/1/2027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Sussex County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6/1/2028</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SW Illinois due 10/1/2027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10/1/2027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Tennessee—2003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7/1/2033</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Tennessee—2012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7/2/2035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Texas due 8/1/20 (Mission EDC)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8/1/2020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Travis County (Texas 2003C)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5/1/2028</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Washington due 10/1/25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10/1/2025</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10/1/25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10/1/2025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Washington due 10/1/27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10/1/2027</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11/1/2017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11/1/2017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Washington due 12/1/25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7,235,000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12/1/2025</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2/1/26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2/1/2026</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Washington due 6/1/20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6/1/2020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Washington due 7/1/30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7/1/2030</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Wisconsin Series 2003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4/1/2016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Wisconsin Series 2006A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11/1/2016</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Wisconsin Series 2007A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12/1/2014</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Wood County due 4/1/24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4/1/2024</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Yavapai (Arizona) due 3/1/28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17,420,000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3/1/2028</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Yavapai (Arizona) due 3/1/28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3/1/2028</w:t>
            </w: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Yavapai (Arizona) due 6/1/27</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6/1/2027</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Tax Exempt Revenue Bonds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2,511,630,000</w:t>
            </w:r>
          </w:p>
        </w:tc>
        <w:tc>
          <w:tcPr>
            <w:tcW w:w="1300" w:type="dxa"/>
            <w:vAlign w:val="bottom"/>
            <w:shd w:val="clear" w:color="auto" w:fill="CCEEFF"/>
          </w:tcPr>
          <w:p>
            <w:pPr>
              <w:spacing w:after="0"/>
              <w:rPr>
                <w:sz w:val="18"/>
                <w:szCs w:val="18"/>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Tax Exempt Project Bonds: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Concord Debt Series 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01/01/18</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Concord Debt Series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4,925,000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01/01/18</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Gloucester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32,585,000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12/01/29</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Gloucester Bonds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12/01/29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05/01/27</w:t>
            </w: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Tax Exempt Project Bonds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85,755,000</w:t>
            </w:r>
          </w:p>
        </w:tc>
        <w:tc>
          <w:tcPr>
            <w:tcW w:w="1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Canada credit facility: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Canada facility debt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23,770,000</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8/23/2013</w:t>
            </w: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Canada Credit Facility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23,770,000</w:t>
            </w:r>
          </w:p>
        </w:tc>
        <w:tc>
          <w:tcPr>
            <w:tcW w:w="1300" w:type="dxa"/>
            <w:vAlign w:val="bottom"/>
            <w:shd w:val="clear" w:color="auto" w:fill="CCEEFF"/>
          </w:tcPr>
          <w:p>
            <w:pPr>
              <w:spacing w:after="0"/>
              <w:rPr>
                <w:sz w:val="18"/>
                <w:szCs w:val="18"/>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Low Income Housing Tax Credit Investment Obligations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140,321,864</w:t>
            </w:r>
          </w:p>
        </w:tc>
        <w:tc>
          <w:tcPr>
            <w:tcW w:w="1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King George Landfill Royalty Agreement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51,504,006</w:t>
            </w:r>
          </w:p>
        </w:tc>
        <w:tc>
          <w:tcPr>
            <w:tcW w:w="13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191,825,870</w:t>
            </w:r>
          </w:p>
        </w:tc>
        <w:tc>
          <w:tcPr>
            <w:tcW w:w="1300" w:type="dxa"/>
            <w:vAlign w:val="bottom"/>
            <w:shd w:val="clear" w:color="auto" w:fill="CCEEFF"/>
          </w:tcPr>
          <w:p>
            <w:pPr>
              <w:spacing w:after="0"/>
              <w:rPr>
                <w:sz w:val="18"/>
                <w:szCs w:val="18"/>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Total Existing Indebtedness (a)</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3,261,955,870</w:t>
            </w:r>
          </w:p>
        </w:tc>
        <w:tc>
          <w:tcPr>
            <w:tcW w:w="1300" w:type="dxa"/>
            <w:vAlign w:val="bottom"/>
          </w:tcPr>
          <w:p>
            <w:pPr>
              <w:spacing w:after="0"/>
              <w:rPr>
                <w:sz w:val="19"/>
                <w:szCs w:val="19"/>
                <w:color w:val="auto"/>
              </w:rPr>
            </w:pPr>
          </w:p>
        </w:tc>
      </w:tr>
    </w:tbl>
    <w:p>
      <w:pPr>
        <w:spacing w:after="0" w:line="208" w:lineRule="exact"/>
        <w:rPr>
          <w:sz w:val="20"/>
          <w:szCs w:val="20"/>
          <w:color w:val="auto"/>
        </w:rPr>
      </w:pPr>
    </w:p>
    <w:p>
      <w:pPr>
        <w:ind w:left="452" w:hanging="452"/>
        <w:spacing w:after="0"/>
        <w:tabs>
          <w:tab w:leader="none" w:pos="4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Excludes indebtedness incurred and scheduled payments made subsequent to June 30, 2013.</w:t>
      </w:r>
    </w:p>
    <w:p>
      <w:pPr>
        <w:sectPr>
          <w:pgSz w:w="11900" w:h="16838" w:orient="portrait"/>
          <w:cols w:equalWidth="0" w:num="1">
            <w:col w:w="10211"/>
          </w:cols>
          <w:pgMar w:left="248" w:top="288"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22</w:t>
      </w:r>
    </w:p>
    <w:p>
      <w:pPr>
        <w:spacing w:after="0" w:line="17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ADMINISTRATIVE AGENT’S OFFICE;</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b w:val="1"/>
          <w:bCs w:val="1"/>
          <w:u w:val="single" w:color="auto"/>
          <w:color w:val="auto"/>
        </w:rPr>
        <w:t>CERTAIN ADDRESSES FOR NOTICES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 (for payments and Requests for Credit Extensions):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TX1-492-14-11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75202-3714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Sandra Gonzalez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972-338-3772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214-672-8760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Electronic Mail: sandra.h.gonzalez@baml.com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r>
        <w:rPr>
          <w:rFonts w:ascii="Arial" w:cs="Arial" w:eastAsia="Arial" w:hAnsi="Arial"/>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 No.: 1292000883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Reference: Waste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No.: 026-009-593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Agent’s Office (Other Notices as Administrative Agent):</w:t>
      </w:r>
    </w:p>
    <w:p>
      <w:pPr>
        <w:spacing w:after="0" w:line="9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Agency Management</w:t>
      </w:r>
    </w:p>
    <w:p>
      <w:pPr>
        <w:spacing w:after="0" w:line="15" w:lineRule="exact"/>
        <w:rPr>
          <w:rFonts w:ascii="Arial" w:cs="Arial" w:eastAsia="Arial" w:hAnsi="Arial"/>
          <w:sz w:val="18"/>
          <w:szCs w:val="18"/>
          <w:color w:val="auto"/>
        </w:rPr>
      </w:pPr>
    </w:p>
    <w:p>
      <w:pPr>
        <w:ind w:left="460" w:right="8180"/>
        <w:spacing w:after="0" w:line="252" w:lineRule="auto"/>
        <w:rPr>
          <w:rFonts w:ascii="Arial" w:cs="Arial" w:eastAsia="Arial" w:hAnsi="Arial"/>
          <w:sz w:val="18"/>
          <w:szCs w:val="18"/>
          <w:color w:val="auto"/>
        </w:rPr>
      </w:pPr>
      <w:r>
        <w:rPr>
          <w:rFonts w:ascii="Arial" w:cs="Arial" w:eastAsia="Arial" w:hAnsi="Arial"/>
          <w:sz w:val="18"/>
          <w:szCs w:val="18"/>
          <w:color w:val="auto"/>
        </w:rPr>
        <w:t>1445 Market Street, 5</w:t>
      </w:r>
      <w:r>
        <w:rPr>
          <w:rFonts w:ascii="Arial" w:cs="Arial" w:eastAsia="Arial" w:hAnsi="Arial"/>
          <w:sz w:val="11"/>
          <w:szCs w:val="11"/>
          <w:color w:val="auto"/>
        </w:rPr>
        <w:t>th</w:t>
      </w:r>
      <w:r>
        <w:rPr>
          <w:rFonts w:ascii="Arial" w:cs="Arial" w:eastAsia="Arial" w:hAnsi="Arial"/>
          <w:sz w:val="18"/>
          <w:szCs w:val="18"/>
          <w:color w:val="auto"/>
        </w:rPr>
        <w:t xml:space="preserve"> Floor Mail Code: CA5-701-05-19 San Francisco, CA 94103 Attention: Angela Lau Telephone: 415-436-4000 Telecopier: 415-503-5008 Electronic Mail: angela.lau@baml.com</w:t>
      </w:r>
    </w:p>
    <w:p>
      <w:pPr>
        <w:spacing w:after="0" w:line="65"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With copy to:</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Bank of America, N.A.</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100 Federal Street</w:t>
      </w:r>
    </w:p>
    <w:p>
      <w:pPr>
        <w:spacing w:after="0" w:line="9" w:lineRule="exact"/>
        <w:rPr>
          <w:rFonts w:ascii="Arial" w:cs="Arial" w:eastAsia="Arial" w:hAnsi="Arial"/>
          <w:sz w:val="18"/>
          <w:szCs w:val="18"/>
          <w:color w:val="auto"/>
        </w:rPr>
      </w:pPr>
    </w:p>
    <w:p>
      <w:pPr>
        <w:ind w:left="460" w:right="8960"/>
        <w:spacing w:after="0" w:line="281" w:lineRule="auto"/>
        <w:rPr>
          <w:rFonts w:ascii="Arial" w:cs="Arial" w:eastAsia="Arial" w:hAnsi="Arial"/>
          <w:sz w:val="18"/>
          <w:szCs w:val="18"/>
          <w:color w:val="auto"/>
        </w:rPr>
      </w:pPr>
      <w:r>
        <w:rPr>
          <w:rFonts w:ascii="Arial" w:cs="Arial" w:eastAsia="Arial" w:hAnsi="Arial"/>
          <w:sz w:val="16"/>
          <w:szCs w:val="16"/>
          <w:color w:val="auto"/>
        </w:rPr>
        <w:t>Mail Code: MA5-100-09-02 Boston, MA 02110 Attention: Maria F. Maia Telephone: 617-434-5751 Telecopier: 980-233-7700</w:t>
      </w:r>
    </w:p>
    <w:p>
      <w:pPr>
        <w:spacing w:after="0" w:line="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Electronic Mail: maria.f.maia@baml.com</w:t>
      </w:r>
    </w:p>
    <w:p>
      <w:pPr>
        <w:sectPr>
          <w:pgSz w:w="11900" w:h="16838" w:orient="portrait"/>
          <w:cols w:equalWidth="0" w:num="1">
            <w:col w:w="11420"/>
          </w:cols>
          <w:pgMar w:left="240" w:top="274" w:right="2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L/C ISSUER</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Trade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Fleet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PA6-580-02-30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Scranton, PA 18507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Alfonso Malave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570-496-9622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800-755-8743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Electronic Mail: alfonso.malave@baml.com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Wiring Instructions</w:t>
      </w:r>
      <w:r>
        <w:rPr>
          <w:rFonts w:ascii="Arial" w:cs="Arial" w:eastAsia="Arial" w:hAnsi="Arial"/>
          <w:sz w:val="18"/>
          <w:szCs w:val="18"/>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Account No.: 1292000883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Reference: Waste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ABA No.: 026-009-593</w:t>
      </w:r>
    </w:p>
    <w:p>
      <w:pPr>
        <w:sectPr>
          <w:pgSz w:w="11900" w:h="16838" w:orient="portrait"/>
          <w:cols w:equalWidth="0" w:num="1">
            <w:col w:w="10219"/>
          </w:cols>
          <w:pgMar w:left="240" w:top="274" w:right="1440" w:bottom="1440" w:gutter="0" w:footer="0" w:header="0"/>
        </w:sectPr>
      </w:pPr>
    </w:p>
    <w:bookmarkStart w:id="168" w:name="page169"/>
    <w:bookmarkEnd w:id="168"/>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Second Quarter Earnings</w:t>
      </w:r>
    </w:p>
    <w:p>
      <w:pPr>
        <w:spacing w:after="0" w:line="219"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Earnings per Share Grow 15.6% and Income from Operations Grows 9.4%</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HOUSTON — July 30, 2013</w:t>
      </w:r>
      <w:r>
        <w:rPr>
          <w:rFonts w:ascii="Arial" w:cs="Arial" w:eastAsia="Arial" w:hAnsi="Arial"/>
          <w:sz w:val="16"/>
          <w:szCs w:val="16"/>
          <w:color w:val="auto"/>
        </w:rPr>
        <w:t>— Waste Management, Inc. (NYSE: WM) today announced financial results for its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ended June 30, 2013. Revenues for the second quarter of 2013 were $3.53 billion compared with $3.46 billion for the same 2012 period. Net income </w:t>
      </w:r>
      <w:r>
        <w:rPr>
          <w:rFonts w:ascii="Arial" w:cs="Arial" w:eastAsia="Arial" w:hAnsi="Arial"/>
          <w:sz w:val="10"/>
          <w:szCs w:val="10"/>
          <w:color w:val="auto"/>
        </w:rPr>
        <w:t>(a)</w:t>
      </w:r>
      <w:r>
        <w:rPr>
          <w:rFonts w:ascii="Arial" w:cs="Arial" w:eastAsia="Arial" w:hAnsi="Arial"/>
          <w:sz w:val="16"/>
          <w:szCs w:val="16"/>
          <w:color w:val="auto"/>
        </w:rPr>
        <w:t xml:space="preserve"> for the quarter was $244 million, or $0.52 per diluted share, compared with $208 million, or $0.45 per diluted share, for the second quarter of 2012, a 15.6% increase. Results in the second quarter of 2013 included approximately $8 million of after-tax charges primarily from an asset impairment. Excluding these costs, net income would have been $252 million, or $0.54 per diluted share, compared to adjusted earnings per diluted share of $0.52 in 2012.</w:t>
      </w:r>
      <w:r>
        <w:rPr>
          <w:rFonts w:ascii="Arial" w:cs="Arial" w:eastAsia="Arial" w:hAnsi="Arial"/>
          <w:sz w:val="10"/>
          <w:szCs w:val="10"/>
          <w:color w:val="auto"/>
        </w:rPr>
        <w:t>(b)</w:t>
      </w:r>
    </w:p>
    <w:p>
      <w:pPr>
        <w:spacing w:after="0" w:line="15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David P. Steiner, President and Chief Executive Officer of Waste Management, commented, “In the second quarter, our earnings per share grew to $0.54 in spite of the negative impact of $0.03 of unexpected headwinds. We had $0.02 more headwind from our recycling operations than we expected and a negative $0.01 from litigation settlements. Without these headwinds, we would have earned $0.57 per share. Income from operations in our traditional solid waste business grew $47 million and the related income from operations margin grew 80 basis points. These strong results were driven by collection and disposal yield of 2.1% for the second quarter. We also achieved SG&amp;A cost savings of $21 million, despite nearly $30 million of incremental incentive compensation accruals.</w:t>
      </w:r>
    </w:p>
    <w:p>
      <w:pPr>
        <w:spacing w:after="0" w:line="15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strong yield and cost savings translated into net cash provided by operating activities of $545 million and increased free cash flow to $347 million in the second quarter. Through the first six months, net cash provided by operating activities and free cash flow totaled $1.1 billion and $695 million, respectively. When we exclude the impact of asset sales, we are well on our way to achieving our goal of generating between $1.1 and $1.2 billion of free cash flow.” </w:t>
      </w:r>
      <w:r>
        <w:rPr>
          <w:rFonts w:ascii="Arial" w:cs="Arial" w:eastAsia="Arial" w:hAnsi="Arial"/>
          <w:sz w:val="10"/>
          <w:szCs w:val="10"/>
          <w:color w:val="auto"/>
        </w:rPr>
        <w:t>(b)</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2013</w:t>
      </w:r>
    </w:p>
    <w:p>
      <w:pPr>
        <w:spacing w:after="0" w:line="96" w:lineRule="exact"/>
        <w:rPr>
          <w:sz w:val="20"/>
          <w:szCs w:val="20"/>
          <w:color w:val="auto"/>
        </w:rPr>
      </w:pPr>
    </w:p>
    <w:p>
      <w:pPr>
        <w:ind w:left="880" w:hanging="332"/>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Revenue increased by 1.9%, or $67 million.</w:t>
      </w:r>
    </w:p>
    <w:p>
      <w:pPr>
        <w:spacing w:after="0" w:line="90" w:lineRule="exact"/>
        <w:rPr>
          <w:rFonts w:ascii="Arial" w:cs="Arial" w:eastAsia="Arial" w:hAnsi="Arial"/>
          <w:sz w:val="18"/>
          <w:szCs w:val="18"/>
          <w:color w:val="auto"/>
        </w:rPr>
      </w:pPr>
    </w:p>
    <w:p>
      <w:pPr>
        <w:ind w:left="880" w:right="600" w:hanging="332"/>
        <w:spacing w:after="0" w:line="268" w:lineRule="auto"/>
        <w:tabs>
          <w:tab w:leader="none" w:pos="88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2.1%. The Company’s fuel surcharge added 0.4% to total revenue. Year to date yield is 1.7%.</w:t>
      </w:r>
    </w:p>
    <w:p>
      <w:pPr>
        <w:spacing w:after="0" w:line="50" w:lineRule="exact"/>
        <w:rPr>
          <w:rFonts w:ascii="Arial" w:cs="Arial" w:eastAsia="Arial" w:hAnsi="Arial"/>
          <w:sz w:val="18"/>
          <w:szCs w:val="18"/>
          <w:color w:val="auto"/>
        </w:rPr>
      </w:pPr>
    </w:p>
    <w:p>
      <w:pPr>
        <w:ind w:left="880" w:right="80" w:hanging="332"/>
        <w:spacing w:after="0" w:line="306" w:lineRule="auto"/>
        <w:tabs>
          <w:tab w:leader="none" w:pos="8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Core price, which consists of price increases and fees, other than the Company’s fuel surcharge, net of rollbacks, was 3.6%, compared with 2.5% in the second quarter of 2012. Rollbacks were reduced by over 45% from the second quarter of 2012, without a material increase in the Company’s churn rate.</w:t>
      </w:r>
    </w:p>
    <w:p>
      <w:pPr>
        <w:spacing w:after="0" w:line="25" w:lineRule="exact"/>
        <w:rPr>
          <w:rFonts w:ascii="Arial" w:cs="Arial" w:eastAsia="Arial" w:hAnsi="Arial"/>
          <w:sz w:val="16"/>
          <w:szCs w:val="16"/>
          <w:color w:val="auto"/>
        </w:rPr>
      </w:pPr>
    </w:p>
    <w:p>
      <w:pPr>
        <w:ind w:left="880" w:right="240" w:hanging="332"/>
        <w:spacing w:after="0" w:line="332" w:lineRule="auto"/>
        <w:tabs>
          <w:tab w:leader="none" w:pos="88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Internal revenue growth from volume was negative 0.6%, down from the first quarter 2013 work-day adjusted volume improvement of 0.8%, primarily driven by a negative swing in recycling volumes.</w:t>
      </w:r>
    </w:p>
    <w:p>
      <w:pPr>
        <w:spacing w:after="0" w:line="4" w:lineRule="exact"/>
        <w:rPr>
          <w:rFonts w:ascii="Arial" w:cs="Arial" w:eastAsia="Arial" w:hAnsi="Arial"/>
          <w:sz w:val="16"/>
          <w:szCs w:val="16"/>
          <w:color w:val="auto"/>
        </w:rPr>
      </w:pPr>
    </w:p>
    <w:p>
      <w:pPr>
        <w:ind w:left="880" w:right="200" w:hanging="332"/>
        <w:spacing w:after="0" w:line="268" w:lineRule="auto"/>
        <w:tabs>
          <w:tab w:leader="none" w:pos="87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Average recycling commodity prices were approximately 12.5% lower in the second quarter of 2013 compared with the prior year period. In total, recycling</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8860" w:space="260"/>
            <w:col w:w="2300"/>
          </w:cols>
          <w:pgMar w:left="240" w:top="125" w:right="239" w:bottom="1440" w:gutter="0" w:footer="0" w:header="0"/>
        </w:sectPr>
      </w:pPr>
    </w:p>
    <w:bookmarkStart w:id="169" w:name="page170"/>
    <w:bookmarkEnd w:id="169"/>
    <w:p>
      <w:pPr>
        <w:ind w:left="880" w:right="1219"/>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operations negatively affected earnings by $0.05 per diluted share in the second quarter when compared to the prior year period, versus previous expectations of negative $0.03, which created the additional $0.02 headwind referenced above. The Company now expects a full-year negative impact of $0.08 per share from its recycling operations compared to 2012. Originally, the Company expected a negative impact of $0.02 per share for 2013.</w:t>
      </w:r>
    </w:p>
    <w:p>
      <w:pPr>
        <w:spacing w:after="0" w:line="32" w:lineRule="exact"/>
        <w:rPr>
          <w:sz w:val="20"/>
          <w:szCs w:val="20"/>
          <w:color w:val="auto"/>
        </w:rPr>
      </w:pPr>
    </w:p>
    <w:p>
      <w:pPr>
        <w:ind w:left="880" w:right="1319" w:hanging="332"/>
        <w:spacing w:after="0" w:line="256" w:lineRule="auto"/>
        <w:tabs>
          <w:tab w:leader="none" w:pos="8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Operating expenses increased by $51 million. The majority of the increase relates to higher operating costs from acquired operations, increased costs in the Company’s recycling operations stemming from China’s restrictions on non-conforming materials in imported recycling commodities, and the timing of maintenance costs at its waste-to-energy facilities.</w:t>
      </w:r>
    </w:p>
    <w:p>
      <w:pPr>
        <w:spacing w:after="0" w:line="62" w:lineRule="exact"/>
        <w:rPr>
          <w:rFonts w:ascii="Arial" w:cs="Arial" w:eastAsia="Arial" w:hAnsi="Arial"/>
          <w:sz w:val="18"/>
          <w:szCs w:val="18"/>
          <w:color w:val="auto"/>
        </w:rPr>
      </w:pPr>
    </w:p>
    <w:p>
      <w:pPr>
        <w:ind w:left="880" w:right="1539" w:hanging="332"/>
        <w:spacing w:after="0" w:line="268" w:lineRule="auto"/>
        <w:tabs>
          <w:tab w:leader="none" w:pos="8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SG&amp;A expenses improved by $21 million compared with the second quarter of 2012 and improved to 10.0% of revenue from 10.8% in the prior year period.</w:t>
      </w:r>
    </w:p>
    <w:p>
      <w:pPr>
        <w:spacing w:after="0" w:line="50" w:lineRule="exact"/>
        <w:rPr>
          <w:rFonts w:ascii="Arial" w:cs="Arial" w:eastAsia="Arial" w:hAnsi="Arial"/>
          <w:sz w:val="18"/>
          <w:szCs w:val="18"/>
          <w:color w:val="auto"/>
        </w:rPr>
      </w:pPr>
    </w:p>
    <w:p>
      <w:pPr>
        <w:ind w:left="880" w:right="1399" w:hanging="332"/>
        <w:spacing w:after="0" w:line="268" w:lineRule="auto"/>
        <w:tabs>
          <w:tab w:leader="none" w:pos="8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Net cash provided by operating activities was $545 million; capital expenditures were $235 million; and free cash flow was $347 million.</w:t>
      </w:r>
      <w:r>
        <w:rPr>
          <w:rFonts w:ascii="Arial" w:cs="Arial" w:eastAsia="Arial" w:hAnsi="Arial"/>
          <w:sz w:val="11"/>
          <w:szCs w:val="11"/>
          <w:color w:val="auto"/>
        </w:rPr>
        <w:t>(b)</w:t>
      </w:r>
    </w:p>
    <w:p>
      <w:pPr>
        <w:spacing w:after="0" w:line="50" w:lineRule="exact"/>
        <w:rPr>
          <w:rFonts w:ascii="Arial" w:cs="Arial" w:eastAsia="Arial" w:hAnsi="Arial"/>
          <w:sz w:val="18"/>
          <w:szCs w:val="18"/>
          <w:color w:val="auto"/>
        </w:rPr>
      </w:pPr>
    </w:p>
    <w:p>
      <w:pPr>
        <w:ind w:left="820" w:hanging="272"/>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returned $171 million to shareholders in the form of dividends.</w:t>
      </w:r>
    </w:p>
    <w:p>
      <w:pPr>
        <w:spacing w:after="0" w:line="90" w:lineRule="exact"/>
        <w:rPr>
          <w:rFonts w:ascii="Arial" w:cs="Arial" w:eastAsia="Arial" w:hAnsi="Arial"/>
          <w:sz w:val="18"/>
          <w:szCs w:val="18"/>
          <w:color w:val="auto"/>
        </w:rPr>
      </w:pPr>
    </w:p>
    <w:p>
      <w:pPr>
        <w:ind w:left="820" w:hanging="272"/>
        <w:spacing w:after="0"/>
        <w:tabs>
          <w:tab w:leader="none" w:pos="8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effective tax rate was approximately 33.2%.</w:t>
      </w:r>
    </w:p>
    <w:p>
      <w:pPr>
        <w:spacing w:after="0" w:line="212" w:lineRule="exact"/>
        <w:rPr>
          <w:sz w:val="20"/>
          <w:szCs w:val="20"/>
          <w:color w:val="auto"/>
        </w:rPr>
      </w:pPr>
    </w:p>
    <w:p>
      <w:pPr>
        <w:ind w:right="1199"/>
        <w:spacing w:after="0" w:line="290" w:lineRule="auto"/>
        <w:rPr>
          <w:sz w:val="20"/>
          <w:szCs w:val="20"/>
          <w:color w:val="auto"/>
        </w:rPr>
      </w:pPr>
      <w:r>
        <w:rPr>
          <w:rFonts w:ascii="Arial" w:cs="Arial" w:eastAsia="Arial" w:hAnsi="Arial"/>
          <w:sz w:val="16"/>
          <w:szCs w:val="16"/>
          <w:color w:val="auto"/>
        </w:rPr>
        <w:t xml:space="preserve">Steiner concluded, “We are pleased with our results for the second quarter and year to date, which are on plan, despite the greater than expected negative impact from our recycling business. Our disciplined approach to improving price, reducing costs, and managing capital expenditures is reflected in the earnings growth of our traditional solid waste business and in the improvement in free cash flow. We have built good momentum towards our full-year outlook. Despite much higher headwinds than we expected from our recycling operations, we still expect to achieve adjusted diluted earnings per share within our full-year earnings guidance range of between $2.15 and $2.20 per share. We also expect to meet our free cash flow target of at least $1.1 to $1.2 billion.” </w:t>
      </w:r>
      <w:r>
        <w:rPr>
          <w:rFonts w:ascii="Arial" w:cs="Arial" w:eastAsia="Arial" w:hAnsi="Arial"/>
          <w:sz w:val="10"/>
          <w:szCs w:val="10"/>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143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98" w:lineRule="exact"/>
        <w:rPr>
          <w:sz w:val="20"/>
          <w:szCs w:val="20"/>
          <w:color w:val="auto"/>
        </w:rPr>
      </w:pPr>
    </w:p>
    <w:p>
      <w:pPr>
        <w:ind w:left="440" w:right="1459" w:hanging="432"/>
        <w:spacing w:after="0" w:line="254" w:lineRule="auto"/>
        <w:tabs>
          <w:tab w:leader="none" w:pos="42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ind w:left="440" w:right="1279" w:hanging="432"/>
        <w:spacing w:after="0" w:line="288" w:lineRule="auto"/>
        <w:tabs>
          <w:tab w:leader="none" w:pos="42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net income and earnings per diluted share have been presented in certain instances excluding special items noted in this press release.</w:t>
      </w:r>
    </w:p>
    <w:p>
      <w:pPr>
        <w:spacing w:after="0" w:line="41" w:lineRule="exact"/>
        <w:rPr>
          <w:rFonts w:ascii="Arial" w:cs="Arial" w:eastAsia="Arial" w:hAnsi="Arial"/>
          <w:sz w:val="16"/>
          <w:szCs w:val="16"/>
          <w:color w:val="auto"/>
        </w:rPr>
      </w:pPr>
    </w:p>
    <w:p>
      <w:pPr>
        <w:ind w:left="440" w:right="1199"/>
        <w:spacing w:after="0" w:line="289" w:lineRule="auto"/>
        <w:rPr>
          <w:rFonts w:ascii="Arial" w:cs="Arial" w:eastAsia="Arial" w:hAnsi="Arial"/>
          <w:sz w:val="16"/>
          <w:szCs w:val="16"/>
          <w:color w:val="auto"/>
        </w:rPr>
      </w:pPr>
      <w:r>
        <w:rPr>
          <w:rFonts w:ascii="Arial" w:cs="Arial" w:eastAsia="Arial" w:hAnsi="Arial"/>
          <w:sz w:val="16"/>
          <w:szCs w:val="16"/>
          <w:color w:val="auto"/>
        </w:rPr>
        <w:t>The Company’s projected full year 2013 earnings per diluted share are not based on GAAP net earnings per diluted share and are anticipated to be adjusted to exclude the effects of events or circumstances in 2013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37" w:lineRule="exact"/>
        <w:rPr>
          <w:rFonts w:ascii="Arial" w:cs="Arial" w:eastAsia="Arial" w:hAnsi="Arial"/>
          <w:sz w:val="16"/>
          <w:szCs w:val="16"/>
          <w:color w:val="auto"/>
        </w:rPr>
      </w:pPr>
    </w:p>
    <w:p>
      <w:pPr>
        <w:ind w:left="440" w:right="1219"/>
        <w:spacing w:after="0" w:line="289" w:lineRule="auto"/>
        <w:rPr>
          <w:rFonts w:ascii="Arial" w:cs="Arial" w:eastAsia="Arial" w:hAnsi="Arial"/>
          <w:sz w:val="16"/>
          <w:szCs w:val="16"/>
          <w:color w:val="auto"/>
        </w:rPr>
      </w:pPr>
      <w:r>
        <w:rPr>
          <w:rFonts w:ascii="Arial" w:cs="Arial" w:eastAsia="Arial" w:hAnsi="Arial"/>
          <w:sz w:val="16"/>
          <w:szCs w:val="16"/>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37" w:lineRule="exact"/>
        <w:rPr>
          <w:rFonts w:ascii="Arial" w:cs="Arial" w:eastAsia="Arial" w:hAnsi="Arial"/>
          <w:sz w:val="16"/>
          <w:szCs w:val="16"/>
          <w:color w:val="auto"/>
        </w:rPr>
      </w:pPr>
    </w:p>
    <w:p>
      <w:pPr>
        <w:ind w:left="740" w:hanging="192"/>
        <w:spacing w:after="0"/>
        <w:tabs>
          <w:tab w:leader="none" w:pos="7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ectPr>
          <w:pgSz w:w="11900" w:h="16838" w:orient="portrait"/>
          <w:cols w:equalWidth="0" w:num="1">
            <w:col w:w="10219"/>
          </w:cols>
          <w:pgMar w:left="240" w:top="280" w:right="1440" w:bottom="1440" w:gutter="0" w:footer="0" w:header="0"/>
        </w:sectPr>
      </w:pPr>
    </w:p>
    <w:bookmarkStart w:id="170" w:name="page171"/>
    <w:bookmarkEnd w:id="170"/>
    <w:p>
      <w:pPr>
        <w:ind w:left="740" w:hanging="192"/>
        <w:spacing w:after="0"/>
        <w:tabs>
          <w:tab w:leader="none" w:pos="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Less, capital expenditures</w:t>
      </w:r>
    </w:p>
    <w:p>
      <w:pPr>
        <w:spacing w:after="0" w:line="90" w:lineRule="exact"/>
        <w:rPr>
          <w:rFonts w:ascii="Arial" w:cs="Arial" w:eastAsia="Arial" w:hAnsi="Arial"/>
          <w:sz w:val="18"/>
          <w:szCs w:val="18"/>
          <w:color w:val="auto"/>
        </w:rPr>
      </w:pPr>
    </w:p>
    <w:p>
      <w:pPr>
        <w:ind w:left="740" w:hanging="192"/>
        <w:spacing w:after="0"/>
        <w:tabs>
          <w:tab w:leader="none" w:pos="7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90" w:lineRule="exact"/>
        <w:rPr>
          <w:sz w:val="20"/>
          <w:szCs w:val="20"/>
          <w:color w:val="auto"/>
        </w:rPr>
      </w:pPr>
    </w:p>
    <w:p>
      <w:pPr>
        <w:ind w:left="440" w:right="1719"/>
        <w:spacing w:after="0" w:line="268"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51" w:lineRule="exact"/>
        <w:rPr>
          <w:sz w:val="20"/>
          <w:szCs w:val="20"/>
          <w:color w:val="auto"/>
        </w:rPr>
      </w:pPr>
    </w:p>
    <w:p>
      <w:pPr>
        <w:ind w:left="440" w:right="1339"/>
        <w:spacing w:after="0" w:line="298" w:lineRule="auto"/>
        <w:rPr>
          <w:sz w:val="20"/>
          <w:szCs w:val="20"/>
          <w:color w:val="auto"/>
        </w:rPr>
      </w:pPr>
      <w:r>
        <w:rPr>
          <w:rFonts w:ascii="Arial" w:cs="Arial" w:eastAsia="Arial" w:hAnsi="Arial"/>
          <w:sz w:val="16"/>
          <w:szCs w:val="16"/>
          <w:color w:val="auto"/>
        </w:rPr>
        <w:t>The quantitative reconciliations of non-GAAP measures used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153" w:lineRule="exact"/>
        <w:rPr>
          <w:sz w:val="20"/>
          <w:szCs w:val="20"/>
          <w:color w:val="auto"/>
        </w:rPr>
      </w:pPr>
    </w:p>
    <w:p>
      <w:pPr>
        <w:ind w:right="1379"/>
        <w:spacing w:after="0" w:line="332" w:lineRule="auto"/>
        <w:rPr>
          <w:sz w:val="20"/>
          <w:szCs w:val="20"/>
          <w:color w:val="auto"/>
        </w:rPr>
      </w:pPr>
      <w:r>
        <w:rPr>
          <w:rFonts w:ascii="Arial" w:cs="Arial" w:eastAsia="Arial" w:hAnsi="Arial"/>
          <w:sz w:val="16"/>
          <w:szCs w:val="16"/>
          <w:color w:val="auto"/>
        </w:rPr>
        <w:t>The Company will host a conference call at 10:00 AM (Eastern) today to discuss the second quarter 2013 results. Information contained within this press release will be referenced and should be considered in conjunction with the call.</w:t>
      </w:r>
    </w:p>
    <w:p>
      <w:pPr>
        <w:spacing w:after="0" w:line="126" w:lineRule="exact"/>
        <w:rPr>
          <w:sz w:val="20"/>
          <w:szCs w:val="20"/>
          <w:color w:val="auto"/>
        </w:rPr>
      </w:pPr>
    </w:p>
    <w:p>
      <w:pPr>
        <w:ind w:right="1219"/>
        <w:spacing w:after="0" w:line="298"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97883740 when prompted by the conference call operator.</w:t>
      </w:r>
    </w:p>
    <w:p>
      <w:pPr>
        <w:spacing w:after="0" w:line="153" w:lineRule="exact"/>
        <w:rPr>
          <w:sz w:val="20"/>
          <w:szCs w:val="20"/>
          <w:color w:val="auto"/>
        </w:rPr>
      </w:pPr>
    </w:p>
    <w:p>
      <w:pPr>
        <w:ind w:right="1279"/>
        <w:spacing w:after="0" w:line="256"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Tuesday, July 30, 2013 through 5:00 PM (Eastern) on Friday, August 13, 2013. To access the replay telephonically, please dial (855) 859-2056, or from outside of the United States or Canada dial (404) 537-3406, and use the replay conference ID number 97883740.</w:t>
      </w:r>
    </w:p>
    <w:p>
      <w:pPr>
        <w:spacing w:after="0" w:line="184" w:lineRule="exact"/>
        <w:rPr>
          <w:sz w:val="20"/>
          <w:szCs w:val="20"/>
          <w:color w:val="auto"/>
        </w:rPr>
      </w:pPr>
    </w:p>
    <w:p>
      <w:pPr>
        <w:ind w:right="1259"/>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2013 earnings per diluted share; 2013 free cash flow; future SG&amp;A cost savings; results from pricing, capital management and cost control and reduction initiatives; future recycling commodity prices; and results from recycling operations.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jc w:val="both"/>
        <w:ind w:right="1239"/>
        <w:spacing w:after="0" w:line="318" w:lineRule="auto"/>
        <w:rPr>
          <w:sz w:val="20"/>
          <w:szCs w:val="20"/>
          <w:color w:val="auto"/>
        </w:rPr>
      </w:pPr>
      <w:r>
        <w:rPr>
          <w:rFonts w:ascii="Arial" w:cs="Arial" w:eastAsia="Arial" w:hAnsi="Arial"/>
          <w:sz w:val="15"/>
          <w:szCs w:val="15"/>
          <w:color w:val="auto"/>
        </w:rPr>
        <w:t xml:space="preserve">Waste Management, Inc., based in Houston, Texas, is the leading provider of comprehensive waste management environmental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5"/>
          <w:szCs w:val="15"/>
          <w:u w:val="single" w:color="auto"/>
          <w:color w:val="auto"/>
        </w:rPr>
        <w:t>www.wm.com</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www.thinkgreen.com</w:t>
      </w:r>
      <w:r>
        <w:rPr>
          <w:rFonts w:ascii="Arial" w:cs="Arial" w:eastAsia="Arial" w:hAnsi="Arial"/>
          <w:sz w:val="15"/>
          <w:szCs w:val="15"/>
          <w:color w:val="auto"/>
        </w:rPr>
        <w:t>.</w:t>
      </w:r>
    </w:p>
    <w:p>
      <w:pPr>
        <w:spacing w:after="0" w:line="14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80" w:right="1440"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7"/>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4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0.52</w:t>
            </w:r>
          </w:p>
        </w:tc>
        <w:tc>
          <w:tcPr>
            <w:tcW w:w="3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4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4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80" w:type="dxa"/>
            <w:vAlign w:val="bottom"/>
            <w:vMerge w:val="restart"/>
          </w:tcPr>
          <w:p>
            <w:pPr>
              <w:jc w:val="right"/>
              <w:ind w:right="3772"/>
              <w:spacing w:after="0"/>
              <w:rPr>
                <w:sz w:val="20"/>
                <w:szCs w:val="20"/>
                <w:color w:val="auto"/>
              </w:rPr>
            </w:pPr>
            <w:r>
              <w:rPr>
                <w:rFonts w:ascii="Arial" w:cs="Arial" w:eastAsia="Arial" w:hAnsi="Arial"/>
                <w:sz w:val="18"/>
                <w:szCs w:val="18"/>
                <w:color w:val="auto"/>
                <w:w w:val="90"/>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20" w:type="dxa"/>
            <w:vAlign w:val="bottom"/>
            <w:gridSpan w:val="2"/>
            <w:vMerge w:val="continue"/>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0.52</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2312"/>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9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60" w:type="dxa"/>
            <w:vAlign w:val="bottom"/>
            <w:vMerge w:val="restart"/>
          </w:tcPr>
          <w:p>
            <w:pPr>
              <w:jc w:val="right"/>
              <w:ind w:right="3652"/>
              <w:spacing w:after="0"/>
              <w:rPr>
                <w:sz w:val="20"/>
                <w:szCs w:val="20"/>
                <w:color w:val="auto"/>
              </w:rPr>
            </w:pPr>
            <w:r>
              <w:rPr>
                <w:rFonts w:ascii="Arial" w:cs="Arial" w:eastAsia="Arial" w:hAnsi="Arial"/>
                <w:sz w:val="18"/>
                <w:szCs w:val="18"/>
                <w:color w:val="auto"/>
                <w:w w:val="90"/>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60" w:type="dxa"/>
            <w:vAlign w:val="bottom"/>
            <w:gridSpan w:val="2"/>
            <w:vMerge w:val="continue"/>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jc w:val="right"/>
              <w:ind w:right="2252"/>
              <w:spacing w:after="0"/>
              <w:rPr>
                <w:sz w:val="20"/>
                <w:szCs w:val="20"/>
                <w:color w:val="auto"/>
              </w:rPr>
            </w:pPr>
            <w:r>
              <w:rPr>
                <w:rFonts w:ascii="Arial" w:cs="Arial" w:eastAsia="Arial" w:hAnsi="Arial"/>
                <w:sz w:val="18"/>
                <w:szCs w:val="18"/>
                <w:color w:val="auto"/>
              </w:rPr>
              <w:t>(4)</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16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6,391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26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23,012</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260" w:type="dxa"/>
            <w:vAlign w:val="bottom"/>
            <w:gridSpan w:val="2"/>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2,246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4,178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equity</w:t>
            </w: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260" w:type="dxa"/>
            <w:vAlign w:val="bottom"/>
            <w:gridSpan w:val="2"/>
          </w:tcPr>
          <w:p>
            <w:pPr>
              <w:ind w:left="416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23,012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160" w:type="dxa"/>
            <w:vAlign w:val="bottom"/>
            <w:vMerge w:val="restart"/>
          </w:tcPr>
          <w:p>
            <w:pPr>
              <w:ind w:left="48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gridSpan w:val="2"/>
            <w:vMerge w:val="continue"/>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common stock options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2312"/>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2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7" w:name="page178"/>
    <w:bookmarkEnd w:id="177"/>
    <w:p>
      <w:pPr>
        <w:jc w:val="center"/>
        <w:ind w:right="-2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251"/>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36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0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Operating Revenues by Lines of Business</w:t>
            </w:r>
          </w:p>
        </w:tc>
        <w:tc>
          <w:tcPr>
            <w:tcW w:w="20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40" w:type="dxa"/>
            <w:vAlign w:val="bottom"/>
            <w:gridSpan w:val="4"/>
          </w:tcPr>
          <w:p>
            <w:pPr>
              <w:ind w:left="440"/>
              <w:spacing w:after="0"/>
              <w:rPr>
                <w:sz w:val="20"/>
                <w:szCs w:val="20"/>
                <w:color w:val="auto"/>
              </w:rPr>
            </w:pPr>
            <w:r>
              <w:rPr>
                <w:rFonts w:ascii="Arial" w:cs="Arial" w:eastAsia="Arial" w:hAnsi="Arial"/>
                <w:sz w:val="18"/>
                <w:szCs w:val="18"/>
                <w:color w:val="auto"/>
              </w:rPr>
              <w:t>Collection</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855</w:t>
            </w: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880"/>
              <w:spacing w:after="0"/>
              <w:rPr>
                <w:sz w:val="20"/>
                <w:szCs w:val="20"/>
                <w:color w:val="auto"/>
              </w:rPr>
            </w:pPr>
            <w:r>
              <w:rPr>
                <w:rFonts w:ascii="Arial" w:cs="Arial" w:eastAsia="Arial" w:hAnsi="Arial"/>
                <w:sz w:val="18"/>
                <w:szCs w:val="18"/>
                <w:color w:val="auto"/>
              </w:rPr>
              <w:t>Residential</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rPr>
              <w:t>Industrial</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40" w:type="dxa"/>
            <w:vAlign w:val="bottom"/>
            <w:gridSpan w:val="4"/>
          </w:tcPr>
          <w:p>
            <w:pPr>
              <w:ind w:left="88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 Collection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2,055</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2,107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440"/>
              <w:spacing w:after="0"/>
              <w:rPr>
                <w:sz w:val="20"/>
                <w:szCs w:val="20"/>
                <w:color w:val="auto"/>
              </w:rPr>
            </w:pPr>
            <w:r>
              <w:rPr>
                <w:rFonts w:ascii="Arial" w:cs="Arial" w:eastAsia="Arial" w:hAnsi="Arial"/>
                <w:sz w:val="18"/>
                <w:szCs w:val="18"/>
                <w:color w:val="auto"/>
              </w:rPr>
              <w:t>Landfill</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Transfer</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440"/>
              <w:spacing w:after="0"/>
              <w:rPr>
                <w:sz w:val="20"/>
                <w:szCs w:val="20"/>
                <w:color w:val="auto"/>
              </w:rPr>
            </w:pPr>
            <w:r>
              <w:rPr>
                <w:rFonts w:ascii="Arial" w:cs="Arial" w:eastAsia="Arial" w:hAnsi="Arial"/>
                <w:sz w:val="18"/>
                <w:szCs w:val="18"/>
                <w:color w:val="auto"/>
              </w:rPr>
              <w:t>Wheelabrator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Recycling</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140" w:type="dxa"/>
            <w:vAlign w:val="bottom"/>
            <w:gridSpan w:val="4"/>
            <w:vMerge w:val="restart"/>
          </w:tcPr>
          <w:p>
            <w:pPr>
              <w:ind w:left="880"/>
              <w:spacing w:after="0"/>
              <w:rPr>
                <w:sz w:val="20"/>
                <w:szCs w:val="20"/>
                <w:color w:val="auto"/>
              </w:rPr>
            </w:pPr>
            <w:r>
              <w:rPr>
                <w:rFonts w:ascii="Arial" w:cs="Arial" w:eastAsia="Arial" w:hAnsi="Arial"/>
                <w:sz w:val="18"/>
                <w:szCs w:val="18"/>
                <w:color w:val="auto"/>
              </w:rPr>
              <w:t>Operating revenues</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3,526</w:t>
            </w:r>
          </w:p>
        </w:tc>
        <w:tc>
          <w:tcPr>
            <w:tcW w:w="220" w:type="dxa"/>
            <w:vAlign w:val="bottom"/>
          </w:tcPr>
          <w:p>
            <w:pPr>
              <w:spacing w:after="0"/>
              <w:rPr>
                <w:sz w:val="19"/>
                <w:szCs w:val="19"/>
                <w:color w:val="auto"/>
              </w:rPr>
            </w:pP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3,336</w:t>
            </w:r>
          </w:p>
        </w:tc>
        <w:tc>
          <w:tcPr>
            <w:tcW w:w="54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3,459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Quarters Ended</w:t>
            </w: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jc w:val="right"/>
              <w:ind w:right="1020"/>
              <w:spacing w:after="0" w:line="142" w:lineRule="exact"/>
              <w:rPr>
                <w:sz w:val="20"/>
                <w:szCs w:val="20"/>
                <w:color w:val="auto"/>
              </w:rPr>
            </w:pPr>
            <w:r>
              <w:rPr>
                <w:rFonts w:ascii="Arial" w:cs="Arial" w:eastAsia="Arial" w:hAnsi="Arial"/>
                <w:sz w:val="14"/>
                <w:szCs w:val="14"/>
                <w:b w:val="1"/>
                <w:bCs w:val="1"/>
                <w:color w:val="auto"/>
                <w:w w:val="87"/>
              </w:rPr>
              <w:t>June 30, 2013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6"/>
          </w:tcPr>
          <w:p>
            <w:pPr>
              <w:jc w:val="right"/>
              <w:ind w:right="640"/>
              <w:spacing w:after="0" w:line="142" w:lineRule="exact"/>
              <w:rPr>
                <w:sz w:val="20"/>
                <w:szCs w:val="20"/>
                <w:color w:val="auto"/>
              </w:rPr>
            </w:pPr>
            <w:r>
              <w:rPr>
                <w:rFonts w:ascii="Arial" w:cs="Arial" w:eastAsia="Arial" w:hAnsi="Arial"/>
                <w:sz w:val="14"/>
                <w:szCs w:val="14"/>
                <w:b w:val="1"/>
                <w:bCs w:val="1"/>
                <w:color w:val="auto"/>
                <w:w w:val="94"/>
              </w:rPr>
              <w:t>June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ind w:right="60"/>
              <w:spacing w:after="0" w:line="131" w:lineRule="exact"/>
              <w:rPr>
                <w:sz w:val="20"/>
                <w:szCs w:val="20"/>
                <w:color w:val="auto"/>
              </w:rPr>
            </w:pPr>
            <w:r>
              <w:rPr>
                <w:rFonts w:ascii="Arial" w:cs="Arial" w:eastAsia="Arial" w:hAnsi="Arial"/>
                <w:sz w:val="14"/>
                <w:szCs w:val="14"/>
                <w:color w:val="auto"/>
                <w:w w:val="90"/>
              </w:rPr>
              <w:t>As a % of</w:t>
            </w:r>
          </w:p>
        </w:tc>
        <w:tc>
          <w:tcPr>
            <w:tcW w:w="46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center"/>
              <w:ind w:right="140"/>
              <w:spacing w:after="0" w:line="131" w:lineRule="exact"/>
              <w:rPr>
                <w:sz w:val="20"/>
                <w:szCs w:val="20"/>
                <w:color w:val="auto"/>
              </w:rPr>
            </w:pPr>
            <w:r>
              <w:rPr>
                <w:rFonts w:ascii="Arial" w:cs="Arial" w:eastAsia="Arial" w:hAnsi="Arial"/>
                <w:sz w:val="14"/>
                <w:szCs w:val="14"/>
                <w:color w:val="auto"/>
                <w:w w:val="90"/>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40" w:type="dxa"/>
            <w:vAlign w:val="bottom"/>
            <w:gridSpan w:val="3"/>
          </w:tcPr>
          <w:p>
            <w:pPr>
              <w:spacing w:after="0" w:line="159"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3"/>
                <w:szCs w:val="13"/>
                <w:color w:val="auto"/>
              </w:rPr>
            </w:pPr>
          </w:p>
        </w:tc>
        <w:tc>
          <w:tcPr>
            <w:tcW w:w="1320" w:type="dxa"/>
            <w:vAlign w:val="bottom"/>
            <w:gridSpan w:val="5"/>
          </w:tcPr>
          <w:p>
            <w:pPr>
              <w:jc w:val="center"/>
              <w:ind w:right="440"/>
              <w:spacing w:after="0" w:line="159" w:lineRule="exact"/>
              <w:rPr>
                <w:sz w:val="20"/>
                <w:szCs w:val="20"/>
                <w:color w:val="auto"/>
              </w:rPr>
            </w:pPr>
            <w:r>
              <w:rPr>
                <w:rFonts w:ascii="Arial" w:cs="Arial" w:eastAsia="Arial" w:hAnsi="Arial"/>
                <w:sz w:val="14"/>
                <w:szCs w:val="14"/>
                <w:color w:val="auto"/>
                <w:w w:val="88"/>
              </w:rPr>
              <w:t>Total Company</w:t>
            </w:r>
          </w:p>
        </w:tc>
        <w:tc>
          <w:tcPr>
            <w:tcW w:w="260" w:type="dxa"/>
            <w:vAlign w:val="bottom"/>
          </w:tcPr>
          <w:p>
            <w:pPr>
              <w:spacing w:after="0"/>
              <w:rPr>
                <w:sz w:val="13"/>
                <w:szCs w:val="13"/>
                <w:color w:val="auto"/>
              </w:rPr>
            </w:pPr>
          </w:p>
        </w:tc>
        <w:tc>
          <w:tcPr>
            <w:tcW w:w="1200" w:type="dxa"/>
            <w:vAlign w:val="bottom"/>
            <w:gridSpan w:val="5"/>
          </w:tcPr>
          <w:p>
            <w:pPr>
              <w:ind w:left="40"/>
              <w:spacing w:after="0" w:line="159" w:lineRule="exact"/>
              <w:rPr>
                <w:sz w:val="20"/>
                <w:szCs w:val="20"/>
                <w:color w:val="auto"/>
              </w:rPr>
            </w:pPr>
            <w:r>
              <w:rPr>
                <w:rFonts w:ascii="Arial" w:cs="Arial" w:eastAsia="Arial" w:hAnsi="Arial"/>
                <w:sz w:val="14"/>
                <w:szCs w:val="14"/>
                <w:color w:val="auto"/>
              </w:rPr>
              <w:t>Amount</w:t>
            </w:r>
          </w:p>
        </w:tc>
        <w:tc>
          <w:tcPr>
            <w:tcW w:w="1060" w:type="dxa"/>
            <w:vAlign w:val="bottom"/>
            <w:gridSpan w:val="5"/>
          </w:tcPr>
          <w:p>
            <w:pPr>
              <w:jc w:val="center"/>
              <w:ind w:right="240"/>
              <w:spacing w:after="0" w:line="159" w:lineRule="exact"/>
              <w:rPr>
                <w:sz w:val="20"/>
                <w:szCs w:val="20"/>
                <w:color w:val="auto"/>
              </w:rPr>
            </w:pPr>
            <w:r>
              <w:rPr>
                <w:rFonts w:ascii="Arial" w:cs="Arial" w:eastAsia="Arial" w:hAnsi="Arial"/>
                <w:sz w:val="14"/>
                <w:szCs w:val="14"/>
                <w:color w:val="auto"/>
                <w:w w:val="86"/>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Borders>
              <w:top w:val="single" w:sz="8" w:color="CCEEFF"/>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Analysis of Change in Year Over Year Revenues</w:t>
            </w:r>
          </w:p>
        </w:tc>
        <w:tc>
          <w:tcPr>
            <w:tcW w:w="19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5"/>
          </w:tcPr>
          <w:p>
            <w:pPr>
              <w:ind w:left="42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Volume</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5"/>
            <w:vMerge w:val="restart"/>
          </w:tcPr>
          <w:p>
            <w:pPr>
              <w:ind w:left="420"/>
              <w:spacing w:after="0"/>
              <w:rPr>
                <w:sz w:val="20"/>
                <w:szCs w:val="20"/>
                <w:color w:val="auto"/>
              </w:rPr>
            </w:pPr>
            <w:r>
              <w:rPr>
                <w:rFonts w:ascii="Arial" w:cs="Arial" w:eastAsia="Arial" w:hAnsi="Arial"/>
                <w:sz w:val="18"/>
                <w:szCs w:val="18"/>
                <w:color w:val="auto"/>
              </w:rPr>
              <w:t>Internal revenue growth</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5"/>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Acquisition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199</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5"/>
          </w:tcPr>
          <w:p>
            <w:pPr>
              <w:ind w:left="420"/>
              <w:spacing w:after="0"/>
              <w:rPr>
                <w:sz w:val="20"/>
                <w:szCs w:val="20"/>
                <w:color w:val="auto"/>
              </w:rPr>
            </w:pPr>
            <w:r>
              <w:rPr>
                <w:rFonts w:ascii="Arial" w:cs="Arial" w:eastAsia="Arial" w:hAnsi="Arial"/>
                <w:sz w:val="18"/>
                <w:szCs w:val="18"/>
                <w:color w:val="auto"/>
              </w:rPr>
              <w:t>Divestitures</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4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2"/>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4"/>
          </w:tcPr>
          <w:p>
            <w:pPr>
              <w:jc w:val="center"/>
              <w:ind w:right="600"/>
              <w:spacing w:after="0"/>
              <w:rPr>
                <w:sz w:val="20"/>
                <w:szCs w:val="20"/>
                <w:color w:val="auto"/>
              </w:rPr>
            </w:pPr>
            <w:r>
              <w:rPr>
                <w:rFonts w:ascii="Arial" w:cs="Arial" w:eastAsia="Arial" w:hAnsi="Arial"/>
                <w:sz w:val="14"/>
                <w:szCs w:val="14"/>
                <w:color w:val="auto"/>
                <w:w w:val="90"/>
              </w:rPr>
              <w:t>As a % of</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center"/>
              <w:ind w:right="580"/>
              <w:spacing w:after="0" w:line="149" w:lineRule="exact"/>
              <w:rPr>
                <w:sz w:val="20"/>
                <w:szCs w:val="20"/>
                <w:color w:val="auto"/>
              </w:rPr>
            </w:pPr>
            <w:r>
              <w:rPr>
                <w:rFonts w:ascii="Arial" w:cs="Arial" w:eastAsia="Arial" w:hAnsi="Arial"/>
                <w:sz w:val="14"/>
                <w:szCs w:val="14"/>
                <w:color w:val="auto"/>
                <w:w w:val="82"/>
              </w:rPr>
              <w:t>Related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340"/>
              <w:spacing w:after="0" w:line="149" w:lineRule="exact"/>
              <w:rPr>
                <w:sz w:val="20"/>
                <w:szCs w:val="20"/>
                <w:color w:val="auto"/>
              </w:rPr>
            </w:pPr>
            <w:r>
              <w:rPr>
                <w:rFonts w:ascii="Arial" w:cs="Arial" w:eastAsia="Arial" w:hAnsi="Arial"/>
                <w:sz w:val="14"/>
                <w:szCs w:val="14"/>
                <w:color w:val="auto"/>
                <w:w w:val="86"/>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40" w:type="dxa"/>
            <w:vAlign w:val="bottom"/>
            <w:gridSpan w:val="3"/>
          </w:tcPr>
          <w:p>
            <w:pPr>
              <w:spacing w:after="0" w:line="159" w:lineRule="exact"/>
              <w:rPr>
                <w:sz w:val="20"/>
                <w:szCs w:val="20"/>
                <w:color w:val="auto"/>
              </w:rPr>
            </w:pPr>
            <w:r>
              <w:rPr>
                <w:rFonts w:ascii="Arial" w:cs="Arial" w:eastAsia="Arial" w:hAnsi="Arial"/>
                <w:sz w:val="14"/>
                <w:szCs w:val="14"/>
                <w:color w:val="auto"/>
              </w:rPr>
              <w:t>Amount</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4"/>
          </w:tcPr>
          <w:p>
            <w:pPr>
              <w:jc w:val="center"/>
              <w:ind w:right="580"/>
              <w:spacing w:after="0" w:line="159" w:lineRule="exact"/>
              <w:rPr>
                <w:sz w:val="20"/>
                <w:szCs w:val="20"/>
                <w:color w:val="auto"/>
              </w:rPr>
            </w:pPr>
            <w:r>
              <w:rPr>
                <w:rFonts w:ascii="Arial" w:cs="Arial" w:eastAsia="Arial" w:hAnsi="Arial"/>
                <w:sz w:val="14"/>
                <w:szCs w:val="14"/>
                <w:color w:val="auto"/>
                <w:w w:val="84"/>
              </w:rPr>
              <w:t>Business</w:t>
            </w:r>
          </w:p>
        </w:tc>
        <w:tc>
          <w:tcPr>
            <w:tcW w:w="260" w:type="dxa"/>
            <w:vAlign w:val="bottom"/>
          </w:tcPr>
          <w:p>
            <w:pPr>
              <w:spacing w:after="0"/>
              <w:rPr>
                <w:sz w:val="13"/>
                <w:szCs w:val="13"/>
                <w:color w:val="auto"/>
              </w:rPr>
            </w:pPr>
          </w:p>
        </w:tc>
        <w:tc>
          <w:tcPr>
            <w:tcW w:w="1200" w:type="dxa"/>
            <w:vAlign w:val="bottom"/>
            <w:gridSpan w:val="5"/>
          </w:tcPr>
          <w:p>
            <w:pPr>
              <w:ind w:left="40"/>
              <w:spacing w:after="0" w:line="15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60" w:type="dxa"/>
            <w:vAlign w:val="bottom"/>
            <w:gridSpan w:val="4"/>
          </w:tcPr>
          <w:p>
            <w:pPr>
              <w:jc w:val="center"/>
              <w:ind w:right="360"/>
              <w:spacing w:after="0" w:line="159" w:lineRule="exact"/>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80" w:type="dxa"/>
            <w:vAlign w:val="bottom"/>
            <w:tcBorders>
              <w:top w:val="single" w:sz="8" w:color="CCEEFF"/>
            </w:tcBorders>
            <w:gridSpan w:val="5"/>
            <w:shd w:val="clear" w:color="auto" w:fill="CCEEFF"/>
          </w:tcPr>
          <w:p>
            <w:pPr>
              <w:ind w:left="42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840"/>
              <w:spacing w:after="0"/>
              <w:rPr>
                <w:sz w:val="20"/>
                <w:szCs w:val="20"/>
                <w:color w:val="auto"/>
              </w:rPr>
            </w:pPr>
            <w:r>
              <w:rPr>
                <w:rFonts w:ascii="Arial" w:cs="Arial" w:eastAsia="Arial" w:hAnsi="Arial"/>
                <w:sz w:val="18"/>
                <w:szCs w:val="18"/>
                <w:color w:val="auto"/>
              </w:rPr>
              <w:t>Collection, landfill and transfer</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4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2"/>
              <w:spacing w:after="0"/>
              <w:rPr>
                <w:sz w:val="20"/>
                <w:szCs w:val="20"/>
                <w:color w:val="auto"/>
              </w:rPr>
            </w:pPr>
            <w:r>
              <w:rPr>
                <w:rFonts w:ascii="Arial" w:cs="Arial" w:eastAsia="Arial" w:hAnsi="Arial"/>
                <w:sz w:val="18"/>
                <w:szCs w:val="18"/>
                <w:color w:val="auto"/>
              </w:rPr>
              <w:t>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Waste-to-energy disposal</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40" w:type="dxa"/>
            <w:vAlign w:val="bottom"/>
            <w:gridSpan w:val="4"/>
          </w:tcPr>
          <w:p>
            <w:pPr>
              <w:ind w:left="420"/>
              <w:spacing w:after="0"/>
              <w:rPr>
                <w:sz w:val="20"/>
                <w:szCs w:val="20"/>
                <w:color w:val="auto"/>
              </w:rPr>
            </w:pPr>
            <w:r>
              <w:rPr>
                <w:rFonts w:ascii="Arial" w:cs="Arial" w:eastAsia="Arial" w:hAnsi="Arial"/>
                <w:sz w:val="18"/>
                <w:szCs w:val="18"/>
                <w:color w:val="auto"/>
              </w:rPr>
              <w:t>Collection and disposal</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Recycling commodities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40" w:type="dxa"/>
            <w:vAlign w:val="bottom"/>
            <w:gridSpan w:val="4"/>
          </w:tcPr>
          <w:p>
            <w:pPr>
              <w:ind w:left="420"/>
              <w:spacing w:after="0"/>
              <w:rPr>
                <w:sz w:val="20"/>
                <w:szCs w:val="20"/>
                <w:color w:val="auto"/>
              </w:rPr>
            </w:pPr>
            <w:r>
              <w:rPr>
                <w:rFonts w:ascii="Arial" w:cs="Arial" w:eastAsia="Arial" w:hAnsi="Arial"/>
                <w:sz w:val="18"/>
                <w:szCs w:val="18"/>
                <w:color w:val="auto"/>
              </w:rPr>
              <w:t>Electricity</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1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Fuel surcharges and mandated fees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5"/>
            <w:vMerge w:val="restart"/>
          </w:tcPr>
          <w:p>
            <w:pPr>
              <w:ind w:left="42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gridSpan w:val="5"/>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jc w:val="right"/>
              <w:ind w:right="32"/>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5"/>
              </w:rPr>
              <w:t>Quarters Ended June 30,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w w:val="88"/>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2013</w:t>
            </w:r>
          </w:p>
        </w:tc>
        <w:tc>
          <w:tcPr>
            <w:tcW w:w="1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left="56"/>
              <w:spacing w:after="0" w:line="142"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ind w:left="36"/>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600" w:type="dxa"/>
            <w:vAlign w:val="bottom"/>
            <w:gridSpan w:val="6"/>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5"/>
          </w:tcPr>
          <w:p>
            <w:pPr>
              <w:jc w:val="right"/>
              <w:ind w:right="52"/>
              <w:spacing w:after="0"/>
              <w:rPr>
                <w:sz w:val="20"/>
                <w:szCs w:val="20"/>
                <w:color w:val="auto"/>
              </w:rPr>
            </w:pPr>
            <w:r>
              <w:rPr>
                <w:rFonts w:ascii="Arial" w:cs="Arial" w:eastAsia="Arial" w:hAnsi="Arial"/>
                <w:sz w:val="18"/>
                <w:szCs w:val="18"/>
                <w:color w:val="auto"/>
              </w:rPr>
              <w:t>$ 1,122</w:t>
            </w:r>
          </w:p>
        </w:tc>
        <w:tc>
          <w:tcPr>
            <w:tcW w:w="540" w:type="dxa"/>
            <w:vAlign w:val="bottom"/>
          </w:tcPr>
          <w:p>
            <w:pPr>
              <w:spacing w:after="0"/>
              <w:rPr>
                <w:sz w:val="24"/>
                <w:szCs w:val="24"/>
                <w:color w:val="auto"/>
              </w:rPr>
            </w:pPr>
          </w:p>
        </w:tc>
        <w:tc>
          <w:tcPr>
            <w:tcW w:w="100" w:type="dxa"/>
            <w:vAlign w:val="bottom"/>
          </w:tcPr>
          <w:p>
            <w:pPr>
              <w:jc w:val="right"/>
              <w:ind w:right="1"/>
              <w:spacing w:after="0"/>
              <w:rPr>
                <w:sz w:val="20"/>
                <w:szCs w:val="20"/>
                <w:color w:val="auto"/>
              </w:rPr>
            </w:pPr>
            <w:r>
              <w:rPr>
                <w:rFonts w:ascii="Arial" w:cs="Arial" w:eastAsia="Arial" w:hAnsi="Arial"/>
                <w:sz w:val="5"/>
                <w:szCs w:val="5"/>
                <w:color w:val="auto"/>
                <w:w w:val="70"/>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(501)</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80" w:type="dxa"/>
            <w:vAlign w:val="bottom"/>
            <w:gridSpan w:val="5"/>
          </w:tcPr>
          <w:p>
            <w:pPr>
              <w:spacing w:after="0"/>
              <w:rPr>
                <w:sz w:val="20"/>
                <w:szCs w:val="20"/>
                <w:color w:val="auto"/>
              </w:rPr>
            </w:pPr>
            <w:r>
              <w:rPr>
                <w:rFonts w:ascii="Arial" w:cs="Arial" w:eastAsia="Arial" w:hAnsi="Arial"/>
                <w:sz w:val="18"/>
                <w:szCs w:val="18"/>
                <w:color w:val="auto"/>
              </w:rPr>
              <w:t>Proceeds from divestitures of businesses (net of cash divested) and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80" w:type="dxa"/>
            <w:vAlign w:val="bottom"/>
            <w:gridSpan w:val="5"/>
          </w:tcPr>
          <w:p>
            <w:pPr>
              <w:ind w:left="200"/>
              <w:spacing w:after="0"/>
              <w:rPr>
                <w:sz w:val="20"/>
                <w:szCs w:val="20"/>
                <w:color w:val="auto"/>
              </w:rPr>
            </w:pPr>
            <w:r>
              <w:rPr>
                <w:rFonts w:ascii="Arial" w:cs="Arial" w:eastAsia="Arial" w:hAnsi="Arial"/>
                <w:sz w:val="18"/>
                <w:szCs w:val="18"/>
                <w:color w:val="auto"/>
              </w:rPr>
              <w:t>other sales of assets</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$ 347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695</w:t>
            </w:r>
          </w:p>
        </w:tc>
        <w:tc>
          <w:tcPr>
            <w:tcW w:w="5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ind w:right="1"/>
              <w:spacing w:after="0"/>
              <w:rPr>
                <w:sz w:val="20"/>
                <w:szCs w:val="20"/>
                <w:color w:val="auto"/>
              </w:rPr>
            </w:pPr>
            <w:r>
              <w:rPr>
                <w:rFonts w:ascii="Arial" w:cs="Arial" w:eastAsia="Arial" w:hAnsi="Arial"/>
                <w:sz w:val="5"/>
                <w:szCs w:val="5"/>
                <w:color w:val="auto"/>
                <w:w w:val="70"/>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tabs>
          <w:tab w:leader="none" w:pos="45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8" w:lineRule="exact"/>
        <w:rPr>
          <w:rFonts w:ascii="Arial" w:cs="Arial" w:eastAsia="Arial" w:hAnsi="Arial"/>
          <w:sz w:val="16"/>
          <w:szCs w:val="16"/>
          <w:color w:val="auto"/>
        </w:rPr>
      </w:pPr>
    </w:p>
    <w:p>
      <w:pPr>
        <w:ind w:left="452" w:hanging="452"/>
        <w:spacing w:after="0" w:line="255"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31"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52"/>
          </w:cols>
          <w:pgMar w:left="248" w:top="274" w:right="49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Quarters Ended</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2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1"/>
                <w:szCs w:val="11"/>
                <w:color w:val="auto"/>
              </w:rPr>
            </w:pPr>
          </w:p>
        </w:tc>
        <w:tc>
          <w:tcPr>
            <w:tcW w:w="9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440" w:type="dxa"/>
            <w:vAlign w:val="bottom"/>
            <w:gridSpan w:val="6"/>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9,770</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10,009</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5"/>
          </w:tcPr>
          <w:p>
            <w:pPr>
              <w:ind w:left="860"/>
              <w:spacing w:after="0"/>
              <w:rPr>
                <w:sz w:val="20"/>
                <w:szCs w:val="20"/>
                <w:color w:val="auto"/>
              </w:rPr>
            </w:pPr>
            <w:r>
              <w:rPr>
                <w:rFonts w:ascii="Arial" w:cs="Arial" w:eastAsia="Arial" w:hAnsi="Arial"/>
                <w:sz w:val="18"/>
                <w:szCs w:val="18"/>
                <w:color w:val="auto"/>
              </w:rPr>
              <w:t>Total capital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16,588</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16,725</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6"/>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 w:type="dxa"/>
            <w:vAlign w:val="bottom"/>
          </w:tcPr>
          <w:p>
            <w:pPr>
              <w:spacing w:after="0"/>
              <w:rPr>
                <w:sz w:val="24"/>
                <w:szCs w:val="24"/>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gridSpan w:val="5"/>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6620" w:type="dxa"/>
            <w:vAlign w:val="bottom"/>
            <w:tcBorders>
              <w:bottom w:val="single" w:sz="8" w:color="CCEEFF"/>
            </w:tcBorders>
            <w:gridSpan w:val="3"/>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8440" w:type="dxa"/>
            <w:vAlign w:val="bottom"/>
            <w:gridSpan w:val="6"/>
          </w:tcPr>
          <w:p>
            <w:pPr>
              <w:spacing w:after="0"/>
              <w:rPr>
                <w:sz w:val="20"/>
                <w:szCs w:val="20"/>
                <w:color w:val="auto"/>
              </w:rPr>
            </w:pPr>
            <w:r>
              <w:rPr>
                <w:rFonts w:ascii="Arial" w:cs="Arial" w:eastAsia="Arial" w:hAnsi="Arial"/>
                <w:sz w:val="18"/>
                <w:szCs w:val="18"/>
                <w:color w:val="auto"/>
              </w:rPr>
              <w:t>Internalization of waste, based on disposal costs</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84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44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20" w:type="dxa"/>
            <w:vAlign w:val="bottom"/>
            <w:gridSpan w:val="5"/>
          </w:tcPr>
          <w:p>
            <w:pPr>
              <w:ind w:left="860"/>
              <w:spacing w:after="0"/>
              <w:rPr>
                <w:sz w:val="20"/>
                <w:szCs w:val="20"/>
                <w:color w:val="auto"/>
              </w:rPr>
            </w:pPr>
            <w:r>
              <w:rPr>
                <w:rFonts w:ascii="Arial" w:cs="Arial" w:eastAsia="Arial" w:hAnsi="Arial"/>
                <w:sz w:val="18"/>
                <w:szCs w:val="18"/>
                <w:color w:val="auto"/>
              </w:rPr>
              <w:t>Total landfill amortization expense (b)(c)</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5"/>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115.1</w:t>
            </w:r>
          </w:p>
        </w:tc>
        <w:tc>
          <w:tcPr>
            <w:tcW w:w="3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340" w:hanging="452"/>
        <w:spacing w:after="0" w:line="281" w:lineRule="auto"/>
        <w:tabs>
          <w:tab w:leader="none" w:pos="4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quarter ended June 30, 2013 as compared to the quarter ended March 31, 2013 reflects an increase in amortization expense of approximately $10.5 million due to increases in landfill volumes and partially offset by changes in landfill estimates identified in both quarters.</w:t>
      </w:r>
    </w:p>
    <w:p>
      <w:pPr>
        <w:spacing w:after="0" w:line="1" w:lineRule="exact"/>
        <w:rPr>
          <w:rFonts w:ascii="Arial" w:cs="Arial" w:eastAsia="Arial" w:hAnsi="Arial"/>
          <w:sz w:val="16"/>
          <w:szCs w:val="16"/>
          <w:color w:val="auto"/>
        </w:rPr>
      </w:pPr>
    </w:p>
    <w:p>
      <w:pPr>
        <w:ind w:left="460" w:right="20" w:hanging="452"/>
        <w:spacing w:after="0" w:line="261"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quarter ended June 30, 2013 as compared to the quarter ended June 30, 2012 reflects an increase in amortization expense of approximately $9.7 million driven by an increase in landfill volumes and changes in landfill estimates identified in both quarters.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9" w:name="page180"/>
    <w:bookmarkEnd w:id="179"/>
    <w:p>
      <w:pPr>
        <w:jc w:val="center"/>
        <w:ind w:right="-3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72"/>
          </w:cols>
          <w:pgMar w:left="248" w:top="27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52" w:right="2600"/>
        <w:spacing w:after="0" w:line="332" w:lineRule="auto"/>
        <w:rPr>
          <w:sz w:val="20"/>
          <w:szCs w:val="20"/>
          <w:color w:val="auto"/>
        </w:rPr>
      </w:pPr>
      <w:r>
        <w:rPr>
          <w:rFonts w:ascii="Arial" w:cs="Arial" w:eastAsia="Arial" w:hAnsi="Arial"/>
          <w:sz w:val="16"/>
          <w:szCs w:val="16"/>
          <w:b w:val="1"/>
          <w:bCs w:val="1"/>
          <w:i w:val="1"/>
          <w:iCs w:val="1"/>
          <w:color w:val="auto"/>
        </w:rPr>
        <w:t xml:space="preserve">Adjusted Net Income and Earnings Per Diluted Share </w:t>
      </w:r>
      <w:r>
        <w:rPr>
          <w:rFonts w:ascii="Arial" w:cs="Arial" w:eastAsia="Arial" w:hAnsi="Arial"/>
          <w:sz w:val="16"/>
          <w:szCs w:val="16"/>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-180340</wp:posOffset>
            </wp:positionV>
            <wp:extent cx="666369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19"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Adjustments to Net Income and Diluted EPS:</w:t>
      </w:r>
    </w:p>
    <w:p>
      <w:pPr>
        <w:spacing w:after="0" w:line="2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Asset impairments, net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-129540</wp:posOffset>
            </wp:positionV>
            <wp:extent cx="666369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892"/>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24130</wp:posOffset>
            </wp:positionV>
            <wp:extent cx="6663690" cy="1371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24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Net Income and Diluted EPS, as adjusted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Quarter Ended</w:t>
      </w:r>
    </w:p>
    <w:p>
      <w:pPr>
        <w:jc w:val="center"/>
        <w:ind w:right="200"/>
        <w:spacing w:after="0" w:line="221" w:lineRule="auto"/>
        <w:rPr>
          <w:sz w:val="20"/>
          <w:szCs w:val="20"/>
          <w:color w:val="auto"/>
        </w:rPr>
      </w:pPr>
      <w:r>
        <w:rPr>
          <w:rFonts w:ascii="Arial" w:cs="Arial" w:eastAsia="Arial" w:hAnsi="Arial"/>
          <w:sz w:val="14"/>
          <w:szCs w:val="14"/>
          <w:b w:val="1"/>
          <w:bCs w:val="1"/>
          <w:color w:val="auto"/>
        </w:rPr>
        <w:t>June 30,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880"/>
              <w:spacing w:after="0" w:line="129" w:lineRule="exact"/>
              <w:rPr>
                <w:sz w:val="20"/>
                <w:szCs w:val="20"/>
                <w:color w:val="auto"/>
              </w:rPr>
            </w:pPr>
            <w:r>
              <w:rPr>
                <w:rFonts w:ascii="Arial" w:cs="Arial" w:eastAsia="Arial" w:hAnsi="Arial"/>
                <w:sz w:val="14"/>
                <w:szCs w:val="14"/>
                <w:b w:val="1"/>
                <w:bCs w:val="1"/>
                <w:color w:val="auto"/>
              </w:rPr>
              <w:t>Tax</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After-tax</w:t>
            </w:r>
          </w:p>
        </w:tc>
        <w:tc>
          <w:tcPr>
            <w:tcW w:w="640" w:type="dxa"/>
            <w:vAlign w:val="bottom"/>
          </w:tcPr>
          <w:p>
            <w:pPr>
              <w:spacing w:after="0"/>
              <w:rPr>
                <w:sz w:val="12"/>
                <w:szCs w:val="12"/>
                <w:color w:val="auto"/>
              </w:rPr>
            </w:pP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2"/>
              </w:rPr>
              <w:t>(Expense) /</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Per Share</w:t>
            </w:r>
          </w:p>
        </w:tc>
      </w:tr>
      <w:tr>
        <w:trPr>
          <w:trHeight w:val="161"/>
        </w:trPr>
        <w:tc>
          <w:tcPr>
            <w:tcW w:w="20" w:type="dxa"/>
            <w:vAlign w:val="bottom"/>
          </w:tcPr>
          <w:p>
            <w:pPr>
              <w:spacing w:after="0"/>
              <w:rPr>
                <w:sz w:val="14"/>
                <w:szCs w:val="14"/>
                <w:color w:val="auto"/>
              </w:rPr>
            </w:pPr>
          </w:p>
        </w:tc>
        <w:tc>
          <w:tcPr>
            <w:tcW w:w="6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Amount</w:t>
            </w:r>
          </w:p>
        </w:tc>
        <w:tc>
          <w:tcPr>
            <w:tcW w:w="640" w:type="dxa"/>
            <w:vAlign w:val="bottom"/>
          </w:tcPr>
          <w:p>
            <w:pPr>
              <w:spacing w:after="0"/>
              <w:rPr>
                <w:sz w:val="14"/>
                <w:szCs w:val="14"/>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Benefit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r>
      <w:tr>
        <w:trPr>
          <w:trHeight w:val="222"/>
        </w:trPr>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0.52</w:t>
            </w:r>
          </w:p>
        </w:tc>
      </w:tr>
      <w:tr>
        <w:trPr>
          <w:trHeight w:val="519"/>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1940" w:type="dxa"/>
            <w:vAlign w:val="bottom"/>
            <w:gridSpan w:val="3"/>
          </w:tcPr>
          <w:p>
            <w:pPr>
              <w:jc w:val="right"/>
              <w:ind w:right="66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24"/>
        </w:trPr>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252</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0.54</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72" w:space="720"/>
            <w:col w:w="3380"/>
          </w:cols>
          <w:pgMar w:left="248" w:top="274" w:right="579" w:bottom="1440" w:gutter="0" w:footer="0" w:header="0"/>
          <w:type w:val="continuous"/>
        </w:sectPr>
      </w:pPr>
    </w:p>
    <w:p>
      <w:pPr>
        <w:spacing w:after="0" w:line="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Quarter Ended</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 2012</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2"/>
              </w:rPr>
              <w:t>Tax</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 w:type="dxa"/>
            <w:vAlign w:val="bottom"/>
          </w:tcPr>
          <w:p>
            <w:pPr>
              <w:spacing w:after="0"/>
              <w:rPr>
                <w:sz w:val="12"/>
                <w:szCs w:val="12"/>
                <w:color w:val="auto"/>
              </w:rPr>
            </w:pPr>
          </w:p>
        </w:tc>
        <w:tc>
          <w:tcPr>
            <w:tcW w:w="88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After-tax</w:t>
            </w:r>
          </w:p>
        </w:tc>
        <w:tc>
          <w:tcPr>
            <w:tcW w:w="380" w:type="dxa"/>
            <w:vAlign w:val="bottom"/>
          </w:tcPr>
          <w:p>
            <w:pPr>
              <w:spacing w:after="0"/>
              <w:rPr>
                <w:sz w:val="12"/>
                <w:szCs w:val="12"/>
                <w:color w:val="auto"/>
              </w:rPr>
            </w:pPr>
          </w:p>
        </w:tc>
        <w:tc>
          <w:tcPr>
            <w:tcW w:w="13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(Expense) /</w:t>
            </w:r>
          </w:p>
        </w:tc>
        <w:tc>
          <w:tcPr>
            <w:tcW w:w="6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61"/>
        </w:trPr>
        <w:tc>
          <w:tcPr>
            <w:tcW w:w="7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4"/>
              </w:rPr>
              <w:t>Benefit</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240" w:type="dxa"/>
            <w:vAlign w:val="bottom"/>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Charges primarily related to asset impairments and restructuring charges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44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40" w:type="dxa"/>
            <w:vAlign w:val="bottom"/>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Full Year 2013 Free Cash Flow Reconciliation </w:t>
            </w:r>
            <w:r>
              <w:rPr>
                <w:rFonts w:ascii="Arial" w:cs="Arial" w:eastAsia="Arial" w:hAnsi="Arial"/>
                <w:sz w:val="18"/>
                <w:szCs w:val="18"/>
                <w:b w:val="1"/>
                <w:bCs w:val="1"/>
                <w:color w:val="auto"/>
              </w:rPr>
              <w:t>(a)</w:t>
            </w: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380" w:type="dxa"/>
            <w:vAlign w:val="bottom"/>
          </w:tcPr>
          <w:p>
            <w:pPr>
              <w:spacing w:after="0"/>
              <w:rPr>
                <w:sz w:val="24"/>
                <w:szCs w:val="2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Scenario 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(1,400)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line="268" w:lineRule="auto"/>
        <w:tabs>
          <w:tab w:leader="none" w:pos="452"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2013. The amounts used in the reconciliation are subject to many variables, some of which are not under our control and, therefore, are not necessarily indicative of actual results.</w:t>
      </w:r>
    </w:p>
    <w:p>
      <w:pPr>
        <w:spacing w:after="0" w:line="118" w:lineRule="exact"/>
        <w:rPr>
          <w:sz w:val="20"/>
          <w:szCs w:val="20"/>
          <w:color w:val="auto"/>
        </w:rPr>
      </w:pPr>
    </w:p>
    <w:p>
      <w:pPr>
        <w:jc w:val="center"/>
        <w:ind w:right="-351"/>
        <w:spacing w:after="0"/>
        <w:rPr>
          <w:sz w:val="20"/>
          <w:szCs w:val="20"/>
          <w:color w:val="auto"/>
        </w:rPr>
      </w:pPr>
      <w:r>
        <w:rPr>
          <w:rFonts w:ascii="Arial" w:cs="Arial" w:eastAsia="Arial" w:hAnsi="Arial"/>
          <w:sz w:val="18"/>
          <w:szCs w:val="18"/>
          <w:color w:val="auto"/>
        </w:rPr>
        <w:t>(9)</w:t>
      </w:r>
    </w:p>
    <w:sectPr>
      <w:pgSz w:w="11900" w:h="16838" w:orient="portrait"/>
      <w:cols w:equalWidth="0" w:num="1">
        <w:col w:w="11072"/>
      </w:cols>
      <w:pgMar w:left="248" w:top="274"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1)"/>
      <w:numFmt w:val="lowerLetter"/>
      <w:start w:val="1"/>
    </w:lvl>
  </w:abstractNum>
  <w:abstractNum w:abstractNumId="2">
    <w:nsid w:val="15B5AF5C"/>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3">
    <w:nsid w:val="741226B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4">
    <w:nsid w:val="D34B6A8"/>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5">
    <w:nsid w:val="10233C99"/>
    <w:multiLevelType w:val="hybridMultilevel"/>
    <w:lvl w:ilvl="0">
      <w:lvlJc w:val="left"/>
      <w:lvlText w:val="(%1)"/>
      <w:numFmt w:val="upperLetter"/>
      <w:start w:val="2"/>
    </w:lvl>
    <w:lvl w:ilvl="1">
      <w:lvlJc w:val="left"/>
      <w:lvlText w:val="(%2)"/>
      <w:numFmt w:val="lowerRoman"/>
      <w:start w:val="3"/>
    </w:lvl>
    <w:lvl w:ilvl="2">
      <w:lvlJc w:val="left"/>
      <w:lvlText w:val="-"/>
      <w:numFmt w:val="bullet"/>
      <w:start w:val="1"/>
    </w:lvl>
  </w:abstractNum>
  <w:abstractNum w:abstractNumId="6">
    <w:nsid w:val="3F6AB60F"/>
    <w:multiLevelType w:val="hybridMultilevel"/>
    <w:lvl w:ilvl="0">
      <w:lvlJc w:val="left"/>
      <w:lvlText w:val="(%1)"/>
      <w:numFmt w:val="lowerLetter"/>
      <w:start w:val="2"/>
    </w:lvl>
  </w:abstractNum>
  <w:abstractNum w:abstractNumId="7">
    <w:nsid w:val="61574095"/>
    <w:multiLevelType w:val="hybridMultilevel"/>
    <w:lvl w:ilvl="0">
      <w:lvlJc w:val="left"/>
      <w:lvlText w:val="(%1)"/>
      <w:numFmt w:val="lowerLetter"/>
      <w:start w:val="1"/>
    </w:lvl>
  </w:abstractNum>
  <w:abstractNum w:abstractNumId="8">
    <w:nsid w:val="7E0C57B1"/>
    <w:multiLevelType w:val="hybridMultilevel"/>
    <w:lvl w:ilvl="0">
      <w:lvlJc w:val="left"/>
      <w:lvlText w:val="(%1)"/>
      <w:numFmt w:val="lowerLetter"/>
      <w:start w:val="3"/>
    </w:lvl>
  </w:abstractNum>
  <w:abstractNum w:abstractNumId="9">
    <w:nsid w:val="77AE35EB"/>
    <w:multiLevelType w:val="hybridMultilevel"/>
    <w:lvl w:ilvl="0">
      <w:lvlJc w:val="left"/>
      <w:lvlText w:val="(%1)"/>
      <w:numFmt w:val="lowerLetter"/>
      <w:start w:val="35"/>
    </w:lvl>
  </w:abstractNum>
  <w:abstractNum w:abstractNumId="10">
    <w:nsid w:val="579BE4F1"/>
    <w:multiLevelType w:val="hybridMultilevel"/>
    <w:lvl w:ilvl="0">
      <w:lvlJc w:val="left"/>
      <w:lvlText w:val="(%1)"/>
      <w:numFmt w:val="lowerLetter"/>
      <w:start w:val="2"/>
    </w:lvl>
  </w:abstractNum>
  <w:abstractNum w:abstractNumId="11">
    <w:nsid w:val="310C50B3"/>
    <w:multiLevelType w:val="hybridMultilevel"/>
    <w:lvl w:ilvl="0">
      <w:lvlJc w:val="left"/>
      <w:lvlText w:val="(%1)"/>
      <w:numFmt w:val="lowerLetter"/>
      <w:start w:val="1"/>
    </w:lvl>
    <w:lvl w:ilvl="1">
      <w:lvlJc w:val="left"/>
      <w:lvlText w:val="-"/>
      <w:numFmt w:val="bullet"/>
      <w:start w:val="1"/>
    </w:lvl>
  </w:abstractNum>
  <w:abstractNum w:abstractNumId="12">
    <w:nsid w:val="5FF87E05"/>
    <w:multiLevelType w:val="hybridMultilevel"/>
    <w:lvl w:ilvl="0">
      <w:lvlJc w:val="left"/>
      <w:lvlText w:val="(%1)"/>
      <w:numFmt w:val="lowerLetter"/>
      <w:start w:val="8"/>
    </w:lvl>
  </w:abstractNum>
  <w:abstractNum w:abstractNumId="13">
    <w:nsid w:val="2F305DEF"/>
    <w:multiLevelType w:val="hybridMultilevel"/>
    <w:lvl w:ilvl="0">
      <w:lvlJc w:val="left"/>
      <w:lvlText w:val="(%1)"/>
      <w:numFmt w:val="lowerRoman"/>
      <w:start w:val="2"/>
    </w:lvl>
  </w:abstractNum>
  <w:abstractNum w:abstractNumId="14">
    <w:nsid w:val="25A70BF7"/>
    <w:multiLevelType w:val="hybridMultilevel"/>
    <w:lvl w:ilvl="0">
      <w:lvlJc w:val="left"/>
      <w:lvlText w:val="(%1)"/>
      <w:numFmt w:val="lowerLetter"/>
      <w:start w:val="1"/>
    </w:lvl>
    <w:lvl w:ilvl="1">
      <w:lvlJc w:val="left"/>
      <w:lvlText w:val="-"/>
      <w:numFmt w:val="bullet"/>
      <w:start w:val="1"/>
    </w:lvl>
  </w:abstractNum>
  <w:abstractNum w:abstractNumId="15">
    <w:nsid w:val="1DBABF00"/>
    <w:multiLevelType w:val="hybridMultilevel"/>
    <w:lvl w:ilvl="0">
      <w:lvlJc w:val="left"/>
      <w:lvlText w:val="(%1)"/>
      <w:numFmt w:val="lowerLetter"/>
      <w:start w:val="6"/>
    </w:lvl>
  </w:abstractNum>
  <w:abstractNum w:abstractNumId="16">
    <w:nsid w:val="4AD084E9"/>
    <w:multiLevelType w:val="hybridMultilevel"/>
    <w:lvl w:ilvl="0">
      <w:lvlJc w:val="left"/>
      <w:lvlText w:val="(%1)"/>
      <w:numFmt w:val="lowerLetter"/>
      <w:start w:val="1"/>
    </w:lvl>
  </w:abstractNum>
  <w:abstractNum w:abstractNumId="17">
    <w:nsid w:val="1F48EAA1"/>
    <w:multiLevelType w:val="hybridMultilevel"/>
    <w:lvl w:ilvl="0">
      <w:lvlJc w:val="left"/>
      <w:lvlText w:val="(%1)"/>
      <w:numFmt w:val="lowerLetter"/>
      <w:start w:val="1"/>
    </w:lvl>
  </w:abstractNum>
  <w:abstractNum w:abstractNumId="18">
    <w:nsid w:val="1381823A"/>
    <w:multiLevelType w:val="hybridMultilevel"/>
    <w:lvl w:ilvl="0">
      <w:lvlJc w:val="left"/>
      <w:lvlText w:val="(%1)"/>
      <w:numFmt w:val="lowerLetter"/>
      <w:start w:val="1"/>
    </w:lvl>
    <w:lvl w:ilvl="1">
      <w:lvlJc w:val="left"/>
      <w:lvlText w:val="-"/>
      <w:numFmt w:val="bullet"/>
      <w:start w:val="1"/>
    </w:lvl>
  </w:abstractNum>
  <w:abstractNum w:abstractNumId="19">
    <w:nsid w:val="5DB70AE5"/>
    <w:multiLevelType w:val="hybridMultilevel"/>
    <w:lvl w:ilvl="0">
      <w:lvlJc w:val="left"/>
      <w:lvlText w:val="(%1)"/>
      <w:numFmt w:val="lowerLetter"/>
      <w:start w:val="1"/>
    </w:lvl>
  </w:abstractNum>
  <w:abstractNum w:abstractNumId="20">
    <w:nsid w:val="100F8FC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1">
    <w:nsid w:val="6590700B"/>
    <w:multiLevelType w:val="hybridMultilevel"/>
    <w:lvl w:ilvl="0">
      <w:lvlJc w:val="left"/>
      <w:lvlText w:val="(%1)"/>
      <w:numFmt w:val="lowerLetter"/>
      <w:start w:val="2"/>
    </w:lvl>
    <w:lvl w:ilvl="1">
      <w:lvlJc w:val="left"/>
      <w:lvlText w:val="(%2)"/>
      <w:numFmt w:val="lowerLetter"/>
      <w:start w:val="2"/>
    </w:lvl>
    <w:lvl w:ilvl="2">
      <w:lvlJc w:val="left"/>
      <w:lvlText w:val="-"/>
      <w:numFmt w:val="bullet"/>
      <w:start w:val="1"/>
    </w:lvl>
  </w:abstractNum>
  <w:abstractNum w:abstractNumId="22">
    <w:nsid w:val="15014ACB"/>
    <w:multiLevelType w:val="hybridMultilevel"/>
    <w:lvl w:ilvl="0">
      <w:lvlJc w:val="left"/>
      <w:lvlText w:val="(%1)"/>
      <w:numFmt w:val="lowerLetter"/>
      <w:start w:val="3"/>
    </w:lvl>
  </w:abstractNum>
  <w:abstractNum w:abstractNumId="23">
    <w:nsid w:val="5F5E7FD0"/>
    <w:multiLevelType w:val="hybridMultilevel"/>
    <w:lvl w:ilvl="0">
      <w:lvlJc w:val="left"/>
      <w:lvlText w:val="(%1)"/>
      <w:numFmt w:val="lowerLetter"/>
      <w:start w:val="1"/>
    </w:lvl>
    <w:lvl w:ilvl="1">
      <w:lvlJc w:val="left"/>
      <w:lvlText w:val="-"/>
      <w:numFmt w:val="bullet"/>
      <w:start w:val="1"/>
    </w:lvl>
  </w:abstractNum>
  <w:abstractNum w:abstractNumId="24">
    <w:nsid w:val="98A3148"/>
    <w:multiLevelType w:val="hybridMultilevel"/>
    <w:lvl w:ilvl="0">
      <w:lvlJc w:val="left"/>
      <w:lvlText w:val="(%1)"/>
      <w:numFmt w:val="decimal"/>
      <w:start w:val="3"/>
    </w:lvl>
    <w:lvl w:ilvl="1">
      <w:lvlJc w:val="left"/>
      <w:lvlText w:val="-"/>
      <w:numFmt w:val="bullet"/>
      <w:start w:val="1"/>
    </w:lvl>
  </w:abstractNum>
  <w:abstractNum w:abstractNumId="25">
    <w:nsid w:val="799D0247"/>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26">
    <w:nsid w:val="6B94764"/>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27">
    <w:nsid w:val="42C296BD"/>
    <w:multiLevelType w:val="hybridMultilevel"/>
    <w:lvl w:ilvl="0">
      <w:lvlJc w:val="left"/>
      <w:lvlText w:val="(%1)"/>
      <w:numFmt w:val="lowerLetter"/>
      <w:start w:val="3"/>
    </w:lvl>
    <w:lvl w:ilvl="1">
      <w:lvlJc w:val="left"/>
      <w:lvlText w:val="-"/>
      <w:numFmt w:val="bullet"/>
      <w:start w:val="1"/>
    </w:lvl>
  </w:abstractNum>
  <w:abstractNum w:abstractNumId="28">
    <w:nsid w:val="168E121F"/>
    <w:multiLevelType w:val="hybridMultilevel"/>
    <w:lvl w:ilvl="0">
      <w:lvlJc w:val="left"/>
      <w:lvlText w:val="(%1)"/>
      <w:numFmt w:val="lowerLetter"/>
      <w:start w:val="6"/>
    </w:lvl>
  </w:abstractNum>
  <w:abstractNum w:abstractNumId="29">
    <w:nsid w:val="1EBA5D23"/>
    <w:multiLevelType w:val="hybridMultilevel"/>
    <w:lvl w:ilvl="0">
      <w:lvlJc w:val="left"/>
      <w:lvlText w:val="(%1)"/>
      <w:numFmt w:val="lowerLetter"/>
      <w:start w:val="1"/>
    </w:lvl>
    <w:lvl w:ilvl="1">
      <w:lvlJc w:val="left"/>
      <w:lvlText w:val="-"/>
      <w:numFmt w:val="bullet"/>
      <w:start w:val="1"/>
    </w:lvl>
  </w:abstractNum>
  <w:abstractNum w:abstractNumId="30">
    <w:nsid w:val="661E3F1E"/>
    <w:multiLevelType w:val="hybridMultilevel"/>
    <w:lvl w:ilvl="0">
      <w:lvlJc w:val="left"/>
      <w:lvlText w:val="(%1)"/>
      <w:numFmt w:val="upperLetter"/>
      <w:start w:val="2"/>
    </w:lvl>
    <w:lvl w:ilvl="1">
      <w:lvlJc w:val="left"/>
      <w:lvlText w:val="(%2)"/>
      <w:numFmt w:val="lowerLetter"/>
      <w:start w:val="2"/>
    </w:lvl>
    <w:lvl w:ilvl="2">
      <w:lvlJc w:val="left"/>
      <w:lvlText w:val="-"/>
      <w:numFmt w:val="bullet"/>
      <w:start w:val="1"/>
    </w:lvl>
  </w:abstractNum>
  <w:abstractNum w:abstractNumId="31">
    <w:nsid w:val="5DC79EA8"/>
    <w:multiLevelType w:val="hybridMultilevel"/>
    <w:lvl w:ilvl="0">
      <w:lvlJc w:val="left"/>
      <w:lvlText w:val="(%1)"/>
      <w:numFmt w:val="lowerLetter"/>
      <w:start w:val="3"/>
    </w:lvl>
    <w:lvl w:ilvl="1">
      <w:lvlJc w:val="left"/>
      <w:lvlText w:val="(%2)"/>
      <w:numFmt w:val="lowerRoman"/>
      <w:start w:val="2"/>
    </w:lvl>
    <w:lvl w:ilvl="2">
      <w:lvlJc w:val="left"/>
      <w:lvlText w:val="-"/>
      <w:numFmt w:val="bullet"/>
      <w:start w:val="1"/>
    </w:lvl>
  </w:abstractNum>
  <w:abstractNum w:abstractNumId="32">
    <w:nsid w:val="540A471C"/>
    <w:multiLevelType w:val="hybridMultilevel"/>
    <w:lvl w:ilvl="0">
      <w:lvlJc w:val="left"/>
      <w:lvlText w:val="%1"/>
      <w:numFmt w:val="decimal"/>
      <w:start w:val="1"/>
    </w:lvl>
    <w:lvl w:ilvl="1">
      <w:lvlJc w:val="left"/>
      <w:lvlText w:val="(%2)"/>
      <w:numFmt w:val="lowerLetter"/>
      <w:start w:val="6"/>
    </w:lvl>
  </w:abstractNum>
  <w:abstractNum w:abstractNumId="33">
    <w:nsid w:val="7BD3EE7B"/>
    <w:multiLevelType w:val="hybridMultilevel"/>
    <w:lvl w:ilvl="0">
      <w:lvlJc w:val="left"/>
      <w:lvlText w:val="(%1)"/>
      <w:numFmt w:val="decimal"/>
      <w:start w:val="2"/>
    </w:lvl>
    <w:lvl w:ilvl="1">
      <w:lvlJc w:val="left"/>
      <w:lvlText w:val="(%2)"/>
      <w:numFmt w:val="lowerLetter"/>
      <w:start w:val="8"/>
    </w:lvl>
  </w:abstractNum>
  <w:abstractNum w:abstractNumId="34">
    <w:nsid w:val="51D9C564"/>
    <w:multiLevelType w:val="hybridMultilevel"/>
    <w:lvl w:ilvl="0">
      <w:lvlJc w:val="left"/>
      <w:lvlText w:val="(%1)"/>
      <w:numFmt w:val="lowerLetter"/>
      <w:start w:val="1"/>
    </w:lvl>
    <w:lvl w:ilvl="1">
      <w:lvlJc w:val="left"/>
      <w:lvlText w:val="-"/>
      <w:numFmt w:val="bullet"/>
      <w:start w:val="1"/>
    </w:lvl>
  </w:abstractNum>
  <w:abstractNum w:abstractNumId="35">
    <w:nsid w:val="613EFDC5"/>
    <w:multiLevelType w:val="hybridMultilevel"/>
    <w:lvl w:ilvl="0">
      <w:lvlJc w:val="left"/>
      <w:lvlText w:val="(%1)"/>
      <w:numFmt w:val="lowerLetter"/>
      <w:start w:val="2"/>
    </w:lvl>
  </w:abstractNum>
  <w:abstractNum w:abstractNumId="36">
    <w:nsid w:val="BF72B14"/>
    <w:multiLevelType w:val="hybridMultilevel"/>
    <w:lvl w:ilvl="0">
      <w:lvlJc w:val="left"/>
      <w:lvlText w:val="(%1)"/>
      <w:numFmt w:val="lowerLetter"/>
      <w:start w:val="1"/>
    </w:lvl>
  </w:abstractNum>
  <w:abstractNum w:abstractNumId="37">
    <w:nsid w:val="11447B73"/>
    <w:multiLevelType w:val="hybridMultilevel"/>
    <w:lvl w:ilvl="0">
      <w:lvlJc w:val="left"/>
      <w:lvlText w:val="(%1)"/>
      <w:numFmt w:val="lowerLetter"/>
      <w:start w:val="1"/>
    </w:lvl>
    <w:lvl w:ilvl="1">
      <w:lvlJc w:val="left"/>
      <w:lvlText w:val="-"/>
      <w:numFmt w:val="bullet"/>
      <w:start w:val="1"/>
    </w:lvl>
  </w:abstractNum>
  <w:abstractNum w:abstractNumId="38">
    <w:nsid w:val="42963E5A"/>
    <w:multiLevelType w:val="hybridMultilevel"/>
    <w:lvl w:ilvl="0">
      <w:lvlJc w:val="left"/>
      <w:lvlText w:val="(%1)"/>
      <w:numFmt w:val="lowerRoman"/>
      <w:start w:val="1"/>
    </w:lvl>
  </w:abstractNum>
  <w:abstractNum w:abstractNumId="39">
    <w:nsid w:val="A0382C5"/>
    <w:multiLevelType w:val="hybridMultilevel"/>
    <w:lvl w:ilvl="0">
      <w:lvlJc w:val="left"/>
      <w:lvlText w:val="(%1)"/>
      <w:numFmt w:val="lowerLetter"/>
      <w:start w:val="2"/>
    </w:lvl>
  </w:abstractNum>
  <w:abstractNum w:abstractNumId="40">
    <w:nsid w:val="8F2B15E"/>
    <w:multiLevelType w:val="hybridMultilevel"/>
    <w:lvl w:ilvl="0">
      <w:lvlJc w:val="left"/>
      <w:lvlText w:val="(%1)"/>
      <w:numFmt w:val="lowerLetter"/>
      <w:start w:val="1"/>
    </w:lvl>
    <w:lvl w:ilvl="1">
      <w:lvlJc w:val="left"/>
      <w:lvlText w:val="-"/>
      <w:numFmt w:val="bullet"/>
      <w:start w:val="1"/>
    </w:lvl>
  </w:abstractNum>
  <w:abstractNum w:abstractNumId="41">
    <w:nsid w:val="1A32234B"/>
    <w:multiLevelType w:val="hybridMultilevel"/>
    <w:lvl w:ilvl="0">
      <w:lvlJc w:val="left"/>
      <w:lvlText w:val="(%1)"/>
      <w:numFmt w:val="lowerLetter"/>
      <w:start w:val="2"/>
    </w:lvl>
    <w:lvl w:ilvl="1">
      <w:lvlJc w:val="left"/>
      <w:lvlText w:val="(%2)"/>
      <w:numFmt w:val="lowerRoman"/>
      <w:start w:val="1"/>
    </w:lvl>
  </w:abstractNum>
  <w:abstractNum w:abstractNumId="42">
    <w:nsid w:val="3B0FD37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3">
    <w:nsid w:val="68EB2F63"/>
    <w:multiLevelType w:val="hybridMultilevel"/>
    <w:lvl w:ilvl="0">
      <w:lvlJc w:val="left"/>
      <w:lvlText w:val="(%1)"/>
      <w:numFmt w:val="lowerRoman"/>
      <w:start w:val="1"/>
    </w:lvl>
  </w:abstractNum>
  <w:abstractNum w:abstractNumId="44">
    <w:nsid w:val="4962813B"/>
    <w:multiLevelType w:val="hybridMultilevel"/>
    <w:lvl w:ilvl="0">
      <w:lvlJc w:val="left"/>
      <w:lvlText w:val="(%1)"/>
      <w:numFmt w:val="lowerLetter"/>
      <w:start w:val="1"/>
    </w:lvl>
    <w:lvl w:ilvl="1">
      <w:lvlJc w:val="left"/>
      <w:lvlText w:val="-"/>
      <w:numFmt w:val="bullet"/>
      <w:start w:val="1"/>
    </w:lvl>
  </w:abstractNum>
  <w:abstractNum w:abstractNumId="45">
    <w:nsid w:val="60B6DF70"/>
    <w:multiLevelType w:val="hybridMultilevel"/>
    <w:lvl w:ilvl="0">
      <w:lvlJc w:val="left"/>
      <w:lvlText w:val="(%1)"/>
      <w:numFmt w:val="decimal"/>
      <w:start w:val="3"/>
    </w:lvl>
    <w:lvl w:ilvl="1">
      <w:lvlJc w:val="left"/>
      <w:lvlText w:val="(%2)"/>
      <w:numFmt w:val="lowerLetter"/>
      <w:start w:val="2"/>
    </w:lvl>
    <w:lvl w:ilvl="2">
      <w:lvlJc w:val="left"/>
      <w:lvlText w:val="-"/>
      <w:numFmt w:val="bullet"/>
      <w:start w:val="1"/>
    </w:lvl>
  </w:abstractNum>
  <w:abstractNum w:abstractNumId="46">
    <w:nsid w:val="6A5EE64"/>
    <w:multiLevelType w:val="hybridMultilevel"/>
    <w:lvl w:ilvl="0">
      <w:lvlJc w:val="left"/>
      <w:lvlText w:val="(%1)"/>
      <w:numFmt w:val="lowerLetter"/>
      <w:start w:val="4"/>
    </w:lvl>
    <w:lvl w:ilvl="1">
      <w:lvlJc w:val="left"/>
      <w:lvlText w:val="-"/>
      <w:numFmt w:val="bullet"/>
      <w:start w:val="1"/>
    </w:lvl>
  </w:abstractNum>
  <w:abstractNum w:abstractNumId="47">
    <w:nsid w:val="14330624"/>
    <w:multiLevelType w:val="hybridMultilevel"/>
    <w:lvl w:ilvl="0">
      <w:lvlJc w:val="left"/>
      <w:lvlText w:val="(%1)"/>
      <w:numFmt w:val="lowerLetter"/>
      <w:start w:val="5"/>
    </w:lvl>
  </w:abstractNum>
  <w:abstractNum w:abstractNumId="48">
    <w:nsid w:val="7FFFCA11"/>
    <w:multiLevelType w:val="hybridMultilevel"/>
    <w:lvl w:ilvl="0">
      <w:lvlJc w:val="left"/>
      <w:lvlText w:val="(%1)"/>
      <w:numFmt w:val="lowerLetter"/>
      <w:start w:val="1"/>
    </w:lvl>
    <w:lvl w:ilvl="1">
      <w:lvlJc w:val="left"/>
      <w:lvlText w:val="(%2)"/>
      <w:numFmt w:val="lowerRoman"/>
      <w:start w:val="1"/>
    </w:lvl>
  </w:abstractNum>
  <w:abstractNum w:abstractNumId="49">
    <w:nsid w:val="1A27709E"/>
    <w:multiLevelType w:val="hybridMultilevel"/>
    <w:lvl w:ilvl="0">
      <w:lvlJc w:val="left"/>
      <w:lvlText w:val="(%1)"/>
      <w:numFmt w:val="lowerRoman"/>
      <w:start w:val="1"/>
    </w:lvl>
  </w:abstractNum>
  <w:abstractNum w:abstractNumId="50">
    <w:nsid w:val="71EA1109"/>
    <w:multiLevelType w:val="hybridMultilevel"/>
    <w:lvl w:ilvl="0">
      <w:lvlJc w:val="left"/>
      <w:lvlText w:val="(%1)"/>
      <w:numFmt w:val="lowerRoman"/>
      <w:start w:val="1"/>
    </w:lvl>
    <w:lvl w:ilvl="1">
      <w:lvlJc w:val="left"/>
      <w:lvlText w:val="-"/>
      <w:numFmt w:val="bullet"/>
      <w:start w:val="1"/>
    </w:lvl>
  </w:abstractNum>
  <w:abstractNum w:abstractNumId="51">
    <w:nsid w:val="100F59DC"/>
    <w:multiLevelType w:val="hybridMultilevel"/>
    <w:lvl w:ilvl="0">
      <w:lvlJc w:val="left"/>
      <w:lvlText w:val="(%1)"/>
      <w:numFmt w:val="lowerRoman"/>
      <w:start w:val="3"/>
    </w:lvl>
    <w:lvl w:ilvl="1">
      <w:lvlJc w:val="left"/>
      <w:lvlText w:val="-"/>
      <w:numFmt w:val="bullet"/>
      <w:start w:val="1"/>
    </w:lvl>
  </w:abstractNum>
  <w:abstractNum w:abstractNumId="52">
    <w:nsid w:val="7FB7E0AA"/>
    <w:multiLevelType w:val="hybridMultilevel"/>
    <w:lvl w:ilvl="0">
      <w:lvlJc w:val="left"/>
      <w:lvlText w:val="(%1)"/>
      <w:numFmt w:val="lowerLetter"/>
      <w:start w:val="1"/>
    </w:lvl>
    <w:lvl w:ilvl="1">
      <w:lvlJc w:val="left"/>
      <w:lvlText w:val="-"/>
      <w:numFmt w:val="bullet"/>
      <w:start w:val="1"/>
    </w:lvl>
  </w:abstractNum>
  <w:abstractNum w:abstractNumId="53">
    <w:nsid w:val="6EB5BD4"/>
    <w:multiLevelType w:val="hybridMultilevel"/>
    <w:lvl w:ilvl="0">
      <w:lvlJc w:val="left"/>
      <w:lvlText w:val="(%1)"/>
      <w:numFmt w:val="lowerLetter"/>
      <w:start w:val="3"/>
    </w:lvl>
  </w:abstractNum>
  <w:abstractNum w:abstractNumId="54">
    <w:nsid w:val="6F6DD9AC"/>
    <w:multiLevelType w:val="hybridMultilevel"/>
    <w:lvl w:ilvl="0">
      <w:lvlJc w:val="left"/>
      <w:lvlText w:val="(%1)"/>
      <w:numFmt w:val="lowerLetter"/>
      <w:start w:val="1"/>
    </w:lvl>
    <w:lvl w:ilvl="1">
      <w:lvlJc w:val="left"/>
      <w:lvlText w:val="-"/>
      <w:numFmt w:val="bullet"/>
      <w:start w:val="1"/>
    </w:lvl>
  </w:abstractNum>
  <w:abstractNum w:abstractNumId="55">
    <w:nsid w:val="94211F2"/>
    <w:multiLevelType w:val="hybridMultilevel"/>
    <w:lvl w:ilvl="0">
      <w:lvlJc w:val="left"/>
      <w:lvlText w:val="(%1)"/>
      <w:numFmt w:val="lowerLetter"/>
      <w:start w:val="2"/>
    </w:lvl>
  </w:abstractNum>
  <w:abstractNum w:abstractNumId="56">
    <w:nsid w:val="885E1B"/>
    <w:multiLevelType w:val="hybridMultilevel"/>
    <w:lvl w:ilvl="0">
      <w:lvlJc w:val="left"/>
      <w:lvlText w:val="(%1)"/>
      <w:numFmt w:val="lowerLetter"/>
      <w:start w:val="1"/>
    </w:lvl>
    <w:lvl w:ilvl="1">
      <w:lvlJc w:val="left"/>
      <w:lvlText w:val="-"/>
      <w:numFmt w:val="bullet"/>
      <w:start w:val="1"/>
    </w:lvl>
  </w:abstractNum>
  <w:abstractNum w:abstractNumId="57">
    <w:nsid w:val="76272110"/>
    <w:multiLevelType w:val="hybridMultilevel"/>
    <w:lvl w:ilvl="0">
      <w:lvlJc w:val="left"/>
      <w:lvlText w:val="%1"/>
      <w:numFmt w:val="lowerRoman"/>
      <w:start w:val="1"/>
    </w:lvl>
    <w:lvl w:ilvl="1">
      <w:lvlJc w:val="left"/>
      <w:lvlText w:val="(%2)"/>
      <w:numFmt w:val="lowerLetter"/>
      <w:start w:val="2"/>
    </w:lvl>
  </w:abstractNum>
  <w:abstractNum w:abstractNumId="58">
    <w:nsid w:val="4C04A8AF"/>
    <w:multiLevelType w:val="hybridMultilevel"/>
    <w:lvl w:ilvl="0">
      <w:lvlJc w:val="left"/>
      <w:lvlText w:val="(%1)"/>
      <w:numFmt w:val="lowerRoman"/>
      <w:start w:val="4"/>
    </w:lvl>
    <w:lvl w:ilvl="1">
      <w:lvlJc w:val="left"/>
      <w:lvlText w:val="%2"/>
      <w:numFmt w:val="lowerLetter"/>
      <w:start w:val="1"/>
    </w:lvl>
  </w:abstractNum>
  <w:abstractNum w:abstractNumId="59">
    <w:nsid w:val="1716703B"/>
    <w:multiLevelType w:val="hybridMultilevel"/>
    <w:lvl w:ilvl="0">
      <w:lvlJc w:val="left"/>
      <w:lvlText w:val="(%1)"/>
      <w:numFmt w:val="lowerLetter"/>
      <w:start w:val="1"/>
    </w:lvl>
    <w:lvl w:ilvl="1">
      <w:lvlJc w:val="left"/>
      <w:lvlText w:val="-"/>
      <w:numFmt w:val="bullet"/>
      <w:start w:val="1"/>
    </w:lvl>
  </w:abstractNum>
  <w:abstractNum w:abstractNumId="60">
    <w:nsid w:val="14E17E33"/>
    <w:multiLevelType w:val="hybridMultilevel"/>
    <w:lvl w:ilvl="0">
      <w:lvlJc w:val="left"/>
      <w:lvlText w:val="(%1)"/>
      <w:numFmt w:val="lowerLetter"/>
      <w:start w:val="2"/>
    </w:lvl>
    <w:lvl w:ilvl="1">
      <w:lvlJc w:val="left"/>
      <w:lvlText w:val="-"/>
      <w:numFmt w:val="bullet"/>
      <w:start w:val="1"/>
    </w:lvl>
  </w:abstractNum>
  <w:abstractNum w:abstractNumId="61">
    <w:nsid w:val="3222E7CD"/>
    <w:multiLevelType w:val="hybridMultilevel"/>
    <w:lvl w:ilvl="0">
      <w:lvlJc w:val="left"/>
      <w:lvlText w:val="(%1)"/>
      <w:numFmt w:val="lowerRoman"/>
      <w:start w:val="1"/>
    </w:lvl>
    <w:lvl w:ilvl="1">
      <w:lvlJc w:val="left"/>
      <w:lvlText w:val="-"/>
      <w:numFmt w:val="bullet"/>
      <w:start w:val="1"/>
    </w:lvl>
  </w:abstractNum>
  <w:abstractNum w:abstractNumId="62">
    <w:nsid w:val="74DE0EE3"/>
    <w:multiLevelType w:val="hybridMultilevel"/>
    <w:lvl w:ilvl="0">
      <w:lvlJc w:val="left"/>
      <w:lvlText w:val="(%1)"/>
      <w:numFmt w:val="lowerRoman"/>
      <w:start w:val="4"/>
    </w:lvl>
  </w:abstractNum>
  <w:abstractNum w:abstractNumId="63">
    <w:nsid w:val="68EBC550"/>
    <w:multiLevelType w:val="hybridMultilevel"/>
    <w:lvl w:ilvl="0">
      <w:lvlJc w:val="left"/>
      <w:lvlText w:val="(%1)"/>
      <w:numFmt w:val="lowerLetter"/>
      <w:start w:val="1"/>
    </w:lvl>
  </w:abstractNum>
  <w:abstractNum w:abstractNumId="64">
    <w:nsid w:val="2DF6D648"/>
    <w:multiLevelType w:val="hybridMultilevel"/>
    <w:lvl w:ilvl="0">
      <w:lvlJc w:val="left"/>
      <w:lvlText w:val="(%1)"/>
      <w:numFmt w:val="lowerLetter"/>
      <w:start w:val="1"/>
    </w:lvl>
    <w:lvl w:ilvl="1">
      <w:lvlJc w:val="left"/>
      <w:lvlText w:val="-"/>
      <w:numFmt w:val="bullet"/>
      <w:start w:val="1"/>
    </w:lvl>
  </w:abstractNum>
  <w:abstractNum w:abstractNumId="65">
    <w:nsid w:val="46B7D447"/>
    <w:multiLevelType w:val="hybridMultilevel"/>
    <w:lvl w:ilvl="0">
      <w:lvlJc w:val="left"/>
      <w:lvlText w:val="%1"/>
      <w:numFmt w:val="decimal"/>
      <w:start w:val="1"/>
    </w:lvl>
    <w:lvl w:ilvl="1">
      <w:lvlJc w:val="left"/>
      <w:lvlText w:val="(%2)"/>
      <w:numFmt w:val="lowerLetter"/>
      <w:start w:val="2"/>
    </w:lvl>
  </w:abstractNum>
  <w:abstractNum w:abstractNumId="66">
    <w:nsid w:val="4A2AC315"/>
    <w:multiLevelType w:val="hybridMultilevel"/>
    <w:lvl w:ilvl="0">
      <w:lvlJc w:val="left"/>
      <w:lvlText w:val="(%1)"/>
      <w:numFmt w:val="decimal"/>
      <w:start w:val="60"/>
    </w:lvl>
    <w:lvl w:ilvl="1">
      <w:lvlJc w:val="left"/>
      <w:lvlText w:val="%2"/>
      <w:numFmt w:val="lowerLetter"/>
      <w:start w:val="1"/>
    </w:lvl>
  </w:abstractNum>
  <w:abstractNum w:abstractNumId="67">
    <w:nsid w:val="39EE015C"/>
    <w:multiLevelType w:val="hybridMultilevel"/>
    <w:lvl w:ilvl="0">
      <w:lvlJc w:val="left"/>
      <w:lvlText w:val="(%1)"/>
      <w:numFmt w:val="lowerLetter"/>
      <w:start w:val="2"/>
    </w:lvl>
  </w:abstractNum>
  <w:abstractNum w:abstractNumId="68">
    <w:nsid w:val="57FC4FBB"/>
    <w:multiLevelType w:val="hybridMultilevel"/>
    <w:lvl w:ilvl="0">
      <w:lvlJc w:val="left"/>
      <w:lvlText w:val="(%1)"/>
      <w:numFmt w:val="lowerLetter"/>
      <w:start w:val="1"/>
    </w:lvl>
    <w:lvl w:ilvl="1">
      <w:lvlJc w:val="left"/>
      <w:lvlText w:val="-"/>
      <w:numFmt w:val="bullet"/>
      <w:start w:val="1"/>
    </w:lvl>
  </w:abstractNum>
  <w:abstractNum w:abstractNumId="69">
    <w:nsid w:val="CC1016F"/>
    <w:multiLevelType w:val="hybridMultilevel"/>
    <w:lvl w:ilvl="0">
      <w:lvlJc w:val="left"/>
      <w:lvlText w:val="(%1)"/>
      <w:numFmt w:val="lowerLetter"/>
      <w:start w:val="4"/>
    </w:lvl>
  </w:abstractNum>
  <w:abstractNum w:abstractNumId="70">
    <w:nsid w:val="43F18422"/>
    <w:multiLevelType w:val="hybridMultilevel"/>
    <w:lvl w:ilvl="0">
      <w:lvlJc w:val="left"/>
      <w:lvlText w:val="(%1)"/>
      <w:numFmt w:val="lowerLetter"/>
      <w:start w:val="2"/>
    </w:lvl>
  </w:abstractNum>
  <w:abstractNum w:abstractNumId="71">
    <w:nsid w:val="60EF0119"/>
    <w:multiLevelType w:val="hybridMultilevel"/>
    <w:lvl w:ilvl="0">
      <w:lvlJc w:val="left"/>
      <w:lvlText w:val="(%1)"/>
      <w:numFmt w:val="lowerLetter"/>
      <w:start w:val="1"/>
    </w:lvl>
    <w:lvl w:ilvl="1">
      <w:lvlJc w:val="left"/>
      <w:lvlText w:val="-"/>
      <w:numFmt w:val="bullet"/>
      <w:start w:val="1"/>
    </w:lvl>
  </w:abstractNum>
  <w:abstractNum w:abstractNumId="72">
    <w:nsid w:val="26F324BA"/>
    <w:multiLevelType w:val="hybridMultilevel"/>
    <w:lvl w:ilvl="0">
      <w:lvlJc w:val="left"/>
      <w:lvlText w:val="(%1)"/>
      <w:numFmt w:val="lowerLetter"/>
      <w:start w:val="8"/>
    </w:lvl>
    <w:lvl w:ilvl="1">
      <w:lvlJc w:val="left"/>
      <w:lvlText w:val="-"/>
      <w:numFmt w:val="bullet"/>
      <w:start w:val="1"/>
    </w:lvl>
  </w:abstractNum>
  <w:abstractNum w:abstractNumId="73">
    <w:nsid w:val="7F01579B"/>
    <w:multiLevelType w:val="hybridMultilevel"/>
    <w:lvl w:ilvl="0">
      <w:lvlJc w:val="left"/>
      <w:lvlText w:val="(%1)"/>
      <w:numFmt w:val="lowerLetter"/>
      <w:start w:val="2"/>
    </w:lvl>
    <w:lvl w:ilvl="1">
      <w:lvlJc w:val="left"/>
      <w:lvlText w:val="-"/>
      <w:numFmt w:val="bullet"/>
      <w:start w:val="1"/>
    </w:lvl>
  </w:abstractNum>
  <w:abstractNum w:abstractNumId="74">
    <w:nsid w:val="49DA307D"/>
    <w:multiLevelType w:val="hybridMultilevel"/>
    <w:lvl w:ilvl="0">
      <w:lvlJc w:val="left"/>
      <w:lvlText w:val="(%1)"/>
      <w:numFmt w:val="lowerRoman"/>
      <w:start w:val="10"/>
    </w:lvl>
  </w:abstractNum>
  <w:abstractNum w:abstractNumId="75">
    <w:nsid w:val="7055A5F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6">
    <w:nsid w:val="5FB8370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77">
    <w:nsid w:val="50801EE1"/>
    <w:multiLevelType w:val="hybridMultilevel"/>
    <w:lvl w:ilvl="0">
      <w:lvlJc w:val="left"/>
      <w:lvlText w:val="(%1)"/>
      <w:numFmt w:val="lowerLetter"/>
      <w:start w:val="2"/>
    </w:lvl>
    <w:lvl w:ilvl="1">
      <w:lvlJc w:val="left"/>
      <w:lvlText w:val="-"/>
      <w:numFmt w:val="bullet"/>
      <w:start w:val="1"/>
    </w:lvl>
  </w:abstractNum>
  <w:abstractNum w:abstractNumId="78">
    <w:nsid w:val="488AC1A"/>
    <w:multiLevelType w:val="hybridMultilevel"/>
    <w:lvl w:ilvl="0">
      <w:lvlJc w:val="left"/>
      <w:lvlText w:val="(%1)"/>
      <w:numFmt w:val="lowerLetter"/>
      <w:start w:val="7"/>
    </w:lvl>
  </w:abstractNum>
  <w:abstractNum w:abstractNumId="79">
    <w:nsid w:val="5FB8011C"/>
    <w:multiLevelType w:val="hybridMultilevel"/>
    <w:lvl w:ilvl="0">
      <w:lvlJc w:val="left"/>
      <w:lvlText w:val="(%1)"/>
      <w:numFmt w:val="lowerLetter"/>
      <w:start w:val="2"/>
    </w:lvl>
  </w:abstractNum>
  <w:abstractNum w:abstractNumId="80">
    <w:nsid w:val="6AA78F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1">
    <w:nsid w:val="7672BD23"/>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82">
    <w:nsid w:val="6FC75AF8"/>
    <w:multiLevelType w:val="hybridMultilevel"/>
    <w:lvl w:ilvl="0">
      <w:lvlJc w:val="left"/>
      <w:lvlText w:val="(%1)"/>
      <w:numFmt w:val="lowerLetter"/>
      <w:start w:val="2"/>
    </w:lvl>
    <w:lvl w:ilvl="1">
      <w:lvlJc w:val="left"/>
      <w:lvlText w:val="-"/>
      <w:numFmt w:val="bullet"/>
      <w:start w:val="1"/>
    </w:lvl>
  </w:abstractNum>
  <w:abstractNum w:abstractNumId="83">
    <w:nsid w:val="6A5F7029"/>
    <w:multiLevelType w:val="hybridMultilevel"/>
    <w:lvl w:ilvl="0">
      <w:lvlJc w:val="left"/>
      <w:lvlText w:val="(%1)"/>
      <w:numFmt w:val="lowerLetter"/>
      <w:start w:val="3"/>
    </w:lvl>
    <w:lvl w:ilvl="1">
      <w:lvlJc w:val="left"/>
      <w:lvlText w:val="-"/>
      <w:numFmt w:val="bullet"/>
      <w:start w:val="1"/>
    </w:lvl>
  </w:abstractNum>
  <w:abstractNum w:abstractNumId="84">
    <w:nsid w:val="7D5E18F8"/>
    <w:multiLevelType w:val="hybridMultilevel"/>
    <w:lvl w:ilvl="0">
      <w:lvlJc w:val="left"/>
      <w:lvlText w:val="(%1)"/>
      <w:numFmt w:val="lowerLetter"/>
      <w:start w:val="4"/>
    </w:lvl>
    <w:lvl w:ilvl="1">
      <w:lvlJc w:val="left"/>
      <w:lvlText w:val="-"/>
      <w:numFmt w:val="bullet"/>
      <w:start w:val="1"/>
    </w:lvl>
  </w:abstractNum>
  <w:abstractNum w:abstractNumId="85">
    <w:nsid w:val="5F3534A4"/>
    <w:multiLevelType w:val="hybridMultilevel"/>
    <w:lvl w:ilvl="0">
      <w:lvlJc w:val="left"/>
      <w:lvlText w:val="(%1)"/>
      <w:numFmt w:val="lowerLetter"/>
      <w:start w:val="6"/>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1"/>
    </w:lvl>
    <w:lvl w:ilvl="1">
      <w:lvlJc w:val="left"/>
      <w:lvlText w:val="-"/>
      <w:numFmt w:val="bullet"/>
      <w:start w:val="1"/>
    </w:lvl>
  </w:abstractNum>
  <w:abstractNum w:abstractNumId="88">
    <w:nsid w:val="555C55B5"/>
    <w:multiLevelType w:val="hybridMultilevel"/>
    <w:lvl w:ilvl="0">
      <w:lvlJc w:val="left"/>
      <w:lvlText w:val="(%1)"/>
      <w:numFmt w:val="lowerLetter"/>
      <w:start w:val="5"/>
    </w:lvl>
  </w:abstractNum>
  <w:abstractNum w:abstractNumId="89">
    <w:nsid w:val="3FA62ACA"/>
    <w:multiLevelType w:val="hybridMultilevel"/>
    <w:lvl w:ilvl="0">
      <w:lvlJc w:val="left"/>
      <w:lvlText w:val="(%1)"/>
      <w:numFmt w:val="lowerLetter"/>
      <w:start w:val="1"/>
    </w:lvl>
    <w:lvl w:ilvl="1">
      <w:lvlJc w:val="left"/>
      <w:lvlText w:val="-"/>
      <w:numFmt w:val="bullet"/>
      <w:start w:val="1"/>
    </w:lvl>
  </w:abstractNum>
  <w:abstractNum w:abstractNumId="90">
    <w:nsid w:val="14FCE74E"/>
    <w:multiLevelType w:val="hybridMultilevel"/>
    <w:lvl w:ilvl="0">
      <w:lvlJc w:val="left"/>
      <w:lvlText w:val="\emdash "/>
      <w:numFmt w:val="bullet"/>
      <w:start w:val="1"/>
    </w:lvl>
  </w:abstractNum>
  <w:abstractNum w:abstractNumId="91">
    <w:nsid w:val="6A3DD3E8"/>
    <w:multiLevelType w:val="hybridMultilevel"/>
    <w:lvl w:ilvl="0">
      <w:lvlJc w:val="left"/>
      <w:lvlText w:val="(%1)"/>
      <w:numFmt w:val="lowerRoman"/>
      <w:start w:val="1"/>
    </w:lvl>
  </w:abstractNum>
  <w:abstractNum w:abstractNumId="92">
    <w:nsid w:val="71C91298"/>
    <w:multiLevelType w:val="hybridMultilevel"/>
    <w:lvl w:ilvl="0">
      <w:lvlJc w:val="left"/>
      <w:lvlText w:val="(%1)"/>
      <w:numFmt w:val="lowerRoman"/>
      <w:start w:val="2"/>
    </w:lvl>
  </w:abstractNum>
  <w:abstractNum w:abstractNumId="93">
    <w:nsid w:val="9DAF632"/>
    <w:multiLevelType w:val="hybridMultilevel"/>
    <w:lvl w:ilvl="0">
      <w:lvlJc w:val="left"/>
      <w:lvlText w:val="%1."/>
      <w:numFmt w:val="decimal"/>
      <w:start w:val="1"/>
    </w:lvl>
  </w:abstractNum>
  <w:abstractNum w:abstractNumId="94">
    <w:nsid w:val="53299938"/>
    <w:multiLevelType w:val="hybridMultilevel"/>
    <w:lvl w:ilvl="0">
      <w:lvlJc w:val="left"/>
      <w:lvlText w:val="%1."/>
      <w:numFmt w:val="decimal"/>
      <w:start w:val="4"/>
    </w:lvl>
  </w:abstractNum>
  <w:abstractNum w:abstractNumId="95">
    <w:nsid w:val="1FBFE8E0"/>
    <w:multiLevelType w:val="hybridMultilevel"/>
    <w:lvl w:ilvl="0">
      <w:lvlJc w:val="left"/>
      <w:lvlText w:val="%1."/>
      <w:numFmt w:val="decimal"/>
      <w:start w:val="6"/>
    </w:lvl>
  </w:abstractNum>
  <w:abstractNum w:abstractNumId="96">
    <w:nsid w:val="5092CA79"/>
    <w:multiLevelType w:val="hybridMultilevel"/>
    <w:lvl w:ilvl="0">
      <w:lvlJc w:val="left"/>
      <w:lvlText w:val="1"/>
      <w:numFmt w:val="bullet"/>
      <w:start w:val="1"/>
    </w:lvl>
  </w:abstractNum>
  <w:abstractNum w:abstractNumId="97">
    <w:nsid w:val="1D545C4D"/>
    <w:multiLevelType w:val="hybridMultilevel"/>
    <w:lvl w:ilvl="0">
      <w:lvlJc w:val="left"/>
      <w:lvlText w:val="2"/>
      <w:numFmt w:val="bullet"/>
      <w:start w:val="1"/>
    </w:lvl>
  </w:abstractNum>
  <w:abstractNum w:abstractNumId="98">
    <w:nsid w:val="59ADEA3D"/>
    <w:multiLevelType w:val="hybridMultilevel"/>
    <w:lvl w:ilvl="0">
      <w:lvlJc w:val="left"/>
      <w:lvlText w:val="3"/>
      <w:numFmt w:val="bullet"/>
      <w:start w:val="1"/>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lowerRoman"/>
      <w:start w:val="2"/>
    </w:lvl>
  </w:abstractNum>
  <w:abstractNum w:abstractNumId="101">
    <w:nsid w:val="1D9F6E5F"/>
    <w:multiLevelType w:val="hybridMultilevel"/>
    <w:lvl w:ilvl="0">
      <w:lvlJc w:val="left"/>
      <w:lvlText w:val="%1."/>
      <w:numFmt w:val="decimal"/>
      <w:start w:val="2"/>
    </w:lvl>
  </w:abstractNum>
  <w:abstractNum w:abstractNumId="102">
    <w:nsid w:val="97E1B4E"/>
    <w:multiLevelType w:val="hybridMultilevel"/>
    <w:lvl w:ilvl="0">
      <w:lvlJc w:val="left"/>
      <w:lvlText w:val="%1."/>
      <w:numFmt w:val="decimal"/>
      <w:start w:val="2"/>
    </w:lvl>
  </w:abstractNum>
  <w:abstractNum w:abstractNumId="103">
    <w:nsid w:val="51088277"/>
    <w:multiLevelType w:val="hybridMultilevel"/>
    <w:lvl w:ilvl="0">
      <w:lvlJc w:val="left"/>
      <w:lvlText w:val="%1."/>
      <w:numFmt w:val="decimal"/>
      <w:start w:val="6"/>
    </w:lvl>
  </w:abstractNum>
  <w:abstractNum w:abstractNumId="104">
    <w:nsid w:val="1CA0C5FA"/>
    <w:multiLevelType w:val="hybridMultilevel"/>
    <w:lvl w:ilvl="0">
      <w:lvlJc w:val="left"/>
      <w:lvlText w:val="%1."/>
      <w:numFmt w:val="decimal"/>
      <w:start w:val="7"/>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1)"/>
      <w:numFmt w:val="lowerLetter"/>
      <w:start w:val="1"/>
    </w:lvl>
    <w:lvl w:ilvl="1">
      <w:lvlJc w:val="left"/>
      <w:lvlText w:val="•"/>
      <w:numFmt w:val="bullet"/>
      <w:start w:val="1"/>
    </w:lvl>
  </w:abstractNum>
  <w:abstractNum w:abstractNumId="112">
    <w:nsid w:val="3C5991AA"/>
    <w:multiLevelType w:val="hybridMultilevel"/>
    <w:lvl w:ilvl="0">
      <w:lvlJc w:val="left"/>
      <w:lvlText w:val="•"/>
      <w:numFmt w:val="bullet"/>
      <w:start w:val="1"/>
    </w:lvl>
  </w:abstractNum>
  <w:abstractNum w:abstractNumId="113">
    <w:nsid w:val="4BD8591A"/>
    <w:multiLevelType w:val="hybridMultilevel"/>
    <w:lvl w:ilvl="0">
      <w:lvlJc w:val="left"/>
      <w:lvlText w:val="(%1)"/>
      <w:numFmt w:val="lowerLetter"/>
      <w:start w:val="1"/>
    </w:lvl>
  </w:abstractNum>
  <w:abstractNum w:abstractNumId="114">
    <w:nsid w:val="78DF6A55"/>
    <w:multiLevelType w:val="hybridMultilevel"/>
    <w:lvl w:ilvl="0">
      <w:lvlJc w:val="left"/>
      <w:lvlText w:val="(%1)"/>
      <w:numFmt w:val="lowerLetter"/>
      <w:start w:val="1"/>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2019-12-06T01:36:44Z</dcterms:created>
  <dcterms:modified xsi:type="dcterms:W3CDTF">2019-12-06T01:36:44Z</dcterms:modified>
</cp:coreProperties>
</file>