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208915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Date of Report (Date of earliest event reported): January 25, 2007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25, 2007, Waste Management, Inc. (the “Company”) entered into an employment agreement with Michael Jay Romans, Senior Vice President</w:t>
      </w:r>
    </w:p>
    <w:p>
      <w:pPr>
        <w:spacing w:after="0" w:line="46"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 People. Mr. Romans joins the Company from St. Joe Company, a real estate development company. Prior to that he was Senior Vice President of Human Resources for Hughes Supply, the largest distributor of supplies to builders and contractors, which was acquired by Home Depot in 2006.</w:t>
      </w:r>
    </w:p>
    <w:p>
      <w:pPr>
        <w:spacing w:after="0" w:line="53"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agreement is for a term of two years, and automatically renews for successive one-year periods thereafter. During the employment period, Mr. Romans shall be paid a minimum base salary of $375,000 per year and shall be entitled to a bonus in accordance with the Company’s incentive compensation plan. Mr. Romans shall have a target annual bonus of 75% of his base salary, although his actual bonus may range from 0 — 150% of his base salary, depending on the achievement of certain performance goals. In order to compensate Mr. Romans for forfeited incentives from his prior employer, his agreement provides that he will be granted 10,000 restricted stock units under the Company’s long-term incentive plan, which will be governed by the terms and conditions of the plan and the award agreement. The restricted stock units shall vest in their entirety three years after the date of grant unless earlier forfeited or canceled in accordance with the provisions thereof. Additionally, Mr. Romans shall be entitled to certain perquisites, including an annual automobile allowance, financial planning services, social organization initiation fees and dues and an annual physical examination. Mr. Romans shall also be entitled to participate in or receive benefits under any and all plans and programs made available to executive employees of the Company generally.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the event of the termination of Mr. Romans’ employment by the Company, he will be entitled to certain severance payments. Specifically, if</w:t>
      </w:r>
    </w:p>
    <w:p>
      <w:pPr>
        <w:spacing w:after="0" w:line="3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Mr. Romans is terminated without cause, in addition to the benefits all employees receive, including all accrued but unpaid base salary and payments under applicable Company plans, policies and arrangements, Mr. Romans generally is entitled to cash payments equal to two times his base salary and target bonus; continuation of all health and welfare plan benefits for him and his family for the lesser of two years, his death or until he becomes covered by a subsequent employer; and a pro-rated bonus payment for the year in which he is terminated. In the event Mr. Romans is terminated without cause or leaves the Company for good reason in connection with a change in control, he generally is entitled to the same benefits that he would receive as described for a termination without cause, except that his cash payment will be three times his base salary and target bonus, benefits will continue for a period of three years and he will receive 100% of the maximum bonus available, pro rated to the date of termination. In accordance with the Company’s Executive Severance Policy,</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Romans’ agreement provides that if the present value of severance benefits payable under his agreement would exceed 2.99 times the sum of his then current base salary and bonus (the “maximum severance amount”), the payments to Mr. Romans will be reduced to an amount not to exceed the maximum severance amount. In the event Mr. Romans’ employment is terminated by reason of death or total disability, he generally will receive all amounts accrued but unpaid at the date of termination, a pro rated bonus payment and any benefits to which he is entitled pursuant to the plans, policies and arrangements of the Company in accordance with their terms. Mr. Romans’ agreement also states that if the Company, within one year of termination of Mr. Romans’ employment for any reason other than cause, determines that he could have been terminated for cause, the Company shall have the right to stop any payments otherwise payable and Mr. Romans shall be obligated to repay to the Company any of the severance benefits he received.</w:t>
      </w:r>
    </w:p>
    <w:p>
      <w:pPr>
        <w:spacing w:after="0" w:line="6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Mr. Romans’ agreement also contains certain restrictive covenants, including covenants not to compete or solicit Company customers or employees for a period of two years after the termination of his employment, and a covenant not to disparage the Company.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terms “cause,” “good reason,” and “total disability” are all defined in Mr. Romans’ employment agreement, which is attached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Employment Agreement between Waste Management, Inc. and Michael Jay Romans dated January 25,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January 31, 2007</w:t>
            </w:r>
          </w:p>
        </w:tc>
        <w:tc>
          <w:tcPr>
            <w:tcW w:w="6220" w:type="dxa"/>
            <w:vAlign w:val="bottom"/>
            <w:gridSpan w:val="2"/>
          </w:tcPr>
          <w:p>
            <w:pPr>
              <w:ind w:left="18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52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38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56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jc w:val="right"/>
              <w:ind w:right="259"/>
              <w:spacing w:after="0"/>
              <w:rPr>
                <w:sz w:val="20"/>
                <w:szCs w:val="20"/>
                <w:color w:val="auto"/>
              </w:rPr>
            </w:pPr>
            <w:r>
              <w:rPr>
                <w:rFonts w:ascii="Arial" w:cs="Arial" w:eastAsia="Arial" w:hAnsi="Arial"/>
                <w:sz w:val="18"/>
                <w:szCs w:val="18"/>
                <w:color w:val="auto"/>
              </w:rPr>
              <w:t>10.1</w:t>
            </w:r>
          </w:p>
        </w:tc>
        <w:tc>
          <w:tcPr>
            <w:tcW w:w="10400" w:type="dxa"/>
            <w:vAlign w:val="bottom"/>
            <w:gridSpan w:val="4"/>
          </w:tcPr>
          <w:p>
            <w:pPr>
              <w:ind w:left="560"/>
              <w:spacing w:after="0"/>
              <w:rPr>
                <w:sz w:val="20"/>
                <w:szCs w:val="20"/>
                <w:color w:val="auto"/>
              </w:rPr>
            </w:pPr>
            <w:r>
              <w:rPr>
                <w:rFonts w:ascii="Arial" w:cs="Arial" w:eastAsia="Arial" w:hAnsi="Arial"/>
                <w:sz w:val="18"/>
                <w:szCs w:val="18"/>
                <w:color w:val="auto"/>
              </w:rPr>
              <w:t>Employment Agreement between Waste Management, Inc. and Michael Jay Romans dated January 25, 2007.</w:t>
            </w:r>
          </w:p>
        </w:tc>
      </w:tr>
    </w:tbl>
    <w:p>
      <w:pPr>
        <w:sectPr>
          <w:pgSz w:w="11900" w:h="16838" w:orient="portrait"/>
          <w:cols w:equalWidth="0" w:num="1">
            <w:col w:w="11420"/>
          </w:cols>
          <w:pgMar w:left="240" w:top="945"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This EMPLOYMENT AGREEMENT (the “Agreement”) is made and entered into on this 25</w:t>
      </w:r>
      <w:r>
        <w:rPr>
          <w:rFonts w:ascii="Arial" w:cs="Arial" w:eastAsia="Arial" w:hAnsi="Arial"/>
          <w:sz w:val="15"/>
          <w:szCs w:val="15"/>
          <w:color w:val="auto"/>
        </w:rPr>
        <w:t>th</w:t>
      </w:r>
      <w:r>
        <w:rPr>
          <w:rFonts w:ascii="Arial" w:cs="Arial" w:eastAsia="Arial" w:hAnsi="Arial"/>
          <w:sz w:val="18"/>
          <w:szCs w:val="18"/>
          <w:color w:val="auto"/>
        </w:rPr>
        <w:t xml:space="preserve"> day of January 2007, but effective as of the Employment Date set forth below, by and between Waste Management, Inc. (the “Company”), and Michael Jay Romans (the “Executive”).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 Employment.</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shall employ Executive, and Executive shall be employed by the Company upon the terms and subject to the conditions set forth in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 Term of Employment.</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period of Executive’s employment under this Agreement shall commence on January 25, 2007 (“Employment Date”), and shall continue for a period of two (2) years, and shall automatically be renewed for successive one (1) year periods on each anniversary of the Employment Date thereafter, unless Executive’s employment is terminated in accordance with Section 5 below. The period during which Executive is employed hereunder shall be referred to as the “Employment Period.”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3. Duties and Responsibilities.</w:t>
      </w:r>
    </w:p>
    <w:p>
      <w:pPr>
        <w:spacing w:after="0" w:line="121" w:lineRule="exact"/>
        <w:rPr>
          <w:sz w:val="20"/>
          <w:szCs w:val="20"/>
          <w:color w:val="auto"/>
        </w:rPr>
      </w:pPr>
    </w:p>
    <w:p>
      <w:pPr>
        <w:ind w:firstLine="233"/>
        <w:spacing w:after="0" w:line="312" w:lineRule="auto"/>
        <w:tabs>
          <w:tab w:leader="none" w:pos="47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Executive shall serve as the Senior Vice President, People.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or the Board of Directors (the “Board”) of the Company.</w:t>
      </w:r>
    </w:p>
    <w:p>
      <w:pPr>
        <w:spacing w:after="0" w:line="38" w:lineRule="exact"/>
        <w:rPr>
          <w:rFonts w:ascii="Arial" w:cs="Arial" w:eastAsia="Arial" w:hAnsi="Arial"/>
          <w:sz w:val="16"/>
          <w:szCs w:val="16"/>
          <w:color w:val="auto"/>
        </w:rPr>
      </w:pPr>
    </w:p>
    <w:p>
      <w:pPr>
        <w:ind w:right="20" w:firstLine="233"/>
        <w:spacing w:after="0" w:line="25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the provisions of Section 10 of this Agreement), be involved in charitable and professional activities, and, with the prior written consent of the Board, serve on boards of other for-profit entities; provided such activities do not materially interfere with the performance of his duties hereunder (however, the Board does not typically allow officers to serve on more than one public company board at a time).</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4. Compensation and Benefits.</w:t>
      </w:r>
    </w:p>
    <w:p>
      <w:pPr>
        <w:spacing w:after="0" w:line="117" w:lineRule="exact"/>
        <w:rPr>
          <w:sz w:val="20"/>
          <w:szCs w:val="20"/>
          <w:color w:val="auto"/>
        </w:rPr>
      </w:pPr>
    </w:p>
    <w:p>
      <w:pPr>
        <w:ind w:right="280" w:firstLine="233"/>
        <w:spacing w:after="0" w:line="314" w:lineRule="auto"/>
        <w:tabs>
          <w:tab w:leader="none" w:pos="4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the annual rate of Three Hundred Seventy-Five</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Dollars ($375,000.00)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 w:name="page8"/>
    <w:bookmarkEnd w:id="7"/>
    <w:p>
      <w:pPr>
        <w:ind w:firstLine="233"/>
        <w:spacing w:after="0" w:line="274" w:lineRule="auto"/>
        <w:tabs>
          <w:tab w:leader="none" w:pos="4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During the Employment Period, Executive will be entitled to participate in an annual incentive compensation plan of the Company, as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Management Development and Compensation Committee of the Board (“Compensation Committee”) from time to time. Executive’s target annual bonus will be seventy-five percent (75%) of his Base Salary in effect for such year (the “Target Bonus”), and his actual annual bonus may range from 0% to 150% of Base Salary (</w:t>
      </w:r>
      <w:r>
        <w:rPr>
          <w:rFonts w:ascii="Arial" w:cs="Arial" w:eastAsia="Arial" w:hAnsi="Arial"/>
          <w:sz w:val="17"/>
          <w:szCs w:val="17"/>
          <w:i w:val="1"/>
          <w:iCs w:val="1"/>
          <w:color w:val="auto"/>
        </w:rPr>
        <w:t>i.e</w:t>
      </w:r>
      <w:r>
        <w:rPr>
          <w:rFonts w:ascii="Arial" w:cs="Arial" w:eastAsia="Arial" w:hAnsi="Arial"/>
          <w:sz w:val="17"/>
          <w:szCs w:val="17"/>
          <w:color w:val="auto"/>
        </w:rPr>
        <w:t>., a maximum possible bonus of two times the Target Bonus), and will be determined based upon (i) the achievement of certain corporate performance goals, as may be established and approved by from time to time by the Compensation Committee, and (ii) the achievement of personal performance goals as may be established by Executive’s immediate supervisor.</w:t>
      </w:r>
    </w:p>
    <w:p>
      <w:pPr>
        <w:spacing w:after="0" w:line="7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Executive’s annual bonus for calendar year 2007 will be prorated based on the number of calendar days in 2007 from and after the Employment Date, divided by 365 days, provided Executive remains employed through the end of the 2007 calendar year. The annual bonus for calendar year 2007 will be paid in 2008, if earned, at the same time as similarly situated executive employees receive or would otherwise receive their bonuses, subject to the terms of the annual incentive program generally applicable to similarly situated employees.</w:t>
      </w:r>
    </w:p>
    <w:p>
      <w:pPr>
        <w:spacing w:after="0" w:line="75" w:lineRule="exact"/>
        <w:rPr>
          <w:sz w:val="20"/>
          <w:szCs w:val="20"/>
          <w:color w:val="auto"/>
        </w:rPr>
      </w:pPr>
    </w:p>
    <w:p>
      <w:pPr>
        <w:ind w:right="40" w:firstLine="233"/>
        <w:spacing w:after="0" w:line="258" w:lineRule="auto"/>
        <w:tabs>
          <w:tab w:leader="none" w:pos="4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 Plans and Vacation. </w:t>
      </w:r>
      <w:r>
        <w:rPr>
          <w:rFonts w:ascii="Arial" w:cs="Arial" w:eastAsia="Arial" w:hAnsi="Arial"/>
          <w:sz w:val="18"/>
          <w:szCs w:val="18"/>
          <w:color w:val="auto"/>
        </w:rPr>
        <w:t>Subject to the terms of such plans, Executive shall be eligible to participate in or receive benefits under any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generally applicable to similarly-situated employees.</w:t>
      </w:r>
    </w:p>
    <w:p>
      <w:pPr>
        <w:spacing w:after="0" w:line="8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During the Employment Period, Executive shall be entitled to vacation each year in accordance with the Company’s policies in effect from time to time, but in no event less than four (4) weeks paid vacation per calendar year. Pursuant to Company policy, vacation days may not be carried over from year to year, and vacation not used by the end of the year is forfeited.</w:t>
      </w:r>
    </w:p>
    <w:p>
      <w:pPr>
        <w:spacing w:after="0" w:line="69" w:lineRule="exact"/>
        <w:rPr>
          <w:sz w:val="20"/>
          <w:szCs w:val="20"/>
          <w:color w:val="auto"/>
        </w:rPr>
      </w:pPr>
    </w:p>
    <w:p>
      <w:pPr>
        <w:ind w:right="60" w:firstLine="233"/>
        <w:spacing w:after="0" w:line="313" w:lineRule="auto"/>
        <w:tabs>
          <w:tab w:leader="none" w:pos="49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 Reimbursement. </w:t>
      </w:r>
      <w:r>
        <w:rPr>
          <w:rFonts w:ascii="Arial" w:cs="Arial" w:eastAsia="Arial" w:hAnsi="Arial"/>
          <w:sz w:val="17"/>
          <w:szCs w:val="17"/>
          <w:color w:val="auto"/>
        </w:rPr>
        <w:t>The Company shall promptly reimburse Executive for the ordinary and necessary business expenses incurred by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performance of the duties hereunder in accordance with the Company’s customary practices applicable to its executive officers.</w:t>
      </w:r>
    </w:p>
    <w:p>
      <w:pPr>
        <w:spacing w:after="0" w:line="30" w:lineRule="exact"/>
        <w:rPr>
          <w:rFonts w:ascii="Arial" w:cs="Arial" w:eastAsia="Arial" w:hAnsi="Arial"/>
          <w:sz w:val="17"/>
          <w:szCs w:val="17"/>
          <w:b w:val="1"/>
          <w:bCs w:val="1"/>
          <w:color w:val="auto"/>
        </w:rPr>
      </w:pPr>
    </w:p>
    <w:p>
      <w:pPr>
        <w:ind w:right="120" w:firstLine="233"/>
        <w:spacing w:after="0" w:line="282" w:lineRule="auto"/>
        <w:tabs>
          <w:tab w:leader="none" w:pos="47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all perquisites provided to Senior Vice Presidents of the Company as approved by the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as they may exist from time to time, including the following:</w:t>
      </w:r>
    </w:p>
    <w:p>
      <w:pPr>
        <w:spacing w:after="0" w:line="57" w:lineRule="exact"/>
        <w:rPr>
          <w:rFonts w:ascii="Arial" w:cs="Arial" w:eastAsia="Arial" w:hAnsi="Arial"/>
          <w:sz w:val="18"/>
          <w:szCs w:val="18"/>
          <w:b w:val="1"/>
          <w:bCs w:val="1"/>
          <w:color w:val="auto"/>
        </w:rPr>
      </w:pPr>
    </w:p>
    <w:p>
      <w:pPr>
        <w:ind w:left="660" w:right="380" w:hanging="436"/>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Financial planning services at actual cost, and not to exceed Fifteen Thousand Dollars ($15,000.00) annually;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left="660" w:right="80" w:hanging="436"/>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Social organization initiation fees and dues with a benefit of a one-time initiation fee at actual cost (not to exceed ten percent (10%) of Executive’s Base Salary), and monthly dues at actual cost (not to exceed $500 per month);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physical examination on a program designated by the Company.</w:t>
      </w:r>
    </w:p>
    <w:p>
      <w:pPr>
        <w:spacing w:after="0" w:line="113" w:lineRule="exact"/>
        <w:rPr>
          <w:sz w:val="20"/>
          <w:szCs w:val="20"/>
          <w:color w:val="auto"/>
        </w:rPr>
      </w:pPr>
    </w:p>
    <w:p>
      <w:pPr>
        <w:ind w:firstLine="233"/>
        <w:spacing w:after="0" w:line="298" w:lineRule="auto"/>
        <w:tabs>
          <w:tab w:leader="none" w:pos="45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Based Incentive Awards. </w:t>
      </w:r>
      <w:r>
        <w:rPr>
          <w:rFonts w:ascii="Arial" w:cs="Arial" w:eastAsia="Arial" w:hAnsi="Arial"/>
          <w:sz w:val="16"/>
          <w:szCs w:val="16"/>
          <w:color w:val="auto"/>
        </w:rPr>
        <w:t>In order to compensate Executive for the forfeited awards from his prior employer, on or about the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Company will grant Executive a one-time award of 10,000 Restricted Stock Units equivalent to the Company’s common stock (“RSU’s”) pursuant to the Waste Management, Inc. 2004 Stock Incentive Plan. This grant of RSU’s will be subject to the restrictions imposed by, and governed by the provisions of, the 2004 Stock Incentive Plan and the award agreement issued to Executive in connection thereto. The RSU’s shall vest in their entirety on the third (3</w:t>
      </w:r>
      <w:r>
        <w:rPr>
          <w:rFonts w:ascii="Arial" w:cs="Arial" w:eastAsia="Arial" w:hAnsi="Arial"/>
          <w:sz w:val="13"/>
          <w:szCs w:val="13"/>
          <w:color w:val="auto"/>
        </w:rPr>
        <w:t>rd</w:t>
      </w:r>
      <w:r>
        <w:rPr>
          <w:rFonts w:ascii="Arial" w:cs="Arial" w:eastAsia="Arial" w:hAnsi="Arial"/>
          <w:sz w:val="16"/>
          <w:szCs w:val="16"/>
          <w:color w:val="auto"/>
        </w:rPr>
        <w:t>) anniversary of the grant date of the award, unless earlier vested or forfeited pursuant to the terms of the 2004 Stock Incentive Plan or award agreement.</w:t>
      </w:r>
    </w:p>
    <w:p>
      <w:pPr>
        <w:spacing w:after="0" w:line="5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On or about January 29, 2007, Executive will also be entitled to receive grant(s) under the Company’s equity based compensation plan(s) to the same extent and on the same basis as other similarly-situated executive employees generally.</w:t>
      </w:r>
    </w:p>
    <w:p>
      <w:pPr>
        <w:spacing w:after="0" w:line="58" w:lineRule="exact"/>
        <w:rPr>
          <w:sz w:val="20"/>
          <w:szCs w:val="20"/>
          <w:color w:val="auto"/>
        </w:rPr>
      </w:pPr>
    </w:p>
    <w:p>
      <w:pPr>
        <w:ind w:right="60" w:firstLine="233"/>
        <w:spacing w:after="0" w:line="266" w:lineRule="auto"/>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Office Location and Residence Relocation. </w:t>
      </w:r>
      <w:r>
        <w:rPr>
          <w:rFonts w:ascii="Arial" w:cs="Arial" w:eastAsia="Arial" w:hAnsi="Arial"/>
          <w:sz w:val="18"/>
          <w:szCs w:val="18"/>
          <w:color w:val="auto"/>
        </w:rPr>
        <w:t>Executive will maintain his business office at the Company’s corporate offices in Houston, Texas.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also relocate his residence to the Houston, Texas area. Executive’s relocation of his residence from Florida to the Houston, Texas area will be eligible for coverage under the Company’s relocation plan.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 Termination of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Executive’s employment hereunder may be terminated during the Employment Period under the following circumstances:</w:t>
      </w:r>
    </w:p>
    <w:p>
      <w:pPr>
        <w:spacing w:after="0" w:line="113" w:lineRule="exact"/>
        <w:rPr>
          <w:sz w:val="20"/>
          <w:szCs w:val="20"/>
          <w:color w:val="auto"/>
        </w:rPr>
      </w:pPr>
    </w:p>
    <w:p>
      <w:pPr>
        <w:ind w:left="480" w:hanging="247"/>
        <w:spacing w:after="0"/>
        <w:tabs>
          <w:tab w:leader="none" w:pos="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Executive’s employment hereunder shall terminate upon Executive’s death.</w:t>
      </w:r>
    </w:p>
    <w:p>
      <w:pPr>
        <w:spacing w:after="0" w:line="117" w:lineRule="exact"/>
        <w:rPr>
          <w:rFonts w:ascii="Arial" w:cs="Arial" w:eastAsia="Arial" w:hAnsi="Arial"/>
          <w:sz w:val="18"/>
          <w:szCs w:val="18"/>
          <w:b w:val="1"/>
          <w:bCs w:val="1"/>
          <w:color w:val="auto"/>
        </w:rPr>
      </w:pPr>
    </w:p>
    <w:p>
      <w:pPr>
        <w:jc w:val="both"/>
        <w:ind w:right="20" w:firstLine="233"/>
        <w:spacing w:after="0" w:line="258" w:lineRule="auto"/>
        <w:tabs>
          <w:tab w:leader="none" w:pos="48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Disability. </w:t>
      </w:r>
      <w:r>
        <w:rPr>
          <w:rFonts w:ascii="Arial" w:cs="Arial" w:eastAsia="Arial" w:hAnsi="Arial"/>
          <w:sz w:val="18"/>
          <w:szCs w:val="18"/>
          <w:color w:val="auto"/>
        </w:rPr>
        <w:t>The Company may terminate Executive’s employment hereunder upon Executive becoming “Totally Disabled.” For purposes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 w:name="page10"/>
    <w:bookmarkEnd w:id="9"/>
    <w:p>
      <w:pPr>
        <w:ind w:left="-40" w:right="80" w:firstLine="233"/>
        <w:spacing w:after="0" w:line="282" w:lineRule="auto"/>
        <w:tabs>
          <w:tab w:leader="none" w:pos="427"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for Cause. </w:t>
      </w:r>
      <w:r>
        <w:rPr>
          <w:rFonts w:ascii="Arial" w:cs="Arial" w:eastAsia="Arial" w:hAnsi="Arial"/>
          <w:sz w:val="18"/>
          <w:szCs w:val="18"/>
          <w:color w:val="auto"/>
        </w:rPr>
        <w:t>The Company may terminate Executive’s employment hereunder for “Cause” at any time after providing a</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Termination for Cause to Executive.</w:t>
      </w:r>
    </w:p>
    <w:p>
      <w:pPr>
        <w:spacing w:after="0" w:line="57" w:lineRule="exact"/>
        <w:rPr>
          <w:rFonts w:ascii="Arial" w:cs="Arial" w:eastAsia="Arial" w:hAnsi="Arial"/>
          <w:sz w:val="18"/>
          <w:szCs w:val="18"/>
          <w:b w:val="1"/>
          <w:bCs w:val="1"/>
          <w:color w:val="auto"/>
        </w:rPr>
      </w:pPr>
    </w:p>
    <w:p>
      <w:pPr>
        <w:ind w:left="620" w:hanging="436"/>
        <w:spacing w:after="0" w:line="271" w:lineRule="auto"/>
        <w:tabs>
          <w:tab w:leader="none" w:pos="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contendre </w:t>
      </w:r>
      <w:r>
        <w:rPr>
          <w:rFonts w:ascii="Arial" w:cs="Arial" w:eastAsia="Arial" w:hAnsi="Arial"/>
          <w:sz w:val="17"/>
          <w:szCs w:val="17"/>
          <w:color w:val="auto"/>
        </w:rPr>
        <w:t>to, any felony; (D) willfully or intentionally caused material injury to the Company, its property, or its assets; (E) disclosed to</w:t>
      </w:r>
      <w:r>
        <w:rPr>
          <w:rFonts w:ascii="Arial" w:cs="Arial" w:eastAsia="Arial" w:hAnsi="Arial"/>
          <w:sz w:val="17"/>
          <w:szCs w:val="17"/>
          <w:i w:val="1"/>
          <w:iCs w:val="1"/>
          <w:color w:val="auto"/>
        </w:rPr>
        <w:t xml:space="preserve"> </w:t>
      </w:r>
      <w:r>
        <w:rPr>
          <w:rFonts w:ascii="Arial" w:cs="Arial" w:eastAsia="Arial" w:hAnsi="Arial"/>
          <w:sz w:val="17"/>
          <w:szCs w:val="17"/>
          <w:color w:val="auto"/>
        </w:rPr>
        <w:t>unauthorized person(s) proprietary or Confidential Information of the Company; (F) any material violation or a repeated and willful violation of Company policies or procedures, including but not limited to, the Company’s Code of Business Conduct and Ethics (or any successor policy) then in effect; or (G) breach of any of the covenants set forth in Section 10 hereof.</w:t>
      </w:r>
    </w:p>
    <w:p>
      <w:pPr>
        <w:spacing w:after="0" w:line="84" w:lineRule="exact"/>
        <w:rPr>
          <w:rFonts w:ascii="Arial" w:cs="Arial" w:eastAsia="Arial" w:hAnsi="Arial"/>
          <w:sz w:val="17"/>
          <w:szCs w:val="17"/>
          <w:color w:val="auto"/>
        </w:rPr>
      </w:pPr>
    </w:p>
    <w:p>
      <w:pPr>
        <w:ind w:left="620" w:right="40" w:hanging="436"/>
        <w:spacing w:after="0" w:line="264" w:lineRule="auto"/>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w:t>
      </w:r>
    </w:p>
    <w:p>
      <w:pPr>
        <w:spacing w:after="0" w:line="69" w:lineRule="exact"/>
        <w:rPr>
          <w:rFonts w:ascii="Arial" w:cs="Arial" w:eastAsia="Arial" w:hAnsi="Arial"/>
          <w:sz w:val="18"/>
          <w:szCs w:val="18"/>
          <w:color w:val="auto"/>
        </w:rPr>
      </w:pPr>
    </w:p>
    <w:p>
      <w:pPr>
        <w:ind w:left="-40" w:right="280" w:firstLine="233"/>
        <w:spacing w:after="0" w:line="282" w:lineRule="auto"/>
        <w:tabs>
          <w:tab w:leader="none" w:pos="447"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Executive may terminate his employment hereunder with or without Good Reason at any time upon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58" w:lineRule="exact"/>
        <w:rPr>
          <w:sz w:val="20"/>
          <w:szCs w:val="20"/>
          <w:color w:val="auto"/>
        </w:rPr>
      </w:pPr>
    </w:p>
    <w:p>
      <w:pPr>
        <w:ind w:left="620" w:right="80" w:hanging="436"/>
        <w:spacing w:after="0" w:line="269"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termination for “Good Reason” means a resignation of employment by Executive by written notice (“Notice of Termination for Good Reason”) given to the Company’s Chief Executive Officer or President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Death, Total Disability, or Cause, or temporarily as a result of Executive’s illness or other absence); provided that if the Company becomes a fifty percent or more subsidiary of any other entity, Executive shall be deemed to have a substantial change in the core duties of his position unless he is also the equivalent of a Senior Vice-President of the Company or such other successor entity of the ultimate parent entity; (B) removal or the non-reelection of Executive from the officer position with the Company specified herein, or removal of Executive from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1" w:right="259" w:bottom="1440" w:gutter="0" w:footer="0" w:header="0"/>
        </w:sectPr>
      </w:pPr>
    </w:p>
    <w:bookmarkStart w:id="10" w:name="page11"/>
    <w:bookmarkEnd w:id="10"/>
    <w:p>
      <w:pPr>
        <w:ind w:left="660" w:right="220"/>
        <w:spacing w:after="0" w:line="312" w:lineRule="auto"/>
        <w:rPr>
          <w:sz w:val="20"/>
          <w:szCs w:val="20"/>
          <w:color w:val="auto"/>
        </w:rPr>
      </w:pPr>
      <w:r>
        <w:rPr>
          <w:rFonts w:ascii="Arial" w:cs="Arial" w:eastAsia="Arial" w:hAnsi="Arial"/>
          <w:sz w:val="16"/>
          <w:szCs w:val="16"/>
          <w:color w:val="auto"/>
        </w:rPr>
        <w:t>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52" w:lineRule="exact"/>
        <w:rPr>
          <w:sz w:val="20"/>
          <w:szCs w:val="20"/>
          <w:color w:val="auto"/>
        </w:rPr>
      </w:pPr>
    </w:p>
    <w:p>
      <w:pPr>
        <w:ind w:left="660" w:right="20" w:hanging="436"/>
        <w:spacing w:after="0" w:line="28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all facts and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days nor more than sixty (60) days after the date such Notice of Termination for Good Reason is given; provided that in the case of the events set forth in Sections 5(d)(i)(A) or (B), the date may be five</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(5) business days after the giving of such notice. The Company, at its sole discretion, may waive this requirement.</w:t>
      </w:r>
    </w:p>
    <w:p>
      <w:pPr>
        <w:spacing w:after="0" w:line="99" w:lineRule="exact"/>
        <w:rPr>
          <w:sz w:val="20"/>
          <w:szCs w:val="20"/>
          <w:color w:val="auto"/>
        </w:rPr>
      </w:pPr>
    </w:p>
    <w:p>
      <w:pPr>
        <w:ind w:right="380" w:firstLine="233"/>
        <w:spacing w:after="0" w:line="282" w:lineRule="auto"/>
        <w:tabs>
          <w:tab w:leader="none" w:pos="467"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w:t>
      </w:r>
      <w:r>
        <w:rPr>
          <w:rFonts w:ascii="Arial" w:cs="Arial" w:eastAsia="Arial" w:hAnsi="Arial"/>
          <w:sz w:val="18"/>
          <w:szCs w:val="18"/>
          <w:color w:val="auto"/>
        </w:rPr>
        <w:t>The Company may terminate Executive’s employment hereunder without Cause at any time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Executive.</w:t>
      </w:r>
    </w:p>
    <w:p>
      <w:pPr>
        <w:spacing w:after="0" w:line="53" w:lineRule="exact"/>
        <w:rPr>
          <w:rFonts w:ascii="Arial" w:cs="Arial" w:eastAsia="Arial" w:hAnsi="Arial"/>
          <w:sz w:val="18"/>
          <w:szCs w:val="18"/>
          <w:b w:val="1"/>
          <w:bCs w:val="1"/>
          <w:color w:val="auto"/>
        </w:rPr>
      </w:pPr>
    </w:p>
    <w:p>
      <w:pPr>
        <w:ind w:right="360" w:firstLine="233"/>
        <w:spacing w:after="0" w:line="282" w:lineRule="auto"/>
        <w:tabs>
          <w:tab w:leader="none" w:pos="45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Termination. </w:t>
      </w:r>
      <w:r>
        <w:rPr>
          <w:rFonts w:ascii="Arial" w:cs="Arial" w:eastAsia="Arial" w:hAnsi="Arial"/>
          <w:sz w:val="18"/>
          <w:szCs w:val="18"/>
          <w:color w:val="auto"/>
        </w:rPr>
        <w:t>Upon any termination of employment for any reason, Executive shall immediately resign from all Board memberships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positions with the Company or any of its subsidiaries held by him at such time.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6. Compensation Following Termination of Employment.</w:t>
      </w:r>
    </w:p>
    <w:p>
      <w:pPr>
        <w:spacing w:after="0" w:line="121"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the event that Executive’s employment hereunder is terminated in a manner as set forth in Section 5 above, Executive shall be entitled to the compensation and benefits provided under this Section 6, in each case subject to potential reduction as may be required by Section 23, as applicable to the form of termination:</w:t>
      </w:r>
    </w:p>
    <w:p>
      <w:pPr>
        <w:spacing w:after="0" w:line="69" w:lineRule="exact"/>
        <w:rPr>
          <w:sz w:val="20"/>
          <w:szCs w:val="20"/>
          <w:color w:val="auto"/>
        </w:rPr>
      </w:pPr>
    </w:p>
    <w:p>
      <w:pPr>
        <w:ind w:right="100" w:firstLine="233"/>
        <w:spacing w:after="0" w:line="282" w:lineRule="auto"/>
        <w:tabs>
          <w:tab w:leader="none" w:pos="477"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Death. </w:t>
      </w:r>
      <w:r>
        <w:rPr>
          <w:rFonts w:ascii="Arial" w:cs="Arial" w:eastAsia="Arial" w:hAnsi="Arial"/>
          <w:sz w:val="18"/>
          <w:szCs w:val="18"/>
          <w:color w:val="auto"/>
        </w:rPr>
        <w:t>In the event that Executive’s employment is terminated by reason of Executive’s death, the Company shall pay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amounts to Executive’s beneficiary or estate:</w:t>
      </w:r>
    </w:p>
    <w:p>
      <w:pPr>
        <w:spacing w:after="0" w:line="57" w:lineRule="exact"/>
        <w:rPr>
          <w:rFonts w:ascii="Arial" w:cs="Arial" w:eastAsia="Arial" w:hAnsi="Arial"/>
          <w:sz w:val="18"/>
          <w:szCs w:val="18"/>
          <w:b w:val="1"/>
          <w:bCs w:val="1"/>
          <w:color w:val="auto"/>
        </w:rPr>
      </w:pPr>
    </w:p>
    <w:p>
      <w:pPr>
        <w:ind w:left="660" w:hanging="436"/>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prorated bonus or incentive compensation payment for the current calendar year to the extent payments are awarded to similarly-situated executive employees of the Company, and paid at the same time such executive employees are paid.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ind w:left="640" w:hanging="436"/>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as determined and paid in accordance with the terms of such plans, policies and arrangements.</w:t>
      </w:r>
    </w:p>
    <w:p>
      <w:pPr>
        <w:spacing w:after="0" w:line="58" w:lineRule="exact"/>
        <w:rPr>
          <w:rFonts w:ascii="Arial" w:cs="Arial" w:eastAsia="Arial" w:hAnsi="Arial"/>
          <w:sz w:val="18"/>
          <w:szCs w:val="18"/>
          <w:color w:val="auto"/>
        </w:rPr>
      </w:pPr>
    </w:p>
    <w:p>
      <w:pPr>
        <w:ind w:left="-20" w:right="200" w:firstLine="233"/>
        <w:spacing w:after="0" w:line="282" w:lineRule="auto"/>
        <w:tabs>
          <w:tab w:leader="none" w:pos="467"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Reason of Total Disability. </w:t>
      </w:r>
      <w:r>
        <w:rPr>
          <w:rFonts w:ascii="Arial" w:cs="Arial" w:eastAsia="Arial" w:hAnsi="Arial"/>
          <w:sz w:val="18"/>
          <w:szCs w:val="18"/>
          <w:color w:val="auto"/>
        </w:rPr>
        <w:t>In the event that Executive’s employment is terminated by the Company by reason of Executive’s Total</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determined in accordance with Section 5(b)), the Company shall pay the following amounts to Executive:</w:t>
      </w:r>
    </w:p>
    <w:p>
      <w:pPr>
        <w:spacing w:after="0" w:line="58" w:lineRule="exact"/>
        <w:rPr>
          <w:sz w:val="20"/>
          <w:szCs w:val="20"/>
          <w:color w:val="auto"/>
        </w:rPr>
      </w:pPr>
    </w:p>
    <w:p>
      <w:pPr>
        <w:jc w:val="both"/>
        <w:ind w:left="640" w:right="280" w:hanging="436"/>
        <w:spacing w:after="0" w:line="30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prorated bonus or incentive compensation payment for the calendar year in which Executive is terminated to the extent such awards are made to similarly-situated executive employees of the Company, and paid at the same time such executive employees are paid.</w:t>
      </w:r>
    </w:p>
    <w:p>
      <w:pPr>
        <w:spacing w:after="0" w:line="59" w:lineRule="exact"/>
        <w:rPr>
          <w:rFonts w:ascii="Arial" w:cs="Arial" w:eastAsia="Arial" w:hAnsi="Arial"/>
          <w:sz w:val="16"/>
          <w:szCs w:val="16"/>
          <w:color w:val="auto"/>
        </w:rPr>
      </w:pPr>
    </w:p>
    <w:p>
      <w:pPr>
        <w:ind w:left="640" w:right="40" w:hanging="436"/>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(including those referred to in Section 4(c) hereof) shall be determined and paid in accordance with the terms of such plans, policies and arrangements.</w:t>
      </w:r>
    </w:p>
    <w:p>
      <w:pPr>
        <w:spacing w:after="0" w:line="58" w:lineRule="exact"/>
        <w:rPr>
          <w:sz w:val="20"/>
          <w:szCs w:val="20"/>
          <w:color w:val="auto"/>
        </w:rPr>
      </w:pPr>
    </w:p>
    <w:p>
      <w:pPr>
        <w:ind w:left="-20" w:right="400" w:firstLine="233"/>
        <w:spacing w:after="0" w:line="282" w:lineRule="auto"/>
        <w:tabs>
          <w:tab w:leader="none" w:pos="447"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In the event that Executive’s employment is terminated by the Company for Cause, the Company shall pay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to Executive:</w:t>
      </w:r>
    </w:p>
    <w:p>
      <w:pPr>
        <w:spacing w:after="0" w:line="57" w:lineRule="exact"/>
        <w:rPr>
          <w:rFonts w:ascii="Arial" w:cs="Arial" w:eastAsia="Arial" w:hAnsi="Arial"/>
          <w:sz w:val="18"/>
          <w:szCs w:val="18"/>
          <w:b w:val="1"/>
          <w:bCs w:val="1"/>
          <w:color w:val="auto"/>
        </w:rPr>
      </w:pPr>
    </w:p>
    <w:p>
      <w:pPr>
        <w:ind w:left="640" w:right="340" w:hanging="436"/>
        <w:spacing w:after="0" w:line="342" w:lineRule="auto"/>
        <w:tabs>
          <w:tab w:leader="none" w:pos="6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rFonts w:ascii="Arial" w:cs="Arial" w:eastAsia="Arial" w:hAnsi="Arial"/>
          <w:sz w:val="16"/>
          <w:szCs w:val="16"/>
          <w:color w:val="auto"/>
        </w:rPr>
      </w:pPr>
    </w:p>
    <w:p>
      <w:pPr>
        <w:ind w:left="640" w:right="100" w:hanging="436"/>
        <w:spacing w:after="0" w:line="308" w:lineRule="auto"/>
        <w:tabs>
          <w:tab w:leader="none" w:pos="6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rFonts w:ascii="Arial" w:cs="Arial" w:eastAsia="Arial" w:hAnsi="Arial"/>
          <w:sz w:val="17"/>
          <w:szCs w:val="17"/>
          <w:color w:val="auto"/>
        </w:rPr>
      </w:pPr>
    </w:p>
    <w:p>
      <w:pPr>
        <w:ind w:left="-20" w:right="40" w:firstLine="233"/>
        <w:spacing w:after="0" w:line="282" w:lineRule="auto"/>
        <w:tabs>
          <w:tab w:leader="none" w:pos="467"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Voluntary Termination by Executive. </w:t>
      </w:r>
      <w:r>
        <w:rPr>
          <w:rFonts w:ascii="Arial" w:cs="Arial" w:eastAsia="Arial" w:hAnsi="Arial"/>
          <w:sz w:val="18"/>
          <w:szCs w:val="18"/>
          <w:color w:val="auto"/>
        </w:rPr>
        <w:t>In the event that Executive voluntarily terminates employment other than for Good Reason,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following amounts to Executive:</w:t>
      </w:r>
    </w:p>
    <w:p>
      <w:pPr>
        <w:spacing w:after="0" w:line="58" w:lineRule="exact"/>
        <w:rPr>
          <w:sz w:val="20"/>
          <w:szCs w:val="20"/>
          <w:color w:val="auto"/>
        </w:rPr>
      </w:pPr>
    </w:p>
    <w:p>
      <w:pPr>
        <w:ind w:left="640" w:right="340" w:hanging="436"/>
        <w:spacing w:after="0" w:line="342"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2" w:name="page13"/>
    <w:bookmarkEnd w:id="12"/>
    <w:p>
      <w:pPr>
        <w:ind w:left="640" w:right="80" w:hanging="436"/>
        <w:spacing w:after="0" w:line="308"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benefits to which Executive may be entitled pursuant to the plans, policies and arrangements (including those referred to in Section 4(c) hereof up to the date of termination) shall be determined and paid in accordance with the terms of such plans, policies and arrangements.</w:t>
      </w:r>
    </w:p>
    <w:p>
      <w:pPr>
        <w:spacing w:after="0" w:line="34" w:lineRule="exact"/>
        <w:rPr>
          <w:sz w:val="20"/>
          <w:szCs w:val="20"/>
          <w:color w:val="auto"/>
        </w:rPr>
      </w:pPr>
    </w:p>
    <w:p>
      <w:pPr>
        <w:ind w:left="-20" w:right="180" w:firstLine="233"/>
        <w:spacing w:after="0" w:line="261" w:lineRule="auto"/>
        <w:tabs>
          <w:tab w:leader="none" w:pos="44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the Company Without Cause Outside a Change in Control Period; Termination by Executive for Good Reason Outside a Change in Control Period. </w:t>
      </w:r>
      <w:r>
        <w:rPr>
          <w:rFonts w:ascii="Arial" w:cs="Arial" w:eastAsia="Arial" w:hAnsi="Arial"/>
          <w:sz w:val="18"/>
          <w:szCs w:val="18"/>
          <w:color w:val="auto"/>
        </w:rPr>
        <w:t>In the event that Executive’s employment is terminated by the Company outside a Change in Control Period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 for reasons other than death, Total Disability or Cause, or Executive terminates his employment for Good Reason outside of a Change in Control Period, the Company shall pay the following amounts to Executive:</w:t>
      </w:r>
    </w:p>
    <w:p>
      <w:pPr>
        <w:spacing w:after="0" w:line="76" w:lineRule="exact"/>
        <w:rPr>
          <w:sz w:val="20"/>
          <w:szCs w:val="20"/>
          <w:color w:val="auto"/>
        </w:rPr>
      </w:pPr>
    </w:p>
    <w:p>
      <w:pPr>
        <w:ind w:left="640" w:right="320" w:hanging="436"/>
        <w:spacing w:after="0" w:line="342"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9" w:lineRule="exact"/>
        <w:rPr>
          <w:sz w:val="20"/>
          <w:szCs w:val="20"/>
          <w:color w:val="auto"/>
        </w:rPr>
      </w:pPr>
    </w:p>
    <w:p>
      <w:pPr>
        <w:ind w:left="640" w:right="70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75" w:lineRule="exact"/>
        <w:rPr>
          <w:rFonts w:ascii="Arial" w:cs="Arial" w:eastAsia="Arial" w:hAnsi="Arial"/>
          <w:sz w:val="18"/>
          <w:szCs w:val="18"/>
          <w:color w:val="auto"/>
        </w:rPr>
      </w:pPr>
    </w:p>
    <w:p>
      <w:pPr>
        <w:jc w:val="both"/>
        <w:ind w:left="640" w:right="100" w:hanging="436"/>
        <w:spacing w:after="0" w:line="302"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Executive’s execution of the Release (as defined in Section 7), 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59" w:lineRule="exact"/>
        <w:rPr>
          <w:rFonts w:ascii="Arial" w:cs="Arial" w:eastAsia="Arial" w:hAnsi="Arial"/>
          <w:sz w:val="16"/>
          <w:szCs w:val="16"/>
          <w:color w:val="auto"/>
        </w:rPr>
      </w:pPr>
    </w:p>
    <w:p>
      <w:pPr>
        <w:ind w:left="640" w:hanging="436"/>
        <w:spacing w:after="0" w:line="270"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3" w:name="page14"/>
    <w:bookmarkEnd w:id="13"/>
    <w:p>
      <w:pPr>
        <w:ind w:left="660" w:right="20" w:hanging="436"/>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Executive’s execution of the Release (as defined in Section 7), Executive shall be eligible for a bonus or incentive compensation payment, at the same time, on the same basis, and to the same extent payments are made to other similarly-situated executive employees of the Company, prorated for the year in which Executive is terminated.</w:t>
      </w:r>
    </w:p>
    <w:p>
      <w:pPr>
        <w:spacing w:after="0" w:line="69" w:lineRule="exact"/>
        <w:rPr>
          <w:sz w:val="20"/>
          <w:szCs w:val="20"/>
          <w:color w:val="auto"/>
        </w:rPr>
      </w:pPr>
    </w:p>
    <w:p>
      <w:pPr>
        <w:ind w:right="40" w:firstLine="233"/>
        <w:spacing w:after="0" w:line="266" w:lineRule="auto"/>
        <w:tabs>
          <w:tab w:leader="none" w:pos="450" w:val="left"/>
        </w:tabs>
        <w:numPr>
          <w:ilvl w:val="1"/>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Suspension and Refund of Termination Benefits for Subsequently Discovered Cause. </w:t>
      </w:r>
      <w:r>
        <w:rPr>
          <w:rFonts w:ascii="Arial" w:cs="Arial" w:eastAsia="Arial" w:hAnsi="Arial"/>
          <w:sz w:val="18"/>
          <w:szCs w:val="18"/>
          <w:color w:val="auto"/>
        </w:rPr>
        <w:t>Notwithstanding any provision of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if within one (1) year of termination of employment of Executive by the Company for any reason other than for Cause, it is determined by Company that Executive could have been terminated for Cause then, to the extent permitted by law:</w:t>
      </w:r>
    </w:p>
    <w:p>
      <w:pPr>
        <w:spacing w:after="0" w:line="72"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may elect to cancel any and all payments of any benefits otherwise due Executive, but not yet paid, under this Agreement or otherwise; and</w:t>
      </w:r>
    </w:p>
    <w:p>
      <w:pPr>
        <w:spacing w:after="0" w:line="75" w:lineRule="exact"/>
        <w:rPr>
          <w:rFonts w:ascii="Arial" w:cs="Arial" w:eastAsia="Arial" w:hAnsi="Arial"/>
          <w:sz w:val="18"/>
          <w:szCs w:val="18"/>
          <w:color w:val="auto"/>
        </w:rPr>
      </w:pPr>
    </w:p>
    <w:p>
      <w:pPr>
        <w:ind w:left="660" w:right="200" w:hanging="436"/>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Executive will refund to the Company any amounts, plus interest, previously paid by Company to Executive pursuant to Subsections 6(e)(iii), 6(e) (iv) or 6(e)(v).</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7. Resignation by Executive for Good Reason or Termination by Company Without Cause During a Change in Control Period.</w:t>
      </w:r>
    </w:p>
    <w:p>
      <w:pPr>
        <w:spacing w:after="0" w:line="117" w:lineRule="exact"/>
        <w:rPr>
          <w:sz w:val="20"/>
          <w:szCs w:val="20"/>
          <w:color w:val="auto"/>
        </w:rPr>
      </w:pPr>
    </w:p>
    <w:p>
      <w:pPr>
        <w:ind w:right="160" w:firstLine="225"/>
        <w:spacing w:after="0" w:line="281" w:lineRule="auto"/>
        <w:rPr>
          <w:sz w:val="20"/>
          <w:szCs w:val="20"/>
          <w:color w:val="auto"/>
        </w:rPr>
      </w:pPr>
      <w:r>
        <w:rPr>
          <w:rFonts w:ascii="Arial" w:cs="Arial" w:eastAsia="Arial" w:hAnsi="Arial"/>
          <w:sz w:val="17"/>
          <w:szCs w:val="17"/>
          <w:b w:val="1"/>
          <w:bCs w:val="1"/>
          <w:color w:val="auto"/>
        </w:rPr>
        <w:t xml:space="preserve">(a.) Certain Terminations During a Change in Control Period. </w:t>
      </w:r>
      <w:r>
        <w:rPr>
          <w:rFonts w:ascii="Arial" w:cs="Arial" w:eastAsia="Arial" w:hAnsi="Arial"/>
          <w:sz w:val="17"/>
          <w:szCs w:val="17"/>
          <w:color w:val="auto"/>
        </w:rPr>
        <w:t>Subject to potential reduction as may be required by Section 23, in the event a Change</w:t>
      </w:r>
      <w:r>
        <w:rPr>
          <w:rFonts w:ascii="Arial" w:cs="Arial" w:eastAsia="Arial" w:hAnsi="Arial"/>
          <w:sz w:val="17"/>
          <w:szCs w:val="17"/>
          <w:b w:val="1"/>
          <w:bCs w:val="1"/>
          <w:color w:val="auto"/>
        </w:rPr>
        <w:t xml:space="preserve"> </w:t>
      </w:r>
      <w:r>
        <w:rPr>
          <w:rFonts w:ascii="Arial" w:cs="Arial" w:eastAsia="Arial" w:hAnsi="Arial"/>
          <w:sz w:val="17"/>
          <w:szCs w:val="17"/>
          <w:color w:val="auto"/>
        </w:rPr>
        <w:t>in Control occurs and (x) Executive terminates his employment for Good Reason during a Change in Control Period, or (y) the Company terminates Executive’s employment without Cause (and for reason other than Death of Total Disability) during a Change in Control Period, the Company shall, subject to Executive’s execution of the Release (as defined in this Section 7), pay the following amounts to Executive:</w:t>
      </w:r>
    </w:p>
    <w:p>
      <w:pPr>
        <w:spacing w:after="0" w:line="61" w:lineRule="exact"/>
        <w:rPr>
          <w:sz w:val="20"/>
          <w:szCs w:val="20"/>
          <w:color w:val="auto"/>
        </w:rPr>
      </w:pPr>
    </w:p>
    <w:p>
      <w:pPr>
        <w:ind w:left="660" w:right="660" w:hanging="43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86" w:lineRule="exact"/>
        <w:rPr>
          <w:rFonts w:ascii="Arial" w:cs="Arial" w:eastAsia="Arial" w:hAnsi="Arial"/>
          <w:sz w:val="18"/>
          <w:szCs w:val="18"/>
          <w:color w:val="auto"/>
        </w:rPr>
      </w:pPr>
    </w:p>
    <w:p>
      <w:pPr>
        <w:ind w:left="660" w:right="140" w:hanging="436"/>
        <w:spacing w:after="0" w:line="29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Executive shall also receive a bonus or incentive compensation payment for the calendar year of the termination, payable at 100% of the maximum bonus available to Executive, prorated as of the effective date of the employment termination. Such bonus payment shall be payable within five</w:t>
      </w:r>
    </w:p>
    <w:p>
      <w:pPr>
        <w:ind w:left="660" w:right="240"/>
        <w:spacing w:after="0" w:line="254" w:lineRule="auto"/>
        <w:rPr>
          <w:rFonts w:ascii="Arial" w:cs="Arial" w:eastAsia="Arial" w:hAnsi="Arial"/>
          <w:sz w:val="16"/>
          <w:szCs w:val="16"/>
          <w:color w:val="auto"/>
        </w:rPr>
      </w:pPr>
      <w:r>
        <w:rPr>
          <w:rFonts w:ascii="Arial" w:cs="Arial" w:eastAsia="Arial" w:hAnsi="Arial"/>
          <w:sz w:val="18"/>
          <w:szCs w:val="18"/>
          <w:color w:val="auto"/>
        </w:rPr>
        <w:t>(5) days after the effective date of Executive’s employment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280" w:hanging="267"/>
        <w:spacing w:after="0"/>
        <w:tabs>
          <w:tab w:leader="none" w:pos="280"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121" w:lineRule="exact"/>
        <w:rPr>
          <w:rFonts w:ascii="Arial" w:cs="Arial" w:eastAsia="Arial" w:hAnsi="Arial"/>
          <w:sz w:val="18"/>
          <w:szCs w:val="18"/>
          <w:b w:val="1"/>
          <w:bCs w:val="1"/>
          <w:color w:val="auto"/>
        </w:rPr>
      </w:pPr>
    </w:p>
    <w:p>
      <w:pPr>
        <w:ind w:left="440" w:right="520" w:hanging="436"/>
        <w:spacing w:after="0" w:line="277" w:lineRule="auto"/>
        <w:tabs>
          <w:tab w:leader="none" w:pos="4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For purposes of this Agreement, “Change in Control” means the first to occur on or after the date on which this Agreement is first signed, the occurrence of any of the following events:</w:t>
      </w:r>
    </w:p>
    <w:p>
      <w:pPr>
        <w:spacing w:after="0" w:line="62" w:lineRule="exact"/>
        <w:rPr>
          <w:rFonts w:ascii="Arial" w:cs="Arial" w:eastAsia="Arial" w:hAnsi="Arial"/>
          <w:sz w:val="18"/>
          <w:szCs w:val="18"/>
          <w:color w:val="auto"/>
        </w:rPr>
      </w:pPr>
    </w:p>
    <w:p>
      <w:pPr>
        <w:ind w:left="480" w:right="180" w:hanging="7"/>
        <w:spacing w:after="0" w:line="277" w:lineRule="auto"/>
        <w:tabs>
          <w:tab w:leader="none" w:pos="775"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securities of the Company representing twenty-five percent (25%) or more of the combined voting power of the Company’s then outstanding voting securities;</w:t>
      </w:r>
    </w:p>
    <w:p>
      <w:pPr>
        <w:spacing w:after="0" w:line="62" w:lineRule="exact"/>
        <w:rPr>
          <w:rFonts w:ascii="Arial" w:cs="Arial" w:eastAsia="Arial" w:hAnsi="Arial"/>
          <w:sz w:val="18"/>
          <w:szCs w:val="18"/>
          <w:color w:val="auto"/>
        </w:rPr>
      </w:pPr>
    </w:p>
    <w:p>
      <w:pPr>
        <w:ind w:left="480" w:right="20" w:hanging="7"/>
        <w:spacing w:after="0" w:line="273" w:lineRule="auto"/>
        <w:tabs>
          <w:tab w:leader="none" w:pos="765"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Commencement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two-thirds (2/3rds) of the directors then still in office who either were directors on the Commencement Date or whose appointment, election or nomination for election was previously so approved or recommended (the “Incumbent Board”);</w:t>
      </w:r>
    </w:p>
    <w:p>
      <w:pPr>
        <w:spacing w:after="0" w:line="70" w:lineRule="exact"/>
        <w:rPr>
          <w:rFonts w:ascii="Arial" w:cs="Arial" w:eastAsia="Arial" w:hAnsi="Arial"/>
          <w:sz w:val="17"/>
          <w:szCs w:val="17"/>
          <w:color w:val="auto"/>
        </w:rPr>
      </w:pPr>
    </w:p>
    <w:p>
      <w:pPr>
        <w:ind w:left="480" w:right="40" w:hanging="7"/>
        <w:spacing w:after="0" w:line="273" w:lineRule="auto"/>
        <w:tabs>
          <w:tab w:leader="none" w:pos="765" w:val="left"/>
        </w:tabs>
        <w:numPr>
          <w:ilvl w:val="2"/>
          <w:numId w:val="41"/>
        </w:numPr>
        <w:rPr>
          <w:rFonts w:ascii="Arial" w:cs="Arial" w:eastAsia="Arial" w:hAnsi="Arial"/>
          <w:sz w:val="17"/>
          <w:szCs w:val="17"/>
          <w:color w:val="auto"/>
        </w:rPr>
      </w:pPr>
      <w:r>
        <w:rPr>
          <w:rFonts w:ascii="Arial" w:cs="Arial" w:eastAsia="Arial" w:hAnsi="Arial"/>
          <w:sz w:val="17"/>
          <w:szCs w:val="17"/>
          <w:color w:val="auto"/>
        </w:rPr>
        <w:t>there is a consummated merger or consolidation of the Company with any other corporation, other than (1)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 (2) a merger or consolidation effected to implement a recapitalization of the Company (or similar transaction) in which no Person, directly or indirectly, acquired twenty-five percent (25%) or more of the combined voting power of the Company’s then outstanding securities; or</w:t>
      </w:r>
    </w:p>
    <w:p>
      <w:pPr>
        <w:spacing w:after="0" w:line="70" w:lineRule="exact"/>
        <w:rPr>
          <w:rFonts w:ascii="Arial" w:cs="Arial" w:eastAsia="Arial" w:hAnsi="Arial"/>
          <w:sz w:val="17"/>
          <w:szCs w:val="17"/>
          <w:color w:val="auto"/>
        </w:rPr>
      </w:pPr>
    </w:p>
    <w:p>
      <w:pPr>
        <w:ind w:left="480" w:hanging="7"/>
        <w:spacing w:after="0" w:line="257" w:lineRule="auto"/>
        <w:tabs>
          <w:tab w:leader="none" w:pos="77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80" w:lineRule="exact"/>
        <w:rPr>
          <w:rFonts w:ascii="Arial" w:cs="Arial" w:eastAsia="Arial" w:hAnsi="Arial"/>
          <w:sz w:val="18"/>
          <w:szCs w:val="18"/>
          <w:color w:val="auto"/>
        </w:rPr>
      </w:pPr>
    </w:p>
    <w:p>
      <w:pPr>
        <w:ind w:left="440" w:hanging="436"/>
        <w:spacing w:after="0"/>
        <w:tabs>
          <w:tab w:leader="none" w:pos="4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purposes of this Section 7, “Beneficial Owner” shall have the meaning set forth in Rule 13d-3 under the Exchange Act;</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1040" w:right="279" w:bottom="1440" w:gutter="0" w:footer="0" w:header="0"/>
        </w:sectPr>
      </w:pPr>
    </w:p>
    <w:bookmarkStart w:id="15" w:name="page16"/>
    <w:bookmarkEnd w:id="15"/>
    <w:p>
      <w:pPr>
        <w:ind w:left="660" w:right="100" w:hanging="436"/>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purposes of this Agreement, “Change in Control Period” means the period commencing on the date occurring six months immediately prior to the date on which a Change in Control occurs and ending on the second anniversary of the date on which a Change in Control occurs.</w:t>
      </w:r>
    </w:p>
    <w:p>
      <w:pPr>
        <w:spacing w:after="0" w:line="29" w:lineRule="exact"/>
        <w:rPr>
          <w:rFonts w:ascii="Arial" w:cs="Arial" w:eastAsia="Arial" w:hAnsi="Arial"/>
          <w:sz w:val="16"/>
          <w:szCs w:val="16"/>
          <w:color w:val="auto"/>
        </w:rPr>
      </w:pPr>
    </w:p>
    <w:p>
      <w:pPr>
        <w:ind w:left="660" w:hanging="43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Agreement, “Exchange Act’ means the Securities and Exchange Act of 1934, as amended from time to time;</w:t>
      </w:r>
    </w:p>
    <w:p>
      <w:pPr>
        <w:spacing w:after="0" w:line="130" w:lineRule="exact"/>
        <w:rPr>
          <w:rFonts w:ascii="Arial" w:cs="Arial" w:eastAsia="Arial" w:hAnsi="Arial"/>
          <w:sz w:val="18"/>
          <w:szCs w:val="18"/>
          <w:color w:val="auto"/>
        </w:rPr>
      </w:pPr>
    </w:p>
    <w:p>
      <w:pPr>
        <w:ind w:left="660" w:right="60" w:hanging="436"/>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purposes of this Section 7, “Person”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 of the Company.</w:t>
      </w:r>
    </w:p>
    <w:p>
      <w:pPr>
        <w:spacing w:after="0" w:line="93" w:lineRule="exact"/>
        <w:rPr>
          <w:rFonts w:ascii="Arial" w:cs="Arial" w:eastAsia="Arial" w:hAnsi="Arial"/>
          <w:sz w:val="18"/>
          <w:szCs w:val="18"/>
          <w:color w:val="auto"/>
        </w:rPr>
      </w:pPr>
    </w:p>
    <w:p>
      <w:pPr>
        <w:ind w:left="660" w:hanging="436"/>
        <w:spacing w:after="0" w:line="27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purposes of this Agreement, “Release” means that specific document which the Company shall present to Executive for consideration and execution after any termination of employment pursuant to Section 5(e), Section 6(e), or this Section 7, wherein if he agrees to such, he will irrevocably and unconditionally release and forever discharge the Company, it subsidiaries, affiliates and related parties from any and all causes of action which Executive at that time had or may have had against the Company (excluding any claim for indemnity under this Agreement, any claim under state workers’ compensation or unemployment laws, or any claim under COBRA).</w:t>
      </w:r>
    </w:p>
    <w:p>
      <w:pPr>
        <w:spacing w:after="0" w:line="60" w:lineRule="exact"/>
        <w:rPr>
          <w:rFonts w:ascii="Arial" w:cs="Arial" w:eastAsia="Arial" w:hAnsi="Arial"/>
          <w:sz w:val="17"/>
          <w:szCs w:val="17"/>
          <w:color w:val="auto"/>
        </w:rPr>
      </w:pPr>
    </w:p>
    <w:p>
      <w:pPr>
        <w:jc w:val="both"/>
        <w:ind w:firstLine="233"/>
        <w:spacing w:after="0" w:line="314" w:lineRule="auto"/>
        <w:tabs>
          <w:tab w:leader="none" w:pos="405" w:val="left"/>
        </w:tabs>
        <w:numPr>
          <w:ilvl w:val="1"/>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Other Benefits or Compensation. </w:t>
      </w:r>
      <w:r>
        <w:rPr>
          <w:rFonts w:ascii="Arial" w:cs="Arial" w:eastAsia="Arial" w:hAnsi="Arial"/>
          <w:sz w:val="16"/>
          <w:szCs w:val="16"/>
          <w:color w:val="auto"/>
        </w:rPr>
        <w:t>Except as may be provided under this Agreement, or under the terms of any incentive compensation,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or fringe benefit plan applicable to Executive at the time of Executive’s termination or resignation, Executive shall have no right to receive any other compensation, or to participate in any other plan, arrangement or benefit, with respect to future periods after such termination or resignation.</w:t>
      </w:r>
    </w:p>
    <w:p>
      <w:pPr>
        <w:spacing w:after="0" w:line="34" w:lineRule="exact"/>
        <w:rPr>
          <w:rFonts w:ascii="Arial" w:cs="Arial" w:eastAsia="Arial" w:hAnsi="Arial"/>
          <w:sz w:val="16"/>
          <w:szCs w:val="16"/>
          <w:b w:val="1"/>
          <w:bCs w:val="1"/>
          <w:color w:val="auto"/>
        </w:rPr>
      </w:pPr>
    </w:p>
    <w:p>
      <w:pPr>
        <w:ind w:firstLine="233"/>
        <w:spacing w:after="0" w:line="258" w:lineRule="auto"/>
        <w:tabs>
          <w:tab w:leader="none" w:pos="405"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Mitigation; No Set-Off. </w:t>
      </w:r>
      <w:r>
        <w:rPr>
          <w:rFonts w:ascii="Arial" w:cs="Arial" w:eastAsia="Arial" w:hAnsi="Arial"/>
          <w:sz w:val="18"/>
          <w:szCs w:val="18"/>
          <w:color w:val="auto"/>
        </w:rPr>
        <w:t>In the event of any termination of employment hereunder, Executive shall be under no obligation to seek other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and, except as otherwise provided in section 6(e)(iv),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that the Company may have against Executive or others, except upon obtaining by the Company of a final non-appealable judgment against Executive.</w:t>
      </w:r>
    </w:p>
    <w:p>
      <w:pPr>
        <w:spacing w:after="0" w:line="75" w:lineRule="exact"/>
        <w:rPr>
          <w:rFonts w:ascii="Arial" w:cs="Arial" w:eastAsia="Arial" w:hAnsi="Arial"/>
          <w:sz w:val="18"/>
          <w:szCs w:val="18"/>
          <w:b w:val="1"/>
          <w:bCs w:val="1"/>
          <w:color w:val="auto"/>
        </w:rPr>
      </w:pPr>
    </w:p>
    <w:p>
      <w:pPr>
        <w:ind w:left="500" w:hanging="267"/>
        <w:spacing w:after="0"/>
        <w:tabs>
          <w:tab w:leader="none" w:pos="500"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(a.) Company Property</w:t>
      </w:r>
      <w:r>
        <w:rPr>
          <w:rFonts w:ascii="Arial" w:cs="Arial" w:eastAsia="Arial" w:hAnsi="Arial"/>
          <w:sz w:val="18"/>
          <w:szCs w:val="18"/>
          <w:color w:val="auto"/>
        </w:rPr>
        <w:t>. All written materials, records, data, and other documents prepared or possessed by Executive during Executive’s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are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6" w:name="page17"/>
    <w:bookmarkEnd w:id="16"/>
    <w:p>
      <w:pPr>
        <w:spacing w:after="0" w:line="293" w:lineRule="auto"/>
        <w:rPr>
          <w:sz w:val="20"/>
          <w:szCs w:val="20"/>
          <w:color w:val="auto"/>
        </w:rPr>
      </w:pPr>
      <w:r>
        <w:rPr>
          <w:rFonts w:ascii="Arial" w:cs="Arial" w:eastAsia="Arial" w:hAnsi="Arial"/>
          <w:sz w:val="16"/>
          <w:szCs w:val="16"/>
          <w:color w:val="auto"/>
        </w:rPr>
        <w:t>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53" w:lineRule="exact"/>
        <w:rPr>
          <w:sz w:val="20"/>
          <w:szCs w:val="20"/>
          <w:color w:val="auto"/>
        </w:rPr>
      </w:pPr>
    </w:p>
    <w:p>
      <w:pPr>
        <w:ind w:right="140" w:firstLine="233"/>
        <w:spacing w:after="0" w:line="313" w:lineRule="auto"/>
        <w:tabs>
          <w:tab w:leader="none" w:pos="49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 Information; Non-Disclosure</w:t>
      </w:r>
      <w:r>
        <w:rPr>
          <w:rFonts w:ascii="Arial" w:cs="Arial" w:eastAsia="Arial" w:hAnsi="Arial"/>
          <w:sz w:val="17"/>
          <w:szCs w:val="17"/>
          <w:color w:val="auto"/>
        </w:rPr>
        <w:t>. Executive acknowledges that the business of the Company is highly competitive and that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has agreed to provide Executive with access to “Confidential Information” relating to the business of the Company and its affiliates.</w:t>
      </w:r>
    </w:p>
    <w:p>
      <w:pPr>
        <w:spacing w:after="0" w:line="34"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7" w:name="page18"/>
    <w:bookmarkEnd w:id="17"/>
    <w:p>
      <w:pPr>
        <w:ind w:right="140" w:firstLine="225"/>
        <w:spacing w:after="0" w:line="277" w:lineRule="auto"/>
        <w:rPr>
          <w:sz w:val="20"/>
          <w:szCs w:val="20"/>
          <w:color w:val="auto"/>
        </w:rPr>
      </w:pPr>
      <w:r>
        <w:rPr>
          <w:rFonts w:ascii="Arial" w:cs="Arial" w:eastAsia="Arial" w:hAnsi="Arial"/>
          <w:sz w:val="18"/>
          <w:szCs w:val="18"/>
          <w:color w:val="auto"/>
        </w:rPr>
        <w:t>Executive will also have access to, or knowledge of, Confidential Information of third parties, such as actual and potential customers, suppliers, partners, joint venturers, investors, financing sources, and the like, of the Company and its affiliates.</w:t>
      </w:r>
    </w:p>
    <w:p>
      <w:pPr>
        <w:spacing w:after="0" w:line="6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also agrees to provide Executive with one or more of the following: a portion of the Company’s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75" w:lineRule="exact"/>
        <w:rPr>
          <w:sz w:val="20"/>
          <w:szCs w:val="20"/>
          <w:color w:val="auto"/>
        </w:rPr>
      </w:pPr>
    </w:p>
    <w:p>
      <w:pPr>
        <w:ind w:right="40" w:firstLine="233"/>
        <w:spacing w:after="0" w:line="255" w:lineRule="auto"/>
        <w:tabs>
          <w:tab w:leader="none" w:pos="47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Unfair Competition Restrictions</w:t>
      </w:r>
      <w:r>
        <w:rPr>
          <w:rFonts w:ascii="Arial" w:cs="Arial" w:eastAsia="Arial" w:hAnsi="Arial"/>
          <w:sz w:val="18"/>
          <w:szCs w:val="18"/>
          <w:color w:val="auto"/>
        </w:rPr>
        <w:t>. Ancillary to the rights provided to Executive following employment termination, the Company’s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specialized training, and/or goodwill support to Executive, and Executive’s agreements, regarding the use of same, and in order to protect the value of the above-referenced restricted stock, equity-based incentive awards,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and Puerto Rico) (the “Restricted Area”) do the following, unless expressly authorized to do so in writing by the Chief Executive Officer of the Company:</w:t>
      </w:r>
    </w:p>
    <w:p>
      <w:pPr>
        <w:spacing w:after="0" w:line="85" w:lineRule="exact"/>
        <w:rPr>
          <w:sz w:val="20"/>
          <w:szCs w:val="20"/>
          <w:color w:val="auto"/>
        </w:rPr>
      </w:pPr>
    </w:p>
    <w:p>
      <w:pPr>
        <w:ind w:left="460" w:right="300"/>
        <w:spacing w:after="0" w:line="297" w:lineRule="auto"/>
        <w:rPr>
          <w:sz w:val="20"/>
          <w:szCs w:val="20"/>
          <w:color w:val="auto"/>
        </w:rPr>
      </w:pPr>
      <w:r>
        <w:rPr>
          <w:rFonts w:ascii="Arial" w:cs="Arial" w:eastAsia="Arial" w:hAnsi="Arial"/>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hazardous or other waste, including the operation of waste-to-energy facilities.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8" w:name="page19"/>
    <w:bookmarkEnd w:id="18"/>
    <w:p>
      <w:pPr>
        <w:ind w:firstLine="225"/>
        <w:spacing w:after="0" w:line="259" w:lineRule="auto"/>
        <w:rPr>
          <w:sz w:val="20"/>
          <w:szCs w:val="20"/>
          <w:color w:val="auto"/>
        </w:rPr>
      </w:pPr>
      <w:r>
        <w:rPr>
          <w:rFonts w:ascii="Arial" w:cs="Arial" w:eastAsia="Arial" w:hAnsi="Arial"/>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79" w:lineRule="exact"/>
        <w:rPr>
          <w:sz w:val="20"/>
          <w:szCs w:val="20"/>
          <w:color w:val="auto"/>
        </w:rPr>
      </w:pPr>
    </w:p>
    <w:p>
      <w:pPr>
        <w:ind w:right="120" w:firstLine="215"/>
        <w:spacing w:after="0" w:line="293" w:lineRule="auto"/>
        <w:rPr>
          <w:sz w:val="20"/>
          <w:szCs w:val="20"/>
          <w:color w:val="auto"/>
        </w:rPr>
      </w:pPr>
      <w:r>
        <w:rPr>
          <w:rFonts w:ascii="Arial" w:cs="Arial" w:eastAsia="Arial" w:hAnsi="Arial"/>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in writing to be no material threat to the legitimate business interests of the Company.</w:t>
      </w:r>
    </w:p>
    <w:p>
      <w:pPr>
        <w:spacing w:after="0" w:line="53" w:lineRule="exact"/>
        <w:rPr>
          <w:sz w:val="20"/>
          <w:szCs w:val="20"/>
          <w:color w:val="auto"/>
        </w:rPr>
      </w:pPr>
    </w:p>
    <w:p>
      <w:pPr>
        <w:jc w:val="both"/>
        <w:ind w:right="320" w:firstLine="233"/>
        <w:spacing w:after="0" w:line="261" w:lineRule="auto"/>
        <w:tabs>
          <w:tab w:leader="none" w:pos="49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Customers</w:t>
      </w:r>
      <w:r>
        <w:rPr>
          <w:rFonts w:ascii="Arial" w:cs="Arial" w:eastAsia="Arial" w:hAnsi="Arial"/>
          <w:sz w:val="18"/>
          <w:szCs w:val="18"/>
          <w:color w:val="auto"/>
        </w:rPr>
        <w:t>. For a period of two (2) years following the termination of employment for any reason, Executive will not call 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71" w:lineRule="exact"/>
        <w:rPr>
          <w:rFonts w:ascii="Arial" w:cs="Arial" w:eastAsia="Arial" w:hAnsi="Arial"/>
          <w:sz w:val="18"/>
          <w:szCs w:val="18"/>
          <w:b w:val="1"/>
          <w:bCs w:val="1"/>
          <w:color w:val="auto"/>
        </w:rPr>
      </w:pPr>
    </w:p>
    <w:p>
      <w:pPr>
        <w:ind w:right="180" w:firstLine="233"/>
        <w:spacing w:after="0" w:line="261" w:lineRule="auto"/>
        <w:tabs>
          <w:tab w:leader="none" w:pos="47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of Employees</w:t>
      </w:r>
      <w:r>
        <w:rPr>
          <w:rFonts w:ascii="Arial" w:cs="Arial" w:eastAsia="Arial" w:hAnsi="Arial"/>
          <w:sz w:val="18"/>
          <w:szCs w:val="18"/>
          <w:color w:val="auto"/>
        </w:rPr>
        <w:t>. During Executive’s employment, and for a period of two (2) years following the termination of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employment, and will not assist any other person or entity in such a solicitation.</w:t>
      </w:r>
    </w:p>
    <w:p>
      <w:pPr>
        <w:spacing w:after="0" w:line="71" w:lineRule="exact"/>
        <w:rPr>
          <w:rFonts w:ascii="Arial" w:cs="Arial" w:eastAsia="Arial" w:hAnsi="Arial"/>
          <w:sz w:val="18"/>
          <w:szCs w:val="18"/>
          <w:b w:val="1"/>
          <w:bCs w:val="1"/>
          <w:color w:val="auto"/>
        </w:rPr>
      </w:pPr>
    </w:p>
    <w:p>
      <w:pPr>
        <w:ind w:right="80" w:firstLine="233"/>
        <w:spacing w:after="0" w:line="261" w:lineRule="auto"/>
        <w:tabs>
          <w:tab w:leader="none" w:pos="45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Executive covenants and agrees that Executive shall not engage in any pattern of conduct that involves the making or publishing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 Enforcement of Covenants.</w:t>
      </w:r>
    </w:p>
    <w:p>
      <w:pPr>
        <w:spacing w:after="0" w:line="117" w:lineRule="exact"/>
        <w:rPr>
          <w:sz w:val="20"/>
          <w:szCs w:val="20"/>
          <w:color w:val="auto"/>
        </w:rPr>
      </w:pPr>
    </w:p>
    <w:p>
      <w:pPr>
        <w:ind w:right="240" w:firstLine="233"/>
        <w:spacing w:after="0" w:line="282" w:lineRule="auto"/>
        <w:tabs>
          <w:tab w:leader="none" w:pos="47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and Forfeiture of Compensation. </w:t>
      </w:r>
      <w:r>
        <w:rPr>
          <w:rFonts w:ascii="Arial" w:cs="Arial" w:eastAsia="Arial" w:hAnsi="Arial"/>
          <w:sz w:val="18"/>
          <w:szCs w:val="18"/>
          <w:color w:val="auto"/>
        </w:rPr>
        <w:t>Executive agrees that any breach by Executive of any of the covenants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 hereof during Executive’s employment by the Company, shall be grounds for immediate dismissal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color w:val="auto"/>
        </w:rPr>
        <w:t>Executive for Cause pursuant to Section 5(c)(i), which shall be in addition to and not exclusive of any and all other rights and remedies the Company may have against Executive.</w:t>
      </w:r>
    </w:p>
    <w:p>
      <w:pPr>
        <w:spacing w:after="0" w:line="58" w:lineRule="exact"/>
        <w:rPr>
          <w:sz w:val="20"/>
          <w:szCs w:val="20"/>
          <w:color w:val="auto"/>
        </w:rPr>
      </w:pPr>
    </w:p>
    <w:p>
      <w:pPr>
        <w:ind w:left="500" w:hanging="267"/>
        <w:spacing w:after="0"/>
        <w:tabs>
          <w:tab w:leader="none" w:pos="500" w:val="left"/>
        </w:tabs>
        <w:numPr>
          <w:ilvl w:val="1"/>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Right to Injunction</w:t>
      </w:r>
      <w:r>
        <w:rPr>
          <w:rFonts w:ascii="Arial" w:cs="Arial" w:eastAsia="Arial" w:hAnsi="Arial"/>
          <w:sz w:val="17"/>
          <w:szCs w:val="17"/>
          <w:color w:val="auto"/>
        </w:rPr>
        <w:t>. Executive acknowledges that a breach of the covenants set forth in Section 10 hereof will cause irreparable damage to the</w:t>
      </w:r>
    </w:p>
    <w:p>
      <w:pPr>
        <w:spacing w:after="0" w:line="38" w:lineRule="exact"/>
        <w:rPr>
          <w:rFonts w:ascii="Arial" w:cs="Arial" w:eastAsia="Arial" w:hAnsi="Arial"/>
          <w:sz w:val="17"/>
          <w:szCs w:val="17"/>
          <w:b w:val="1"/>
          <w:bCs w:val="1"/>
          <w:color w:val="auto"/>
        </w:rPr>
      </w:pPr>
    </w:p>
    <w:p>
      <w:pPr>
        <w:ind w:right="8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w:t>
      </w:r>
    </w:p>
    <w:p>
      <w:pPr>
        <w:spacing w:after="0" w:line="2" w:lineRule="exact"/>
        <w:rPr>
          <w:rFonts w:ascii="Arial" w:cs="Arial" w:eastAsia="Arial" w:hAnsi="Arial"/>
          <w:sz w:val="17"/>
          <w:szCs w:val="17"/>
          <w:b w:val="1"/>
          <w:bCs w:val="1"/>
          <w:color w:val="auto"/>
        </w:rPr>
      </w:pPr>
    </w:p>
    <w:p>
      <w:pPr>
        <w:ind w:right="120" w:firstLine="8"/>
        <w:spacing w:after="0" w:line="261" w:lineRule="auto"/>
        <w:tabs>
          <w:tab w:leader="none" w:pos="2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71" w:lineRule="exact"/>
        <w:rPr>
          <w:rFonts w:ascii="Arial" w:cs="Arial" w:eastAsia="Arial" w:hAnsi="Arial"/>
          <w:sz w:val="18"/>
          <w:szCs w:val="18"/>
          <w:color w:val="auto"/>
        </w:rPr>
      </w:pPr>
    </w:p>
    <w:p>
      <w:pPr>
        <w:ind w:firstLine="233"/>
        <w:spacing w:after="0" w:line="290" w:lineRule="auto"/>
        <w:tabs>
          <w:tab w:leader="none" w:pos="470"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Separability of Covenants. </w:t>
      </w:r>
      <w:r>
        <w:rPr>
          <w:rFonts w:ascii="Arial" w:cs="Arial" w:eastAsia="Arial" w:hAnsi="Arial"/>
          <w:sz w:val="16"/>
          <w:szCs w:val="16"/>
          <w:color w:val="auto"/>
        </w:rPr>
        <w:t>The covenants contained in Section 10 hereof constitute a series of separate but ancillary covenants, one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State in the United States and the District of Columbia, and one for each applicable foreign country. If in any judicial proceeding, a court shall hold that any of the covenants set forth in Section 10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10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10.</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 Indemnification.</w:t>
      </w:r>
    </w:p>
    <w:p>
      <w:pPr>
        <w:spacing w:after="0" w:line="121"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Executive to reimburse the Company for any fees advanced by the Company on behalf of Executive should it later be determined that Executive was not entitled to have such fees advanced by the Company under Delaware law. The Company shall cover Executive under directors and officers liability insurance both during and, while potential liability exists, after the Employment Period in the same amount and to the same extent as the Company covers its other officers and directors.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color w:val="auto"/>
        </w:rPr>
        <w:t>13. Arbitration.</w:t>
      </w:r>
    </w:p>
    <w:p>
      <w:pPr>
        <w:spacing w:after="0" w:line="121"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Except with respect to enforcement of the covenants contained in Section 11 herein, the parties agree that any dispute relating to this Agreement, or to the breach of this Agreement, arising between Executive and the Company shall be settled by arbitration in accordance with the Federal Arbitration Act and the commercial arbitration rules of the American Arbitration Association (“AAA”), or any other mutually agreed upon arbitration service. The arbitration proceeding, including the rendering of an award, shall take place in Houston, Texas, and shall be administered by the AAA (or any other mutually agreed upon arbitration service). The arbitrator shall be jointly selected by the Company and Executive within thirty (30) days of the notice of dispute, or if the parties cannot agree, in accordance with the commercial arbitration rules of the AAA (or any other mutually agreed upon arbitration service). All fees and expenses associated with the arbitration shall be borne equally by Executive and the Company during the arbitration, pending final decision by the arbitrator as to who should bear fees, unless otherwise ordered by the arbitrator. The arbitrator shall not be authorized to create a cause of action or remedy not recognized by applicable state or federal law. The award of the arbitrator shall be final and binding upon the parties without appeal or review, except as permitted by the arbitration laws of the State of Texas. The award shall be enforceable through a court of law upon motion of either party.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14. Requirement of Timely Payments.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If any amounts which are required, or determined to be paid or payable, or reimbursed or reimbursable, to Executive under this Agreement are not so paid promptly at the times provided 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15. Withholding of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may withhold from any compensation and benefits payable under this Agreement all applicable federal, state, local, or other taxes.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16. Source of Payments.</w:t>
      </w:r>
    </w:p>
    <w:p>
      <w:pPr>
        <w:spacing w:after="0" w:line="12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1" w:name="page22"/>
    <w:bookmarkEnd w:id="21"/>
    <w:p>
      <w:pPr>
        <w:ind w:left="240"/>
        <w:spacing w:after="0"/>
        <w:rPr>
          <w:sz w:val="20"/>
          <w:szCs w:val="20"/>
          <w:color w:val="auto"/>
        </w:rPr>
      </w:pPr>
      <w:r>
        <w:rPr>
          <w:rFonts w:ascii="Arial" w:cs="Arial" w:eastAsia="Arial" w:hAnsi="Arial"/>
          <w:sz w:val="18"/>
          <w:szCs w:val="18"/>
          <w:b w:val="1"/>
          <w:bCs w:val="1"/>
          <w:color w:val="auto"/>
        </w:rPr>
        <w:t>17. Assignment.</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6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18. Entire Agreement; Amendment.</w:t>
      </w:r>
    </w:p>
    <w:p>
      <w:pPr>
        <w:spacing w:after="0" w:line="121"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19. Governing Law.</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20. Notices.</w:t>
      </w:r>
    </w:p>
    <w:p>
      <w:pPr>
        <w:spacing w:after="0" w:line="121"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ind w:left="1140"/>
              <w:spacing w:after="0"/>
              <w:rPr>
                <w:sz w:val="20"/>
                <w:szCs w:val="20"/>
                <w:color w:val="auto"/>
              </w:rPr>
            </w:pPr>
            <w:r>
              <w:rPr>
                <w:rFonts w:ascii="Arial" w:cs="Arial" w:eastAsia="Arial" w:hAnsi="Arial"/>
                <w:sz w:val="18"/>
                <w:szCs w:val="18"/>
                <w:color w:val="auto"/>
              </w:rPr>
              <w:t>To the Company:</w:t>
            </w:r>
          </w:p>
        </w:tc>
        <w:tc>
          <w:tcPr>
            <w:tcW w:w="8620" w:type="dxa"/>
            <w:vAlign w:val="bottom"/>
          </w:tcPr>
          <w:p>
            <w:pPr>
              <w:ind w:left="420"/>
              <w:spacing w:after="0"/>
              <w:rPr>
                <w:sz w:val="20"/>
                <w:szCs w:val="20"/>
                <w:color w:val="auto"/>
              </w:rPr>
            </w:pPr>
            <w:r>
              <w:rPr>
                <w:rFonts w:ascii="Arial" w:cs="Arial" w:eastAsia="Arial" w:hAnsi="Arial"/>
                <w:sz w:val="18"/>
                <w:szCs w:val="18"/>
                <w:color w:val="auto"/>
              </w:rPr>
              <w:t>Waste Management, Inc.</w:t>
            </w:r>
          </w:p>
        </w:tc>
      </w:tr>
      <w:tr>
        <w:trPr>
          <w:trHeight w:val="216"/>
        </w:trPr>
        <w:tc>
          <w:tcPr>
            <w:tcW w:w="280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1001 Fannin, Suite 4000</w:t>
            </w:r>
          </w:p>
        </w:tc>
      </w:tr>
      <w:tr>
        <w:trPr>
          <w:trHeight w:val="216"/>
        </w:trPr>
        <w:tc>
          <w:tcPr>
            <w:tcW w:w="280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Houston, Texas 77002</w:t>
            </w:r>
          </w:p>
        </w:tc>
      </w:tr>
      <w:tr>
        <w:trPr>
          <w:trHeight w:val="230"/>
        </w:trPr>
        <w:tc>
          <w:tcPr>
            <w:tcW w:w="2800" w:type="dxa"/>
            <w:vAlign w:val="bottom"/>
          </w:tcPr>
          <w:p>
            <w:pPr>
              <w:spacing w:after="0"/>
              <w:rPr>
                <w:sz w:val="20"/>
                <w:szCs w:val="20"/>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Attention: Corporate Secretary</w:t>
            </w:r>
          </w:p>
        </w:tc>
      </w:tr>
      <w:tr>
        <w:trPr>
          <w:trHeight w:val="432"/>
        </w:trPr>
        <w:tc>
          <w:tcPr>
            <w:tcW w:w="2800" w:type="dxa"/>
            <w:vAlign w:val="bottom"/>
          </w:tcPr>
          <w:p>
            <w:pPr>
              <w:ind w:left="1140"/>
              <w:spacing w:after="0"/>
              <w:rPr>
                <w:sz w:val="20"/>
                <w:szCs w:val="20"/>
                <w:color w:val="auto"/>
              </w:rPr>
            </w:pPr>
            <w:r>
              <w:rPr>
                <w:rFonts w:ascii="Arial" w:cs="Arial" w:eastAsia="Arial" w:hAnsi="Arial"/>
                <w:sz w:val="18"/>
                <w:szCs w:val="18"/>
                <w:color w:val="auto"/>
              </w:rPr>
              <w:t>To Executive:</w:t>
            </w:r>
          </w:p>
        </w:tc>
        <w:tc>
          <w:tcPr>
            <w:tcW w:w="8620" w:type="dxa"/>
            <w:vAlign w:val="bottom"/>
          </w:tcPr>
          <w:p>
            <w:pPr>
              <w:ind w:left="420"/>
              <w:spacing w:after="0"/>
              <w:rPr>
                <w:sz w:val="20"/>
                <w:szCs w:val="20"/>
                <w:color w:val="auto"/>
              </w:rPr>
            </w:pPr>
            <w:r>
              <w:rPr>
                <w:rFonts w:ascii="Arial" w:cs="Arial" w:eastAsia="Arial" w:hAnsi="Arial"/>
                <w:sz w:val="18"/>
                <w:szCs w:val="18"/>
                <w:color w:val="auto"/>
              </w:rPr>
              <w:t>At the address for Executive set forth below.</w:t>
            </w:r>
          </w:p>
        </w:tc>
      </w:tr>
      <w:tr>
        <w:trPr>
          <w:trHeight w:val="405"/>
        </w:trPr>
        <w:tc>
          <w:tcPr>
            <w:tcW w:w="2800" w:type="dxa"/>
            <w:vAlign w:val="bottom"/>
          </w:tcPr>
          <w:p>
            <w:pPr>
              <w:spacing w:after="0"/>
              <w:rPr>
                <w:sz w:val="24"/>
                <w:szCs w:val="24"/>
                <w:color w:val="auto"/>
              </w:rPr>
            </w:pPr>
          </w:p>
        </w:tc>
        <w:tc>
          <w:tcPr>
            <w:tcW w:w="8620" w:type="dxa"/>
            <w:vAlign w:val="bottom"/>
          </w:tcPr>
          <w:p>
            <w:pPr>
              <w:ind w:left="2820"/>
              <w:spacing w:after="0"/>
              <w:rPr>
                <w:sz w:val="20"/>
                <w:szCs w:val="20"/>
                <w:color w:val="auto"/>
              </w:rPr>
            </w:pPr>
            <w:r>
              <w:rPr>
                <w:rFonts w:ascii="Arial" w:cs="Arial" w:eastAsia="Arial" w:hAnsi="Arial"/>
                <w:sz w:val="18"/>
                <w:szCs w:val="18"/>
                <w:color w:val="auto"/>
              </w:rPr>
              <w:t>16</w:t>
            </w:r>
          </w:p>
        </w:tc>
      </w:tr>
      <w:tr>
        <w:trPr>
          <w:trHeight w:val="226"/>
        </w:trPr>
        <w:tc>
          <w:tcPr>
            <w:tcW w:w="2800" w:type="dxa"/>
            <w:vAlign w:val="bottom"/>
            <w:tcBorders>
              <w:bottom w:val="single" w:sz="8" w:color="808080"/>
            </w:tcBorders>
          </w:tcPr>
          <w:p>
            <w:pPr>
              <w:spacing w:after="0"/>
              <w:rPr>
                <w:sz w:val="19"/>
                <w:szCs w:val="19"/>
                <w:color w:val="auto"/>
              </w:rPr>
            </w:pPr>
          </w:p>
        </w:tc>
        <w:tc>
          <w:tcPr>
            <w:tcW w:w="8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left="232"/>
        <w:spacing w:after="0"/>
        <w:rPr>
          <w:sz w:val="20"/>
          <w:szCs w:val="20"/>
          <w:color w:val="auto"/>
        </w:rPr>
      </w:pPr>
      <w:r>
        <w:rPr>
          <w:rFonts w:ascii="Arial" w:cs="Arial" w:eastAsia="Arial" w:hAnsi="Arial"/>
          <w:sz w:val="18"/>
          <w:szCs w:val="18"/>
          <w:b w:val="1"/>
          <w:bCs w:val="1"/>
          <w:color w:val="auto"/>
        </w:rPr>
        <w:t>22. Miscellaneous.</w:t>
      </w:r>
    </w:p>
    <w:p>
      <w:pPr>
        <w:spacing w:after="0" w:line="117" w:lineRule="exact"/>
        <w:rPr>
          <w:sz w:val="20"/>
          <w:szCs w:val="20"/>
          <w:color w:val="auto"/>
        </w:rPr>
      </w:pPr>
    </w:p>
    <w:p>
      <w:pPr>
        <w:ind w:left="-8" w:right="20" w:firstLine="233"/>
        <w:spacing w:after="0" w:line="282" w:lineRule="auto"/>
        <w:tabs>
          <w:tab w:leader="none" w:pos="469"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The failure of a party to insist upon strict adherence to any term of this Agreement on any occasion shall not be considered a waiver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deprive that party of the right thereafter to insist upon strict adherence to that term or any other term of this Agreement.</w:t>
      </w:r>
    </w:p>
    <w:p>
      <w:pPr>
        <w:spacing w:after="0" w:line="53" w:lineRule="exact"/>
        <w:rPr>
          <w:rFonts w:ascii="Arial" w:cs="Arial" w:eastAsia="Arial" w:hAnsi="Arial"/>
          <w:sz w:val="18"/>
          <w:szCs w:val="18"/>
          <w:b w:val="1"/>
          <w:bCs w:val="1"/>
          <w:color w:val="auto"/>
        </w:rPr>
      </w:pPr>
    </w:p>
    <w:p>
      <w:pPr>
        <w:ind w:left="-8" w:right="180" w:firstLine="233"/>
        <w:spacing w:after="0" w:line="266" w:lineRule="auto"/>
        <w:tabs>
          <w:tab w:leader="none" w:pos="48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Separability. </w:t>
      </w:r>
      <w:r>
        <w:rPr>
          <w:rFonts w:ascii="Arial" w:cs="Arial" w:eastAsia="Arial" w:hAnsi="Arial"/>
          <w:sz w:val="18"/>
          <w:szCs w:val="18"/>
          <w:color w:val="auto"/>
        </w:rPr>
        <w:t>Subject to Section 11 hereof, if any term or provision of this Agreement is declared illegal or unenforceable by any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and cannot be modified to be enforceable, such term or provision shall immediately become null and void, leaving the remainder of this Agreement in full force and effect.</w:t>
      </w:r>
    </w:p>
    <w:p>
      <w:pPr>
        <w:spacing w:after="0" w:line="68" w:lineRule="exact"/>
        <w:rPr>
          <w:rFonts w:ascii="Arial" w:cs="Arial" w:eastAsia="Arial" w:hAnsi="Arial"/>
          <w:sz w:val="18"/>
          <w:szCs w:val="18"/>
          <w:b w:val="1"/>
          <w:bCs w:val="1"/>
          <w:color w:val="auto"/>
        </w:rPr>
      </w:pPr>
    </w:p>
    <w:p>
      <w:pPr>
        <w:ind w:left="472" w:hanging="247"/>
        <w:spacing w:after="0"/>
        <w:tabs>
          <w:tab w:leader="none" w:pos="47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Headings. </w:t>
      </w:r>
      <w:r>
        <w:rPr>
          <w:rFonts w:ascii="Arial" w:cs="Arial" w:eastAsia="Arial" w:hAnsi="Arial"/>
          <w:sz w:val="16"/>
          <w:szCs w:val="16"/>
          <w:color w:val="auto"/>
        </w:rPr>
        <w:t>Section headings are used herein for convenience of reference only and shall not affect the meaning of any provision of this Agreement.</w:t>
      </w:r>
    </w:p>
    <w:p>
      <w:pPr>
        <w:spacing w:after="0" w:line="140" w:lineRule="exact"/>
        <w:rPr>
          <w:rFonts w:ascii="Arial" w:cs="Arial" w:eastAsia="Arial" w:hAnsi="Arial"/>
          <w:sz w:val="16"/>
          <w:szCs w:val="16"/>
          <w:b w:val="1"/>
          <w:bCs w:val="1"/>
          <w:color w:val="auto"/>
        </w:rPr>
      </w:pPr>
    </w:p>
    <w:p>
      <w:pPr>
        <w:ind w:left="492" w:hanging="267"/>
        <w:spacing w:after="0"/>
        <w:tabs>
          <w:tab w:leader="none" w:pos="49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Rules of Construction. </w:t>
      </w:r>
      <w:r>
        <w:rPr>
          <w:rFonts w:ascii="Arial" w:cs="Arial" w:eastAsia="Arial" w:hAnsi="Arial"/>
          <w:sz w:val="18"/>
          <w:szCs w:val="18"/>
          <w:color w:val="auto"/>
        </w:rPr>
        <w:t>Whenever the context so requires, the use of the singular shall be deemed to include the plural and vice versa.</w:t>
      </w:r>
    </w:p>
    <w:p>
      <w:pPr>
        <w:spacing w:after="0" w:line="117" w:lineRule="exact"/>
        <w:rPr>
          <w:rFonts w:ascii="Arial" w:cs="Arial" w:eastAsia="Arial" w:hAnsi="Arial"/>
          <w:sz w:val="18"/>
          <w:szCs w:val="18"/>
          <w:b w:val="1"/>
          <w:bCs w:val="1"/>
          <w:color w:val="auto"/>
        </w:rPr>
      </w:pPr>
    </w:p>
    <w:p>
      <w:pPr>
        <w:ind w:left="-8" w:firstLine="233"/>
        <w:spacing w:after="0" w:line="282" w:lineRule="auto"/>
        <w:tabs>
          <w:tab w:leader="none" w:pos="46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any number of counterparts, each of which so executed shall be deemed to be an original, and such</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will together constitute but one Agreement.</w:t>
      </w:r>
    </w:p>
    <w:p>
      <w:pPr>
        <w:spacing w:after="0" w:line="54" w:lineRule="exact"/>
        <w:rPr>
          <w:sz w:val="20"/>
          <w:szCs w:val="20"/>
          <w:color w:val="auto"/>
        </w:rPr>
      </w:pPr>
    </w:p>
    <w:p>
      <w:pPr>
        <w:ind w:left="232"/>
        <w:spacing w:after="0"/>
        <w:rPr>
          <w:sz w:val="20"/>
          <w:szCs w:val="20"/>
          <w:color w:val="auto"/>
        </w:rPr>
      </w:pPr>
      <w:r>
        <w:rPr>
          <w:rFonts w:ascii="Arial" w:cs="Arial" w:eastAsia="Arial" w:hAnsi="Arial"/>
          <w:sz w:val="18"/>
          <w:szCs w:val="18"/>
          <w:b w:val="1"/>
          <w:bCs w:val="1"/>
          <w:color w:val="auto"/>
        </w:rPr>
        <w:t>23. Potential Limitation on Severance Benefits.</w:t>
      </w:r>
    </w:p>
    <w:p>
      <w:pPr>
        <w:spacing w:after="0" w:line="117" w:lineRule="exact"/>
        <w:rPr>
          <w:sz w:val="20"/>
          <w:szCs w:val="20"/>
          <w:color w:val="auto"/>
        </w:rPr>
      </w:pPr>
    </w:p>
    <w:p>
      <w:pPr>
        <w:ind w:left="-8" w:right="40" w:firstLine="233"/>
        <w:spacing w:after="0" w:line="283" w:lineRule="auto"/>
        <w:tabs>
          <w:tab w:leader="none" w:pos="472"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Potential Reduction Due to Application of Maximum Severance Amount Policy. </w:t>
      </w:r>
      <w:r>
        <w:rPr>
          <w:rFonts w:ascii="Arial" w:cs="Arial" w:eastAsia="Arial" w:hAnsi="Arial"/>
          <w:sz w:val="16"/>
          <w:szCs w:val="16"/>
          <w:color w:val="auto"/>
        </w:rPr>
        <w:t>Notwithstanding any provision in this Agreement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termination of Executive’s employment it is determined by the Company that the Severance Benefits (as defined below) owed to executive would exceed 2.99 times the sum of Executive’s then current base salary and target bonus (the “Maximum Severance Amount”), then the Severance Benefits provided to Executive shall be reduced to the Maximum Severance Amount. For purposes of this Section 23(a) , the term “Severance Benefits” means the aggregate present value of payments or distributions payable to Executive by the Company, its subsidiaries or affiliated entities as a result of the termination of employment (whether paid or provided pursuant to the terms of this Agreement or otherwise), including: (i) cash amounts payable by the Company in the event of termination of Executive’s employment; and (ii) the value of benefits or perquisites provided for periods after termination of employment (but excluding benefits or perquisites provided to employees generally). For purposes of this Section 23, however, the following will not be considered Severance Benefits: (i) payments of salary, bonus or performance award amounts that had accrued through the date of termination; (ii) payments based on accrued qualified and non-qualified deferred compensation plans, including retirement and savings benefits; (iii) any benefits or perquisites provided under plans or programs applicable to employees generally; (iv) amounts paid as part of any agreement intended to “make-whole” any forfeiture of benefits from a prior employer; (v) amounts paid for services following termination of employment for a reasonable consulting agreement for a period not to exceed one year;</w:t>
      </w:r>
    </w:p>
    <w:p>
      <w:pPr>
        <w:spacing w:after="0" w:line="7" w:lineRule="exact"/>
        <w:rPr>
          <w:rFonts w:ascii="Arial" w:cs="Arial" w:eastAsia="Arial" w:hAnsi="Arial"/>
          <w:sz w:val="16"/>
          <w:szCs w:val="16"/>
          <w:b w:val="1"/>
          <w:bCs w:val="1"/>
          <w:color w:val="auto"/>
        </w:rPr>
      </w:pPr>
    </w:p>
    <w:p>
      <w:pPr>
        <w:ind w:left="-8" w:right="380" w:firstLine="8"/>
        <w:spacing w:after="0" w:line="323" w:lineRule="auto"/>
        <w:tabs>
          <w:tab w:leader="none" w:pos="297"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paid for post-termination covenants; (vii) the value of accelerated vesting or payment of any outstanding equity-based award; and (viii) any payment that the Board or any committee thereof determines in good faith to be a reasonable settlement of any claim made against the Company.</w:t>
      </w:r>
    </w:p>
    <w:p>
      <w:pPr>
        <w:spacing w:after="0" w:line="11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1" w:right="279" w:bottom="1440" w:gutter="0" w:footer="0" w:header="0"/>
        </w:sectPr>
      </w:pPr>
    </w:p>
    <w:bookmarkStart w:id="23" w:name="page24"/>
    <w:bookmarkEnd w:id="23"/>
    <w:p>
      <w:pPr>
        <w:ind w:right="40" w:firstLine="233"/>
        <w:spacing w:after="0" w:line="287" w:lineRule="auto"/>
        <w:tabs>
          <w:tab w:leader="none" w:pos="49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Potential Reduction Due to Excise Taxation. </w:t>
      </w:r>
      <w:r>
        <w:rPr>
          <w:rFonts w:ascii="Arial" w:cs="Arial" w:eastAsia="Arial" w:hAnsi="Arial"/>
          <w:sz w:val="16"/>
          <w:szCs w:val="16"/>
          <w:color w:val="auto"/>
        </w:rPr>
        <w:t>Following application of Section 23(a), including any resulting reduction in benefits,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payments from the Company to Executive (including any payment or benefit received in connection with a Change in Control or the termination of Executive’s employment) would be subject (in whole or part) to any excise tax imposed under section 4999 of the Code (the “Excise Tax”), then the cash portion of the severance payments shall first be further reduced, and the non-cash severance payments shall thereafter be further reduced, to the extent necessary so that no portion of any payments from the Company to Executive is subject to the Excise Tax, but only if (i) the net amount of the severance payments to be received by Executive, as so reduced by this Section 23(b) (and after subtracting the net amount of federal, state and local income taxes on such additionally reduced severance payments and after taking into account the phase out of itemized deductions and personal exemptions attributable to such additionally reduced severance payments) is greater than or equal to (ii) the net amount of the severance payments to be received by Executive without such additional reduction (but after subtracting the net amount of federal, state and local income taxes on such severance payments and the amount of Excise Tax to which Executive would be subject in respect of such unreduced severance payments and after taking into account the phase out of itemized deductions and personal exemptions attributable to such unreduced severance payments); provided, however, that Executive may elect to have the non-cash portion of the severance payments reduced (or eliminated) prior to any reduction of the cash portion of the severance payments.</w:t>
      </w:r>
    </w:p>
    <w:p>
      <w:pPr>
        <w:spacing w:after="0" w:line="60" w:lineRule="exact"/>
        <w:rPr>
          <w:rFonts w:ascii="Arial" w:cs="Arial" w:eastAsia="Arial" w:hAnsi="Arial"/>
          <w:sz w:val="16"/>
          <w:szCs w:val="16"/>
          <w:b w:val="1"/>
          <w:bCs w:val="1"/>
          <w:color w:val="auto"/>
        </w:rPr>
      </w:pPr>
    </w:p>
    <w:p>
      <w:pPr>
        <w:ind w:firstLine="233"/>
        <w:spacing w:after="0" w:line="289" w:lineRule="auto"/>
        <w:tabs>
          <w:tab w:leader="none" w:pos="47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Calculation of Excise Tax. </w:t>
      </w:r>
      <w:r>
        <w:rPr>
          <w:rFonts w:ascii="Arial" w:cs="Arial" w:eastAsia="Arial" w:hAnsi="Arial"/>
          <w:sz w:val="16"/>
          <w:szCs w:val="16"/>
          <w:color w:val="auto"/>
        </w:rPr>
        <w:t>For purposes of determining whether and the extent to which portions of the payments owed to Executive will be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Excise Tax, (i) no portion of the severance payments the receipt or enjoyment of which Executive shall have waived at such time and in such manner as not to constitute a “payment” within the meaning of section 280G(b) of the Code shall be taken into account, (ii) no portion of the severance payments shall be taken into account which, in the opinion of tax counsel (“Tax Counsel”) who is reasonably acceptable to Executive and selected by the accounting firm (the “Auditor”) which was, immediately prior to the Change in Control, the Company’s independent auditor, does not constitute a “parachute payment” within the meaning of section 280G(b)(2) of the Code (including by reason of section 280G(b)(4)(A) of the Code) and, in calculating the Excise Tax, no portion of such severance payments shall be taken into account which, in the opinion of Tax Counsel,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severance payments shall be determined by the Auditor in accordance with the principles of sections 280G(d)(3) and (4) of the Code.</w:t>
      </w:r>
    </w:p>
    <w:p>
      <w:pPr>
        <w:spacing w:after="0" w:line="53" w:lineRule="exact"/>
        <w:rPr>
          <w:rFonts w:ascii="Arial" w:cs="Arial" w:eastAsia="Arial" w:hAnsi="Arial"/>
          <w:sz w:val="16"/>
          <w:szCs w:val="16"/>
          <w:b w:val="1"/>
          <w:bCs w:val="1"/>
          <w:color w:val="auto"/>
        </w:rPr>
      </w:pPr>
    </w:p>
    <w:p>
      <w:pPr>
        <w:ind w:left="500" w:hanging="267"/>
        <w:spacing w:after="0"/>
        <w:tabs>
          <w:tab w:leader="none" w:pos="50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Determination of Present Value. </w:t>
      </w:r>
      <w:r>
        <w:rPr>
          <w:rFonts w:ascii="Arial" w:cs="Arial" w:eastAsia="Arial" w:hAnsi="Arial"/>
          <w:sz w:val="16"/>
          <w:szCs w:val="16"/>
          <w:color w:val="auto"/>
        </w:rPr>
        <w:t>For purposes of this Section 23, the present value shall be determined in accordance with section 280G(d)(4) of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Code.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left="240"/>
        <w:spacing w:after="0"/>
        <w:rPr>
          <w:sz w:val="20"/>
          <w:szCs w:val="20"/>
          <w:color w:val="auto"/>
        </w:rPr>
      </w:pPr>
      <w:r>
        <w:rPr>
          <w:rFonts w:ascii="Arial" w:cs="Arial" w:eastAsia="Arial" w:hAnsi="Arial"/>
          <w:sz w:val="18"/>
          <w:szCs w:val="18"/>
          <w:b w:val="1"/>
          <w:bCs w:val="1"/>
          <w:color w:val="auto"/>
        </w:rPr>
        <w:t>24. Code Section 409A.</w:t>
      </w:r>
    </w:p>
    <w:p>
      <w:pPr>
        <w:spacing w:after="0" w:line="12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It is the intention of the Company and Executive that this Agreement not result in an unfavorable tax consequences to Executive under Section 409A of the Code (“Section 409A”). Executive hereby consents to any amendment of this Agreement as the Company may reasonably make in furtherance of such intention, and the Company shall promptly provide, or make available to, Executive a copy of such amendment. Moreover, notwithstanding anything in this Agreement to the contrary, if Executive is deemed to be a “specified employee” for purposes of Section 409A, no severance payment or other payments pursuant to, or contemplated by, this Agreement or otherwise that would reasonably be expected to result in excise taxes under Section 409A shall be distributable to Executive from the Company until the amount of time has elapsed that is necessary to avoid Executive incurring any excise taxes under Section 409A. Should application of the preceding sentence result in a delay of payments to Executive, on the first day any such payments may be made without Executive incurring a excise tax pursuant to Section 409A (the “409A Payment Date”), the Company shall begin to make such payments as described in this Agreement, provided that any amounts that would have been payable earlier but for the application of this Section 24, shall be paid in a lump-sum on the 409A Payment Date. If any severance or post-employment payment made to Executive is subject to any such excise or other tax, then payment of such tax is solely the responsibility of Executive, and not the Company.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 WITNESS WHEREOF, this Agreement is executed on the date first set forth above and is effective as of the Employment Date.</w:t>
      </w:r>
    </w:p>
    <w:p>
      <w:pPr>
        <w:spacing w:after="0" w:line="221"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MICHAEL JAY ROMANS</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Michael Jay Romans</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-130810</wp:posOffset>
            </wp:positionV>
            <wp:extent cx="31559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6350</wp:posOffset>
            </wp:positionV>
            <wp:extent cx="2675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289560</wp:posOffset>
            </wp:positionV>
            <wp:extent cx="31559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David P. Steiner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-130810</wp:posOffset>
            </wp:positionV>
            <wp:extent cx="29330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180"/>
      </w:cols>
      <w:pgMar w:left="48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o"/>
      <w:numFmt w:val="bullet"/>
      <w:start w:val="1"/>
    </w:lvl>
  </w:abstractNum>
  <w:abstractNum w:abstractNumId="1">
    <w:nsid w:val="71F32454"/>
    <w:multiLevelType w:val="hybridMultilevel"/>
    <w:lvl w:ilvl="0">
      <w:lvlJc w:val="left"/>
      <w:lvlText w:val="\emdash "/>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lowerLetter"/>
      <w:start w:val="2"/>
    </w:lvl>
  </w:abstractNum>
  <w:abstractNum w:abstractNumId="5">
    <w:nsid w:val="3A95F874"/>
    <w:multiLevelType w:val="hybridMultilevel"/>
    <w:lvl w:ilvl="0">
      <w:lvlJc w:val="left"/>
      <w:lvlText w:val="(%1)"/>
      <w:numFmt w:val="lowerLetter"/>
      <w:start w:val="3"/>
    </w:lvl>
  </w:abstractNum>
  <w:abstractNum w:abstractNumId="6">
    <w:nsid w:val="8138641"/>
    <w:multiLevelType w:val="hybridMultilevel"/>
    <w:lvl w:ilvl="0">
      <w:lvlJc w:val="left"/>
      <w:lvlText w:val="%1"/>
      <w:numFmt w:val="lowerRoman"/>
      <w:start w:val="1"/>
    </w:lvl>
    <w:lvl w:ilvl="1">
      <w:lvlJc w:val="left"/>
      <w:lvlText w:val="(%2)"/>
      <w:numFmt w:val="lowerLetter"/>
      <w:start w:val="4"/>
    </w:lvl>
  </w:abstractNum>
  <w:abstractNum w:abstractNumId="7">
    <w:nsid w:val="1E7FF521"/>
    <w:multiLevelType w:val="hybridMultilevel"/>
    <w:lvl w:ilvl="0">
      <w:lvlJc w:val="left"/>
      <w:lvlText w:val="%1"/>
      <w:numFmt w:val="lowerRoman"/>
      <w:start w:val="1"/>
    </w:lvl>
    <w:lvl w:ilvl="1">
      <w:lvlJc w:val="left"/>
      <w:lvlText w:val="(%2)"/>
      <w:numFmt w:val="lowerLetter"/>
      <w:start w:val="9"/>
    </w:lvl>
  </w:abstractNum>
  <w:abstractNum w:abstractNumId="8">
    <w:nsid w:val="7C3DBD3D"/>
    <w:multiLevelType w:val="hybridMultilevel"/>
    <w:lvl w:ilvl="0">
      <w:lvlJc w:val="left"/>
      <w:lvlText w:val="%1"/>
      <w:numFmt w:val="lowerRoman"/>
      <w:start w:val="1"/>
    </w:lvl>
    <w:lvl w:ilvl="1">
      <w:lvlJc w:val="left"/>
      <w:lvlText w:val="(%2)"/>
      <w:numFmt w:val="lowerLetter"/>
      <w:start w:val="35"/>
    </w:lvl>
  </w:abstractNum>
  <w:abstractNum w:abstractNumId="9">
    <w:nsid w:val="737B8DDC"/>
    <w:multiLevelType w:val="hybridMultilevel"/>
    <w:lvl w:ilvl="0">
      <w:lvlJc w:val="left"/>
      <w:lvlText w:val="(%1)"/>
      <w:numFmt w:val="lowerRoman"/>
      <w:start w:val="3"/>
    </w:lvl>
  </w:abstractNum>
  <w:abstractNum w:abstractNumId="10">
    <w:nsid w:val="6CEAF087"/>
    <w:multiLevelType w:val="hybridMultilevel"/>
    <w:lvl w:ilvl="0">
      <w:lvlJc w:val="left"/>
      <w:lvlText w:val="(%1)"/>
      <w:numFmt w:val="lowerLetter"/>
      <w:start w:val="6"/>
    </w:lvl>
  </w:abstractNum>
  <w:abstractNum w:abstractNumId="11">
    <w:nsid w:val="22221A70"/>
    <w:multiLevelType w:val="hybridMultilevel"/>
    <w:lvl w:ilvl="0">
      <w:lvlJc w:val="left"/>
      <w:lvlText w:val="(%1)"/>
      <w:numFmt w:val="lowerLetter"/>
      <w:start w:val="7"/>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Roman"/>
      <w:start w:val="1"/>
    </w:lvl>
    <w:lvl w:ilvl="1">
      <w:lvlJc w:val="left"/>
      <w:lvlText w:val="(%2)"/>
      <w:numFmt w:val="lowerLetter"/>
      <w:start w:val="3"/>
    </w:lvl>
  </w:abstractNum>
  <w:abstractNum w:abstractNumId="14">
    <w:nsid w:val="614FD4A1"/>
    <w:multiLevelType w:val="hybridMultilevel"/>
    <w:lvl w:ilvl="0">
      <w:lvlJc w:val="left"/>
      <w:lvlText w:val="%1"/>
      <w:numFmt w:val="lowerRoman"/>
      <w:start w:val="1"/>
    </w:lvl>
    <w:lvl w:ilvl="1">
      <w:lvlJc w:val="left"/>
      <w:lvlText w:val="(%2)"/>
      <w:numFmt w:val="lowerLetter"/>
      <w:start w:val="9"/>
    </w:lvl>
  </w:abstractNum>
  <w:abstractNum w:abstractNumId="15">
    <w:nsid w:val="419AC241"/>
    <w:multiLevelType w:val="hybridMultilevel"/>
    <w:lvl w:ilvl="0">
      <w:lvlJc w:val="left"/>
      <w:lvlText w:val="%1"/>
      <w:numFmt w:val="lowerRoman"/>
      <w:start w:val="1"/>
    </w:lvl>
    <w:lvl w:ilvl="1">
      <w:lvlJc w:val="left"/>
      <w:lvlText w:val="(%2)"/>
      <w:numFmt w:val="lowerLetter"/>
      <w:start w:val="35"/>
    </w:lvl>
  </w:abstractNum>
  <w:abstractNum w:abstractNumId="16">
    <w:nsid w:val="5577F8E1"/>
    <w:multiLevelType w:val="hybridMultilevel"/>
    <w:lvl w:ilvl="0">
      <w:lvlJc w:val="left"/>
      <w:lvlText w:val="%1"/>
      <w:numFmt w:val="lowerRoman"/>
      <w:start w:val="1"/>
    </w:lvl>
    <w:lvl w:ilvl="1">
      <w:lvlJc w:val="left"/>
      <w:lvlText w:val="(%2)"/>
      <w:numFmt w:val="lowerLetter"/>
      <w:start w:val="4"/>
    </w:lvl>
  </w:abstractNum>
  <w:abstractNum w:abstractNumId="17">
    <w:nsid w:val="440BADFC"/>
    <w:multiLevelType w:val="hybridMultilevel"/>
    <w:lvl w:ilvl="0">
      <w:lvlJc w:val="left"/>
      <w:lvlText w:val="(%1)"/>
      <w:numFmt w:val="lowerRoman"/>
      <w:start w:val="1"/>
    </w:lvl>
  </w:abstractNum>
  <w:abstractNum w:abstractNumId="18">
    <w:nsid w:val="5072367"/>
    <w:multiLevelType w:val="hybridMultilevel"/>
    <w:lvl w:ilvl="0">
      <w:lvlJc w:val="left"/>
      <w:lvlText w:val="(%1)"/>
      <w:numFmt w:val="lowerRoman"/>
      <w:start w:val="2"/>
    </w:lvl>
  </w:abstractNum>
  <w:abstractNum w:abstractNumId="19">
    <w:nsid w:val="3804823E"/>
    <w:multiLevelType w:val="hybridMultilevel"/>
    <w:lvl w:ilvl="0">
      <w:lvlJc w:val="left"/>
      <w:lvlText w:val="(%1)"/>
      <w:numFmt w:val="lowerLetter"/>
      <w:start w:val="5"/>
    </w:lvl>
  </w:abstractNum>
  <w:abstractNum w:abstractNumId="20">
    <w:nsid w:val="77465F01"/>
    <w:multiLevelType w:val="hybridMultilevel"/>
    <w:lvl w:ilvl="0">
      <w:lvlJc w:val="left"/>
      <w:lvlText w:val="(%1)"/>
      <w:numFmt w:val="lowerLetter"/>
      <w:start w:val="1"/>
    </w:lvl>
    <w:lvl w:ilvl="1">
      <w:lvlJc w:val="left"/>
      <w:lvlText w:val="%2"/>
      <w:numFmt w:val="lowerLetter"/>
      <w:start w:val="1"/>
    </w:lvl>
  </w:abstractNum>
  <w:abstractNum w:abstractNumId="21">
    <w:nsid w:val="7724C67E"/>
    <w:multiLevelType w:val="hybridMultilevel"/>
    <w:lvl w:ilvl="0">
      <w:lvlJc w:val="left"/>
      <w:lvlText w:val="(%1)"/>
      <w:numFmt w:val="lowerLetter"/>
      <w:start w:val="9"/>
    </w:lvl>
    <w:lvl w:ilvl="1">
      <w:lvlJc w:val="left"/>
      <w:lvlText w:val="%2"/>
      <w:numFmt w:val="lowerLetter"/>
      <w:start w:val="1"/>
    </w:lvl>
  </w:abstractNum>
  <w:abstractNum w:abstractNumId="22">
    <w:nsid w:val="5C482A97"/>
    <w:multiLevelType w:val="hybridMultilevel"/>
    <w:lvl w:ilvl="0">
      <w:lvlJc w:val="left"/>
      <w:lvlText w:val="(%1)"/>
      <w:numFmt w:val="lowerLetter"/>
      <w:start w:val="35"/>
    </w:lvl>
    <w:lvl w:ilvl="1">
      <w:lvlJc w:val="left"/>
      <w:lvlText w:val="%2"/>
      <w:numFmt w:val="lowerLetter"/>
      <w:start w:val="1"/>
    </w:lvl>
  </w:abstractNum>
  <w:abstractNum w:abstractNumId="23">
    <w:nsid w:val="2463B9EA"/>
    <w:multiLevelType w:val="hybridMultilevel"/>
    <w:lvl w:ilvl="0">
      <w:lvlJc w:val="left"/>
      <w:lvlText w:val="(%1)"/>
      <w:numFmt w:val="lowerLetter"/>
      <w:start w:val="2"/>
    </w:lvl>
    <w:lvl w:ilvl="1">
      <w:lvlJc w:val="left"/>
      <w:lvlText w:val="%2"/>
      <w:numFmt w:val="lowerLetter"/>
      <w:start w:val="1"/>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1"/>
      <w:numFmt w:val="lowerRoman"/>
      <w:start w:val="1"/>
    </w:lvl>
    <w:lvl w:ilvl="1">
      <w:lvlJc w:val="left"/>
      <w:lvlText w:val="(%2)"/>
      <w:numFmt w:val="lowerLetter"/>
      <w:start w:val="3"/>
    </w:lvl>
  </w:abstractNum>
  <w:abstractNum w:abstractNumId="26">
    <w:nsid w:val="2D517796"/>
    <w:multiLevelType w:val="hybridMultilevel"/>
    <w:lvl w:ilvl="0">
      <w:lvlJc w:val="left"/>
      <w:lvlText w:val="%1"/>
      <w:numFmt w:val="lowerRoman"/>
      <w:start w:val="1"/>
    </w:lvl>
    <w:lvl w:ilvl="1">
      <w:lvlJc w:val="left"/>
      <w:lvlText w:val="(%2)"/>
      <w:numFmt w:val="lowerLetter"/>
      <w:start w:val="9"/>
    </w:lvl>
  </w:abstractNum>
  <w:abstractNum w:abstractNumId="27">
    <w:nsid w:val="580BD78F"/>
    <w:multiLevelType w:val="hybridMultilevel"/>
    <w:lvl w:ilvl="0">
      <w:lvlJc w:val="left"/>
      <w:lvlText w:val="%1"/>
      <w:numFmt w:val="lowerRoman"/>
      <w:start w:val="1"/>
    </w:lvl>
    <w:lvl w:ilvl="1">
      <w:lvlJc w:val="left"/>
      <w:lvlText w:val="(%2)"/>
      <w:numFmt w:val="lowerLetter"/>
      <w:start w:val="35"/>
    </w:lvl>
  </w:abstractNum>
  <w:abstractNum w:abstractNumId="28">
    <w:nsid w:val="153EA438"/>
    <w:multiLevelType w:val="hybridMultilevel"/>
    <w:lvl w:ilvl="0">
      <w:lvlJc w:val="left"/>
      <w:lvlText w:val="%1"/>
      <w:numFmt w:val="lowerRoman"/>
      <w:start w:val="1"/>
    </w:lvl>
    <w:lvl w:ilvl="1">
      <w:lvlJc w:val="left"/>
      <w:lvlText w:val="(%2)"/>
      <w:numFmt w:val="lowerLetter"/>
      <w:start w:val="4"/>
    </w:lvl>
  </w:abstractNum>
  <w:abstractNum w:abstractNumId="29">
    <w:nsid w:val="3855585C"/>
    <w:multiLevelType w:val="hybridMultilevel"/>
    <w:lvl w:ilvl="0">
      <w:lvlJc w:val="left"/>
      <w:lvlText w:val="(%1)"/>
      <w:numFmt w:val="lowerRoman"/>
      <w:start w:val="1"/>
    </w:lvl>
  </w:abstractNum>
  <w:abstractNum w:abstractNumId="30">
    <w:nsid w:val="70A64E2A"/>
    <w:multiLevelType w:val="hybridMultilevel"/>
    <w:lvl w:ilvl="0">
      <w:lvlJc w:val="left"/>
      <w:lvlText w:val="(%1)"/>
      <w:numFmt w:val="lowerRoman"/>
      <w:start w:val="2"/>
    </w:lvl>
  </w:abstractNum>
  <w:abstractNum w:abstractNumId="31">
    <w:nsid w:val="6A2342EC"/>
    <w:multiLevelType w:val="hybridMultilevel"/>
    <w:lvl w:ilvl="0">
      <w:lvlJc w:val="left"/>
      <w:lvlText w:val="(%1)"/>
      <w:numFmt w:val="lowerLetter"/>
      <w:start w:val="5"/>
    </w:lvl>
  </w:abstractNum>
  <w:abstractNum w:abstractNumId="32">
    <w:nsid w:val="2A487CB0"/>
    <w:multiLevelType w:val="hybridMultilevel"/>
    <w:lvl w:ilvl="0">
      <w:lvlJc w:val="left"/>
      <w:lvlText w:val="(%1)"/>
      <w:numFmt w:val="lowerRoman"/>
      <w:start w:val="2"/>
    </w:lvl>
  </w:abstractNum>
  <w:abstractNum w:abstractNumId="33">
    <w:nsid w:val="1D4ED43B"/>
    <w:multiLevelType w:val="hybridMultilevel"/>
    <w:lvl w:ilvl="0">
      <w:lvlJc w:val="left"/>
      <w:lvlText w:val="(%1)"/>
      <w:numFmt w:val="lowerRoman"/>
      <w:start w:val="2"/>
    </w:lvl>
  </w:abstractNum>
  <w:abstractNum w:abstractNumId="34">
    <w:nsid w:val="725A06FB"/>
    <w:multiLevelType w:val="hybridMultilevel"/>
    <w:lvl w:ilvl="0">
      <w:lvlJc w:val="left"/>
      <w:lvlText w:val="(%1)"/>
      <w:numFmt w:val="lowerRoman"/>
      <w:start w:val="5"/>
    </w:lvl>
  </w:abstractNum>
  <w:abstractNum w:abstractNumId="35">
    <w:nsid w:val="2CD89A32"/>
    <w:multiLevelType w:val="hybridMultilevel"/>
    <w:lvl w:ilvl="0">
      <w:lvlJc w:val="left"/>
      <w:lvlText w:val="%1"/>
      <w:numFmt w:val="lowerRoman"/>
      <w:start w:val="1"/>
    </w:lvl>
    <w:lvl w:ilvl="1">
      <w:lvlJc w:val="left"/>
      <w:lvlText w:val="(%2)"/>
      <w:numFmt w:val="lowerLetter"/>
      <w:start w:val="6"/>
    </w:lvl>
  </w:abstractNum>
  <w:abstractNum w:abstractNumId="36">
    <w:nsid w:val="57E4CCAF"/>
    <w:multiLevelType w:val="hybridMultilevel"/>
    <w:lvl w:ilvl="0">
      <w:lvlJc w:val="left"/>
      <w:lvlText w:val="%1"/>
      <w:numFmt w:val="lowerRoman"/>
      <w:start w:val="1"/>
    </w:lvl>
    <w:lvl w:ilvl="1">
      <w:lvlJc w:val="left"/>
      <w:lvlText w:val="(%2)"/>
      <w:numFmt w:val="lowerLetter"/>
      <w:start w:val="9"/>
    </w:lvl>
  </w:abstractNum>
  <w:abstractNum w:abstractNumId="37">
    <w:nsid w:val="7A6D8D3C"/>
    <w:multiLevelType w:val="hybridMultilevel"/>
    <w:lvl w:ilvl="0">
      <w:lvlJc w:val="left"/>
      <w:lvlText w:val="%1"/>
      <w:numFmt w:val="lowerRoman"/>
      <w:start w:val="1"/>
    </w:lvl>
    <w:lvl w:ilvl="1">
      <w:lvlJc w:val="left"/>
      <w:lvlText w:val="(%2)"/>
      <w:numFmt w:val="lowerLetter"/>
      <w:start w:val="35"/>
    </w:lvl>
  </w:abstractNum>
  <w:abstractNum w:abstractNumId="38">
    <w:nsid w:val="4B588F54"/>
    <w:multiLevelType w:val="hybridMultilevel"/>
    <w:lvl w:ilvl="0">
      <w:lvlJc w:val="left"/>
      <w:lvlText w:val="(%1)"/>
      <w:numFmt w:val="lowerRoman"/>
      <w:start w:val="1"/>
    </w:lvl>
  </w:abstractNum>
  <w:abstractNum w:abstractNumId="39">
    <w:nsid w:val="542289EC"/>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40">
    <w:nsid w:val="6DE91B18"/>
    <w:multiLevelType w:val="hybridMultilevel"/>
    <w:lvl w:ilvl="0">
      <w:lvlJc w:val="left"/>
      <w:lvlText w:val="%1"/>
      <w:numFmt w:val="lowerRoman"/>
      <w:start w:val="1"/>
    </w:lvl>
    <w:lvl w:ilvl="1">
      <w:lvlJc w:val="left"/>
      <w:lvlText w:val="(%2)"/>
      <w:numFmt w:val="lowerLetter"/>
      <w:start w:val="9"/>
    </w:lvl>
    <w:lvl w:ilvl="2">
      <w:lvlJc w:val="left"/>
      <w:lvlText w:val="(%3)"/>
      <w:numFmt w:val="upperLetter"/>
      <w:start w:val="1"/>
    </w:lvl>
  </w:abstractNum>
  <w:abstractNum w:abstractNumId="41">
    <w:nsid w:val="38437FDB"/>
    <w:multiLevelType w:val="hybridMultilevel"/>
    <w:lvl w:ilvl="0">
      <w:lvlJc w:val="left"/>
      <w:lvlText w:val="%1"/>
      <w:numFmt w:val="lowerRoman"/>
      <w:start w:val="1"/>
    </w:lvl>
    <w:lvl w:ilvl="1">
      <w:lvlJc w:val="left"/>
      <w:lvlText w:val="(%2)"/>
      <w:numFmt w:val="lowerLetter"/>
      <w:start w:val="35"/>
    </w:lvl>
    <w:lvl w:ilvl="2">
      <w:lvlJc w:val="left"/>
      <w:lvlText w:val="%3"/>
      <w:numFmt w:val="upperLetter"/>
      <w:start w:val="1"/>
    </w:lvl>
  </w:abstractNum>
  <w:abstractNum w:abstractNumId="42">
    <w:nsid w:val="7644A45C"/>
    <w:multiLevelType w:val="hybridMultilevel"/>
    <w:lvl w:ilvl="0">
      <w:lvlJc w:val="left"/>
      <w:lvlText w:val="(%1)"/>
      <w:numFmt w:val="lowerRoman"/>
      <w:start w:val="3"/>
    </w:lvl>
    <w:lvl w:ilvl="1">
      <w:lvlJc w:val="left"/>
      <w:lvlText w:val="%2."/>
      <w:numFmt w:val="decimal"/>
      <w:start w:val="8"/>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1)"/>
      <w:numFmt w:val="lowerLetter"/>
      <w:start w:val="4"/>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upperLetter"/>
      <w:start w:val="1"/>
    </w:lvl>
    <w:lvl w:ilvl="1">
      <w:lvlJc w:val="left"/>
      <w:lvlText w:val="(%2)"/>
      <w:numFmt w:val="lowerLetter"/>
      <w:start w:val="2"/>
    </w:lvl>
  </w:abstractNum>
  <w:abstractNum w:abstractNumId="48">
    <w:nsid w:val="1BA026FA"/>
    <w:multiLevelType w:val="hybridMultilevel"/>
    <w:lvl w:ilvl="0">
      <w:lvlJc w:val="left"/>
      <w:lvlText w:val="(%1)"/>
      <w:numFmt w:val="upperLetter"/>
      <w:start w:val="2"/>
    </w:lvl>
    <w:lvl w:ilvl="1">
      <w:lvlJc w:val="left"/>
      <w:lvlText w:val="(%2)"/>
      <w:numFmt w:val="lowerLetter"/>
      <w:start w:val="3"/>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lowerRoman"/>
      <w:start w:val="1"/>
    </w:lvl>
    <w:lvl w:ilvl="1">
      <w:lvlJc w:val="left"/>
      <w:lvlText w:val="(%2)"/>
      <w:numFmt w:val="lowerLetter"/>
      <w:start w:val="1"/>
    </w:lvl>
  </w:abstractNum>
  <w:abstractNum w:abstractNumId="51">
    <w:nsid w:val="12E685FB"/>
    <w:multiLevelType w:val="hybridMultilevel"/>
    <w:lvl w:ilvl="0">
      <w:lvlJc w:val="left"/>
      <w:lvlText w:val="(%1)"/>
      <w:numFmt w:val="lowerRoman"/>
      <w:start w:val="6"/>
    </w:lvl>
    <w:lvl w:ilvl="1">
      <w:lvlJc w:val="left"/>
      <w:lvlText w:val="%2"/>
      <w:numFmt w:val="lowerLetter"/>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2019-12-20T04:16:36Z</dcterms:created>
  <dcterms:modified xsi:type="dcterms:W3CDTF">2019-12-20T04:16:36Z</dcterms:modified>
</cp:coreProperties>
</file>