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38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AND EXCHANGE ACT OF 1934</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2014</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460" w:right="28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AND EXCHANGE ACT OF 1934</w:t>
      </w:r>
    </w:p>
    <w:p>
      <w:pPr>
        <w:spacing w:after="0" w:line="24"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tbl>
      <w:tblPr>
        <w:tblLayout w:type="fixed"/>
        <w:tblInd w:w="2020" w:type="dxa"/>
        <w:tblCellMar>
          <w:top w:w="0" w:type="dxa"/>
          <w:left w:w="0" w:type="dxa"/>
          <w:bottom w:w="0" w:type="dxa"/>
          <w:right w:w="0" w:type="dxa"/>
        </w:tblCellMar>
      </w:tblPr>
      <w:tr>
        <w:trPr>
          <w:trHeight w:val="202"/>
        </w:trPr>
        <w:tc>
          <w:tcPr>
            <w:tcW w:w="3920" w:type="dxa"/>
            <w:vAlign w:val="bottom"/>
          </w:tcPr>
          <w:p>
            <w:pPr>
              <w:jc w:val="center"/>
              <w:ind w:right="210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240" w:type="dxa"/>
            <w:vAlign w:val="bottom"/>
          </w:tcPr>
          <w:p>
            <w:pPr>
              <w:jc w:val="center"/>
              <w:ind w:left="2108"/>
              <w:spacing w:after="0"/>
              <w:rPr>
                <w:sz w:val="20"/>
                <w:szCs w:val="20"/>
                <w:color w:val="auto"/>
              </w:rPr>
            </w:pPr>
            <w:r>
              <w:rPr>
                <w:rFonts w:ascii="Times New Roman" w:cs="Times New Roman" w:eastAsia="Times New Roman" w:hAnsi="Times New Roman"/>
                <w:sz w:val="16"/>
                <w:szCs w:val="16"/>
                <w:b w:val="1"/>
                <w:bCs w:val="1"/>
                <w:color w:val="auto"/>
              </w:rPr>
              <w:t>73-1309529</w:t>
            </w:r>
          </w:p>
        </w:tc>
      </w:tr>
      <w:tr>
        <w:trPr>
          <w:trHeight w:val="149"/>
        </w:trPr>
        <w:tc>
          <w:tcPr>
            <w:tcW w:w="3920" w:type="dxa"/>
            <w:vAlign w:val="bottom"/>
          </w:tcPr>
          <w:p>
            <w:pPr>
              <w:jc w:val="center"/>
              <w:ind w:right="210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(State or other jurisdiction of</w:t>
            </w:r>
          </w:p>
        </w:tc>
        <w:tc>
          <w:tcPr>
            <w:tcW w:w="3240" w:type="dxa"/>
            <w:vAlign w:val="bottom"/>
          </w:tcPr>
          <w:p>
            <w:pPr>
              <w:jc w:val="center"/>
              <w:ind w:left="2108"/>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3920" w:type="dxa"/>
            <w:vAlign w:val="bottom"/>
          </w:tcPr>
          <w:p>
            <w:pPr>
              <w:jc w:val="center"/>
              <w:ind w:right="2088"/>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3240" w:type="dxa"/>
            <w:vAlign w:val="bottom"/>
          </w:tcPr>
          <w:p>
            <w:pPr>
              <w:jc w:val="center"/>
              <w:ind w:left="2108"/>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bl>
    <w:p>
      <w:pPr>
        <w:spacing w:after="0" w:line="93" w:lineRule="exact"/>
        <w:rPr>
          <w:sz w:val="24"/>
          <w:szCs w:val="24"/>
          <w:color w:val="auto"/>
        </w:rPr>
      </w:pPr>
    </w:p>
    <w:p>
      <w:pPr>
        <w:sectPr>
          <w:pgSz w:w="11900" w:h="16838" w:orient="portrait"/>
          <w:cols w:equalWidth="0" w:num="1">
            <w:col w:w="11420"/>
          </w:cols>
          <w:pgMar w:left="240" w:top="226" w:right="239" w:bottom="1089" w:gutter="0" w:footer="0" w:header="0"/>
        </w:sectPr>
      </w:pPr>
    </w:p>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1001 Fannin Street, Suite 4000</w:t>
      </w:r>
    </w:p>
    <w:p>
      <w:pPr>
        <w:spacing w:after="0" w:line="28"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Houston, Texas</w:t>
      </w:r>
    </w:p>
    <w:p>
      <w:pPr>
        <w:spacing w:after="0" w:line="2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55"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6"/>
          <w:szCs w:val="16"/>
          <w:b w:val="1"/>
          <w:bCs w:val="1"/>
          <w:color w:val="auto"/>
        </w:rPr>
        <w:t>(713) 512-6200</w:t>
      </w:r>
    </w:p>
    <w:p>
      <w:pPr>
        <w:spacing w:after="0" w:line="66" w:lineRule="exact"/>
        <w:rPr>
          <w:sz w:val="24"/>
          <w:szCs w:val="24"/>
          <w:color w:val="auto"/>
        </w:rPr>
      </w:pPr>
    </w:p>
    <w:p>
      <w:pPr>
        <w:jc w:val="center"/>
        <w:ind w:left="374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6"/>
          <w:szCs w:val="16"/>
          <w:b w:val="1"/>
          <w:bCs w:val="1"/>
          <w:color w:val="auto"/>
        </w:rPr>
        <w:t>77002</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765" w:lineRule="exact"/>
        <w:rPr>
          <w:sz w:val="24"/>
          <w:szCs w:val="24"/>
          <w:color w:val="auto"/>
        </w:rPr>
      </w:pPr>
    </w:p>
    <w:p>
      <w:pPr>
        <w:sectPr>
          <w:pgSz w:w="11900" w:h="16838" w:orient="portrait"/>
          <w:cols w:equalWidth="0" w:num="2">
            <w:col w:w="7700" w:space="660"/>
            <w:col w:w="3060"/>
          </w:cols>
          <w:pgMar w:left="240" w:top="226" w:right="239" w:bottom="1089" w:gutter="0" w:footer="0" w:header="0"/>
          <w:type w:val="continuous"/>
        </w:sectPr>
      </w:pPr>
    </w:p>
    <w:tbl>
      <w:tblPr>
        <w:tblLayout w:type="fixed"/>
        <w:tblInd w:w="360" w:type="dxa"/>
        <w:tblCellMar>
          <w:top w:w="0" w:type="dxa"/>
          <w:left w:w="0" w:type="dxa"/>
          <w:bottom w:w="0" w:type="dxa"/>
          <w:right w:w="0" w:type="dxa"/>
        </w:tblCellMar>
      </w:tblPr>
      <w:tr>
        <w:trPr>
          <w:trHeight w:val="166"/>
        </w:trPr>
        <w:tc>
          <w:tcPr>
            <w:tcW w:w="2020" w:type="dxa"/>
            <w:vAlign w:val="bottom"/>
            <w:vMerge w:val="restart"/>
          </w:tcPr>
          <w:p>
            <w:pPr>
              <w:ind w:left="1460"/>
              <w:spacing w:after="0"/>
              <w:rPr>
                <w:sz w:val="20"/>
                <w:szCs w:val="20"/>
                <w:color w:val="auto"/>
              </w:rPr>
            </w:pPr>
            <w:r>
              <w:rPr>
                <w:rFonts w:ascii="Times New Roman" w:cs="Times New Roman" w:eastAsia="Times New Roman" w:hAnsi="Times New Roman"/>
                <w:sz w:val="16"/>
                <w:szCs w:val="16"/>
                <w:b w:val="1"/>
                <w:bCs w:val="1"/>
                <w:color w:val="auto"/>
                <w:w w:val="85"/>
              </w:rPr>
              <w:t>Common</w:t>
            </w:r>
          </w:p>
        </w:tc>
        <w:tc>
          <w:tcPr>
            <w:tcW w:w="1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11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gridSpan w:val="4"/>
          </w:tcPr>
          <w:p>
            <w:pPr>
              <w:jc w:val="center"/>
              <w:ind w:left="577"/>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20"/>
        </w:trPr>
        <w:tc>
          <w:tcPr>
            <w:tcW w:w="2020" w:type="dxa"/>
            <w:vAlign w:val="bottom"/>
            <w:vMerge w:val="continu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20" w:type="dxa"/>
            <w:vAlign w:val="bottom"/>
            <w:vMerge w:val="continue"/>
          </w:tcPr>
          <w:p>
            <w:pPr>
              <w:spacing w:after="0"/>
              <w:rPr>
                <w:sz w:val="18"/>
                <w:szCs w:val="18"/>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Stock, $.01 par value</w:t>
            </w:r>
          </w:p>
        </w:tc>
        <w:tc>
          <w:tcPr>
            <w:tcW w:w="23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160" w:type="dxa"/>
            <w:vAlign w:val="bottom"/>
            <w:gridSpan w:val="3"/>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174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28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by Rule 405 of the Securities Act. Yes </w:t>
            </w:r>
            <w:r>
              <w:rPr>
                <w:rFonts w:ascii="MS PGothic" w:cs="MS PGothic" w:eastAsia="MS PGothic" w:hAnsi="MS PGothic"/>
                <w:sz w:val="16"/>
                <w:szCs w:val="16"/>
                <w:color w:val="auto"/>
              </w:rPr>
              <w:t>☒</w:t>
            </w:r>
          </w:p>
        </w:tc>
        <w:tc>
          <w:tcPr>
            <w:tcW w:w="11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70"/>
        </w:trPr>
        <w:tc>
          <w:tcPr>
            <w:tcW w:w="8280" w:type="dxa"/>
            <w:vAlign w:val="bottom"/>
            <w:gridSpan w:val="6"/>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tc>
        <w:tc>
          <w:tcPr>
            <w:tcW w:w="112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26" w:lineRule="exact"/>
        <w:rPr>
          <w:sz w:val="24"/>
          <w:szCs w:val="24"/>
          <w:color w:val="auto"/>
        </w:rPr>
      </w:pPr>
    </w:p>
    <w:p>
      <w:pPr>
        <w:ind w:right="180"/>
        <w:spacing w:after="0" w:line="211"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280" w:firstLine="342"/>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Regulations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3" w:lineRule="exact"/>
        <w:rPr>
          <w:sz w:val="24"/>
          <w:szCs w:val="24"/>
          <w:color w:val="auto"/>
        </w:rPr>
      </w:pPr>
    </w:p>
    <w:p>
      <w:pPr>
        <w:ind w:right="20" w:firstLine="342"/>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if disclosure of delinquent filers pursuant to Item 405 of Regulations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56" w:lineRule="exact"/>
        <w:rPr>
          <w:sz w:val="24"/>
          <w:szCs w:val="24"/>
          <w:color w:val="auto"/>
        </w:rPr>
      </w:pPr>
    </w:p>
    <w:p>
      <w:pPr>
        <w:ind w:firstLine="34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Times New Roman" w:cs="Times New Roman" w:eastAsia="Times New Roman" w:hAnsi="Times New Roman"/>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127" w:lineRule="exact"/>
        <w:rPr>
          <w:sz w:val="24"/>
          <w:szCs w:val="24"/>
          <w:color w:val="auto"/>
        </w:rPr>
      </w:pPr>
    </w:p>
    <w:p>
      <w:pPr>
        <w:spacing w:after="0" w:line="184" w:lineRule="exact"/>
        <w:tabs>
          <w:tab w:leader="none" w:pos="1800" w:val="left"/>
          <w:tab w:leader="none" w:pos="9100" w:val="left"/>
          <w:tab w:leader="none" w:pos="11260" w:val="left"/>
        </w:tabs>
        <w:rPr>
          <w:sz w:val="20"/>
          <w:szCs w:val="20"/>
          <w:color w:val="auto"/>
        </w:rPr>
      </w:pPr>
      <w:r>
        <w:rPr>
          <w:rFonts w:ascii="Times New Roman" w:cs="Times New Roman" w:eastAsia="Times New Roman" w:hAnsi="Times New Roman"/>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(Do not check if a smaller reporting company)</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86" w:lineRule="exact"/>
        <w:rPr>
          <w:sz w:val="24"/>
          <w:szCs w:val="24"/>
          <w:color w:val="auto"/>
        </w:rPr>
      </w:pPr>
    </w:p>
    <w:p>
      <w:pPr>
        <w:ind w:left="360"/>
        <w:spacing w:after="0" w:line="184" w:lineRule="exact"/>
        <w:tabs>
          <w:tab w:leader="none" w:pos="76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12" w:lineRule="exact"/>
        <w:rPr>
          <w:sz w:val="24"/>
          <w:szCs w:val="24"/>
          <w:color w:val="auto"/>
        </w:rPr>
      </w:pPr>
    </w:p>
    <w:p>
      <w:pPr>
        <w:ind w:right="100" w:firstLine="342"/>
        <w:spacing w:after="0" w:line="281" w:lineRule="auto"/>
        <w:rPr>
          <w:sz w:val="20"/>
          <w:szCs w:val="20"/>
          <w:color w:val="auto"/>
        </w:rPr>
      </w:pPr>
      <w:r>
        <w:rPr>
          <w:rFonts w:ascii="Times New Roman" w:cs="Times New Roman" w:eastAsia="Times New Roman" w:hAnsi="Times New Roman"/>
          <w:sz w:val="16"/>
          <w:szCs w:val="16"/>
          <w:color w:val="auto"/>
        </w:rPr>
        <w:t>The aggregate market value of the voting stock held by non-affiliates of the registrant at June 30, 2014 was approximately $20.8 billion. The aggregate market value was computed by using the closing price of the common stock as of that date on the New York Stock Exchange (“NYSE”). (For purposes of calculating this amount only, all directors and executive officers of the registrant have been treated as affiliates.)</w:t>
      </w:r>
    </w:p>
    <w:p>
      <w:pPr>
        <w:spacing w:after="0" w:line="4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The number of shares of Common Stock, $0.01 par value, of the registrant outstanding at February 6, 2015 was 459,128,449 (excluding treasury shares of 171,154,012).</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tc>
        <w:tc>
          <w:tcPr>
            <w:tcW w:w="10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2"/>
        </w:trPr>
        <w:tc>
          <w:tcPr>
            <w:tcW w:w="2620" w:type="dxa"/>
            <w:vAlign w:val="bottom"/>
          </w:tcPr>
          <w:p>
            <w:pPr>
              <w:spacing w:after="0"/>
              <w:rPr>
                <w:sz w:val="19"/>
                <w:szCs w:val="19"/>
                <w:color w:val="auto"/>
              </w:rPr>
            </w:pPr>
          </w:p>
        </w:tc>
        <w:tc>
          <w:tcPr>
            <w:tcW w:w="5540" w:type="dxa"/>
            <w:vAlign w:val="bottom"/>
            <w:gridSpan w:val="2"/>
          </w:tcPr>
          <w:p>
            <w:pPr>
              <w:jc w:val="center"/>
              <w:ind w:right="4919"/>
              <w:spacing w:after="0"/>
              <w:rPr>
                <w:sz w:val="20"/>
                <w:szCs w:val="20"/>
                <w:color w:val="auto"/>
              </w:rPr>
            </w:pPr>
            <w:r>
              <w:rPr>
                <w:rFonts w:ascii="Times New Roman" w:cs="Times New Roman" w:eastAsia="Times New Roman" w:hAnsi="Times New Roman"/>
                <w:sz w:val="13"/>
                <w:szCs w:val="13"/>
                <w:b w:val="1"/>
                <w:bCs w:val="1"/>
                <w:color w:val="auto"/>
                <w:w w:val="94"/>
              </w:rPr>
              <w:t>Document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Incorporated as to</w:t>
            </w:r>
          </w:p>
        </w:tc>
        <w:tc>
          <w:tcPr>
            <w:tcW w:w="2260" w:type="dxa"/>
            <w:vAlign w:val="bottom"/>
          </w:tcPr>
          <w:p>
            <w:pPr>
              <w:spacing w:after="0"/>
              <w:rPr>
                <w:sz w:val="19"/>
                <w:szCs w:val="19"/>
                <w:color w:val="auto"/>
              </w:rPr>
            </w:pPr>
          </w:p>
        </w:tc>
      </w:tr>
      <w:tr>
        <w:trPr>
          <w:trHeight w:val="182"/>
        </w:trPr>
        <w:tc>
          <w:tcPr>
            <w:tcW w:w="2620" w:type="dxa"/>
            <w:vAlign w:val="bottom"/>
          </w:tcPr>
          <w:p>
            <w:pPr>
              <w:ind w:left="2120"/>
              <w:spacing w:after="0" w:line="182" w:lineRule="exact"/>
              <w:rPr>
                <w:sz w:val="20"/>
                <w:szCs w:val="20"/>
                <w:color w:val="auto"/>
              </w:rPr>
            </w:pPr>
            <w:r>
              <w:rPr>
                <w:rFonts w:ascii="Times New Roman" w:cs="Times New Roman" w:eastAsia="Times New Roman" w:hAnsi="Times New Roman"/>
                <w:sz w:val="16"/>
                <w:szCs w:val="16"/>
                <w:color w:val="auto"/>
              </w:rPr>
              <w:t>Proxy</w:t>
            </w:r>
          </w:p>
        </w:tc>
        <w:tc>
          <w:tcPr>
            <w:tcW w:w="5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w w:val="84"/>
              </w:rPr>
              <w:t>Statement</w:t>
            </w:r>
          </w:p>
        </w:tc>
        <w:tc>
          <w:tcPr>
            <w:tcW w:w="5000" w:type="dxa"/>
            <w:vAlign w:val="bottom"/>
          </w:tcPr>
          <w:p>
            <w:pPr>
              <w:ind w:left="80"/>
              <w:spacing w:after="0" w:line="182" w:lineRule="exact"/>
              <w:rPr>
                <w:sz w:val="20"/>
                <w:szCs w:val="20"/>
                <w:color w:val="auto"/>
              </w:rPr>
            </w:pPr>
            <w:r>
              <w:rPr>
                <w:rFonts w:ascii="Times New Roman" w:cs="Times New Roman" w:eastAsia="Times New Roman" w:hAnsi="Times New Roman"/>
                <w:sz w:val="16"/>
                <w:szCs w:val="16"/>
                <w:color w:val="auto"/>
              </w:rPr>
              <w:t>for the</w:t>
            </w:r>
          </w:p>
        </w:tc>
        <w:tc>
          <w:tcPr>
            <w:tcW w:w="10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Part III</w:t>
            </w:r>
          </w:p>
        </w:tc>
        <w:tc>
          <w:tcPr>
            <w:tcW w:w="2260" w:type="dxa"/>
            <w:vAlign w:val="bottom"/>
          </w:tcPr>
          <w:p>
            <w:pPr>
              <w:spacing w:after="0"/>
              <w:rPr>
                <w:sz w:val="15"/>
                <w:szCs w:val="15"/>
                <w:color w:val="auto"/>
              </w:rPr>
            </w:pPr>
          </w:p>
        </w:tc>
      </w:tr>
      <w:tr>
        <w:trPr>
          <w:trHeight w:val="210"/>
        </w:trPr>
        <w:tc>
          <w:tcPr>
            <w:tcW w:w="8160" w:type="dxa"/>
            <w:vAlign w:val="bottom"/>
            <w:gridSpan w:val="3"/>
          </w:tcPr>
          <w:p>
            <w:pPr>
              <w:jc w:val="center"/>
              <w:ind w:right="2299"/>
              <w:spacing w:after="0"/>
              <w:rPr>
                <w:sz w:val="20"/>
                <w:szCs w:val="20"/>
                <w:color w:val="auto"/>
              </w:rPr>
            </w:pPr>
            <w:r>
              <w:rPr>
                <w:rFonts w:ascii="Times New Roman" w:cs="Times New Roman" w:eastAsia="Times New Roman" w:hAnsi="Times New Roman"/>
                <w:sz w:val="16"/>
                <w:szCs w:val="16"/>
                <w:color w:val="auto"/>
              </w:rPr>
              <w:t>2015 Annual Meeting of Stockholders</w:t>
            </w:r>
          </w:p>
        </w:tc>
        <w:tc>
          <w:tcPr>
            <w:tcW w:w="10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182"/>
        </w:trPr>
        <w:tc>
          <w:tcPr>
            <w:tcW w:w="26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spacing w:after="0"/>
              <w:rPr>
                <w:sz w:val="15"/>
                <w:szCs w:val="15"/>
                <w:color w:val="auto"/>
              </w:rPr>
            </w:pPr>
          </w:p>
        </w:tc>
      </w:tr>
      <w:tr>
        <w:trPr>
          <w:trHeight w:val="48"/>
        </w:trPr>
        <w:tc>
          <w:tcPr>
            <w:tcW w:w="26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089"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60" w:type="dxa"/>
            <w:vAlign w:val="bottom"/>
            <w:gridSpan w:val="15"/>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5400" w:type="dxa"/>
            <w:vAlign w:val="bottom"/>
            <w:gridSpan w:val="10"/>
            <w:vMerge w:val="restart"/>
          </w:tcPr>
          <w:p>
            <w:pPr>
              <w:jc w:val="center"/>
              <w:ind w:right="4820"/>
              <w:spacing w:after="0"/>
              <w:rPr>
                <w:rFonts w:ascii="Times New Roman" w:cs="Times New Roman" w:eastAsia="Times New Roman" w:hAnsi="Times New Roman"/>
                <w:sz w:val="18"/>
                <w:szCs w:val="18"/>
                <w:b w:val="1"/>
                <w:bCs w:val="1"/>
                <w:color w:val="0000EE"/>
                <w:w w:val="95"/>
              </w:rPr>
            </w:pPr>
            <w:hyperlink w:anchor="page3">
              <w:r>
                <w:rPr>
                  <w:rFonts w:ascii="Times New Roman" w:cs="Times New Roman" w:eastAsia="Times New Roman" w:hAnsi="Times New Roman"/>
                  <w:sz w:val="18"/>
                  <w:szCs w:val="18"/>
                  <w:b w:val="1"/>
                  <w:bCs w:val="1"/>
                  <w:color w:val="0000EE"/>
                  <w:w w:val="95"/>
                </w:rPr>
                <w:t>PART I</w:t>
              </w:r>
            </w:hyperlink>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vMerge w:val="continue"/>
          </w:tcPr>
          <w:p>
            <w:pPr>
              <w:spacing w:after="0"/>
              <w:rPr>
                <w:sz w:val="13"/>
                <w:szCs w:val="13"/>
                <w:color w:val="auto"/>
              </w:rPr>
            </w:pPr>
          </w:p>
        </w:tc>
        <w:tc>
          <w:tcPr>
            <w:tcW w:w="5400" w:type="dxa"/>
            <w:vAlign w:val="bottom"/>
            <w:gridSpan w:val="10"/>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60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tcPr>
          <w:p>
            <w:pPr>
              <w:spacing w:after="0"/>
              <w:rPr>
                <w:sz w:val="17"/>
                <w:szCs w:val="17"/>
                <w:color w:val="auto"/>
              </w:rPr>
            </w:pPr>
          </w:p>
        </w:tc>
        <w:tc>
          <w:tcPr>
            <w:tcW w:w="48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Risk Factors</w:t>
              </w:r>
            </w:hyperlink>
          </w:p>
        </w:tc>
        <w:tc>
          <w:tcPr>
            <w:tcW w:w="908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Unresolved Staff Comments</w:t>
              </w:r>
            </w:hyperlink>
          </w:p>
        </w:tc>
        <w:tc>
          <w:tcPr>
            <w:tcW w:w="79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Properties</w:t>
              </w:r>
            </w:hyperlink>
          </w:p>
        </w:tc>
        <w:tc>
          <w:tcPr>
            <w:tcW w:w="9260" w:type="dxa"/>
            <w:vAlign w:val="bottom"/>
            <w:gridSpan w:val="2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40" w:type="dxa"/>
            <w:vAlign w:val="bottom"/>
            <w:gridSpan w:val="11"/>
          </w:tcPr>
          <w:p>
            <w:pPr>
              <w:jc w:val="center"/>
              <w:ind w:right="4780"/>
              <w:spacing w:after="0"/>
              <w:rPr>
                <w:rFonts w:ascii="Times New Roman" w:cs="Times New Roman" w:eastAsia="Times New Roman" w:hAnsi="Times New Roman"/>
                <w:sz w:val="18"/>
                <w:szCs w:val="18"/>
                <w:b w:val="1"/>
                <w:bCs w:val="1"/>
                <w:color w:val="0000EE"/>
                <w:w w:val="97"/>
              </w:rPr>
            </w:pPr>
            <w:hyperlink w:anchor="page29">
              <w:r>
                <w:rPr>
                  <w:rFonts w:ascii="Times New Roman" w:cs="Times New Roman" w:eastAsia="Times New Roman" w:hAnsi="Times New Roman"/>
                  <w:sz w:val="18"/>
                  <w:szCs w:val="18"/>
                  <w:b w:val="1"/>
                  <w:bCs w:val="1"/>
                  <w:color w:val="0000EE"/>
                  <w:w w:val="97"/>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7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Selected Financial Data</w:t>
              </w:r>
            </w:hyperlink>
          </w:p>
        </w:tc>
        <w:tc>
          <w:tcPr>
            <w:tcW w:w="6360" w:type="dxa"/>
            <w:vAlign w:val="bottom"/>
            <w:tcBorders>
              <w:top w:val="single" w:sz="8" w:color="0000EE"/>
            </w:tcBorders>
            <w:gridSpan w:val="20"/>
          </w:tcPr>
          <w:p>
            <w:pPr>
              <w:spacing w:after="0"/>
              <w:rPr>
                <w:sz w:val="17"/>
                <w:szCs w:val="17"/>
                <w:color w:val="auto"/>
              </w:rPr>
            </w:pPr>
          </w:p>
        </w:tc>
        <w:tc>
          <w:tcPr>
            <w:tcW w:w="19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Quantitative and Qualitative Disclosures About Market Risk</w:t>
              </w:r>
            </w:hyperlink>
          </w:p>
        </w:tc>
        <w:tc>
          <w:tcPr>
            <w:tcW w:w="35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Controls and Procedures</w:t>
              </w:r>
            </w:hyperlink>
          </w:p>
        </w:tc>
        <w:tc>
          <w:tcPr>
            <w:tcW w:w="4700" w:type="dxa"/>
            <w:vAlign w:val="bottom"/>
            <w:tcBorders>
              <w:top w:val="single" w:sz="8" w:color="0000EE"/>
            </w:tcBorders>
            <w:gridSpan w:val="17"/>
          </w:tcPr>
          <w:p>
            <w:pPr>
              <w:spacing w:after="0"/>
              <w:rPr>
                <w:sz w:val="17"/>
                <w:szCs w:val="17"/>
                <w:color w:val="auto"/>
              </w:rPr>
            </w:pPr>
          </w:p>
        </w:tc>
        <w:tc>
          <w:tcPr>
            <w:tcW w:w="35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rFonts w:ascii="Times New Roman" w:cs="Times New Roman" w:eastAsia="Times New Roman" w:hAnsi="Times New Roman"/>
                <w:sz w:val="18"/>
                <w:szCs w:val="18"/>
                <w:b w:val="1"/>
                <w:bCs w:val="1"/>
                <w:color w:val="0000EE"/>
                <w:w w:val="96"/>
              </w:rPr>
            </w:pPr>
            <w:hyperlink w:anchor="page151">
              <w:r>
                <w:rPr>
                  <w:rFonts w:ascii="Times New Roman" w:cs="Times New Roman" w:eastAsia="Times New Roman" w:hAnsi="Times New Roman"/>
                  <w:sz w:val="18"/>
                  <w:szCs w:val="18"/>
                  <w:b w:val="1"/>
                  <w:bCs w:val="1"/>
                  <w:color w:val="0000EE"/>
                  <w:w w:val="96"/>
                </w:rPr>
                <w:t>PART III</w:t>
              </w:r>
            </w:hyperlink>
          </w:p>
        </w:tc>
        <w:tc>
          <w:tcPr>
            <w:tcW w:w="47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151">
              <w:r>
                <w:rPr>
                  <w:rFonts w:ascii="Times New Roman" w:cs="Times New Roman" w:eastAsia="Times New Roman" w:hAnsi="Times New Roman"/>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151">
              <w:r>
                <w:rPr>
                  <w:rFonts w:ascii="Times New Roman" w:cs="Times New Roman" w:eastAsia="Times New Roman" w:hAnsi="Times New Roman"/>
                  <w:sz w:val="18"/>
                  <w:szCs w:val="18"/>
                  <w:color w:val="0000EE"/>
                  <w:w w:val="9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90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152">
              <w:r>
                <w:rPr>
                  <w:rFonts w:ascii="Times New Roman" w:cs="Times New Roman" w:eastAsia="Times New Roman" w:hAnsi="Times New Roman"/>
                  <w:sz w:val="18"/>
                  <w:szCs w:val="18"/>
                  <w:color w:val="0000EE"/>
                  <w:w w:val="99"/>
                </w:rPr>
                <w:t>Certain Relationships and Related Transactions, and Director Independence</w:t>
              </w:r>
            </w:hyperlink>
          </w:p>
        </w:tc>
        <w:tc>
          <w:tcPr>
            <w:tcW w:w="1840" w:type="dxa"/>
            <w:vAlign w:val="bottom"/>
            <w:tcBorders>
              <w:top w:val="single" w:sz="8" w:color="0000EE"/>
            </w:tcBorders>
            <w:gridSpan w:val="3"/>
          </w:tcPr>
          <w:p>
            <w:pPr>
              <w:spacing w:after="0"/>
              <w:rPr>
                <w:sz w:val="17"/>
                <w:szCs w:val="17"/>
                <w:color w:val="auto"/>
              </w:rPr>
            </w:pPr>
          </w:p>
        </w:tc>
        <w:tc>
          <w:tcPr>
            <w:tcW w:w="27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10000" w:type="dxa"/>
            <w:vAlign w:val="bottom"/>
            <w:gridSpan w:val="26"/>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304"/>
        </w:trPr>
        <w:tc>
          <w:tcPr>
            <w:tcW w:w="10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60" w:type="dxa"/>
            <w:vAlign w:val="bottom"/>
            <w:gridSpan w:val="12"/>
          </w:tcPr>
          <w:p>
            <w:pPr>
              <w:jc w:val="center"/>
              <w:ind w:right="4740"/>
              <w:spacing w:after="0"/>
              <w:rPr>
                <w:rFonts w:ascii="Times New Roman" w:cs="Times New Roman" w:eastAsia="Times New Roman" w:hAnsi="Times New Roman"/>
                <w:sz w:val="18"/>
                <w:szCs w:val="18"/>
                <w:b w:val="1"/>
                <w:bCs w:val="1"/>
                <w:color w:val="0000EE"/>
                <w:w w:val="97"/>
              </w:rPr>
            </w:pPr>
            <w:hyperlink w:anchor="page152">
              <w:r>
                <w:rPr>
                  <w:rFonts w:ascii="Times New Roman" w:cs="Times New Roman" w:eastAsia="Times New Roman" w:hAnsi="Times New Roman"/>
                  <w:sz w:val="18"/>
                  <w:szCs w:val="18"/>
                  <w:b w:val="1"/>
                  <w:bCs w:val="1"/>
                  <w:color w:val="0000EE"/>
                  <w:w w:val="97"/>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4560" w:type="dxa"/>
            <w:vAlign w:val="bottom"/>
            <w:gridSpan w:val="15"/>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Exhibits, Financial Statement Schedules</w:t>
              </w:r>
            </w:hyperlink>
          </w:p>
        </w:tc>
        <w:tc>
          <w:tcPr>
            <w:tcW w:w="700" w:type="dxa"/>
            <w:vAlign w:val="bottom"/>
            <w:tcBorders>
              <w:top w:val="single" w:sz="8" w:color="0000EE"/>
            </w:tcBorders>
            <w:gridSpan w:val="4"/>
          </w:tcPr>
          <w:p>
            <w:pPr>
              <w:spacing w:after="0"/>
              <w:rPr>
                <w:sz w:val="17"/>
                <w:szCs w:val="17"/>
                <w:color w:val="auto"/>
              </w:rPr>
            </w:pPr>
          </w:p>
        </w:tc>
        <w:tc>
          <w:tcPr>
            <w:tcW w:w="47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385"/>
        </w:trPr>
        <w:tc>
          <w:tcPr>
            <w:tcW w:w="100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sz w:val="24"/>
                <w:szCs w:val="24"/>
                <w:color w:val="auto"/>
              </w:rPr>
            </w:pPr>
          </w:p>
        </w:tc>
        <w:tc>
          <w:tcPr>
            <w:tcW w:w="2280" w:type="dxa"/>
            <w:vAlign w:val="bottom"/>
            <w:gridSpan w:val="7"/>
          </w:tcPr>
          <w:p>
            <w:pPr>
              <w:jc w:val="right"/>
              <w:ind w:right="33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to the Consolidated Financial Statements.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8"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WM was incorporated in Oklahoma in 1987 under the name “USA Waste Services, Inc.” and was reincorporated as a Delaware company in 1995. In a 1998 merger, the Illinois-based waste services company formerly known as Waste Management, Inc. became a wholly-owned subsidiary of WM and changed its name to Waste Management Holdings, Inc. (“WM Holdings”). At the same time, our parent holding company changed its name from USA Waste Services to Waste Management, Inc. Like WM, WM Holdings is a holding company and all operations are conducted by subsidiaries. For detail on the financial position, results of operations and cash flows of WM, WM Holdings and their subsidiaries, see Note 23 to the Consolidated Financial Statements.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principal executive offices are located at 1001 Fannin Street, Suite 4000, Houston, Texas 77002. Our telephone number at that address is</w:t>
      </w:r>
    </w:p>
    <w:p>
      <w:pPr>
        <w:spacing w:after="0" w:line="27" w:lineRule="exact"/>
        <w:rPr>
          <w:sz w:val="20"/>
          <w:szCs w:val="20"/>
          <w:color w:val="auto"/>
        </w:rPr>
      </w:pPr>
    </w:p>
    <w:p>
      <w:pPr>
        <w:ind w:right="220" w:firstLine="8"/>
        <w:spacing w:after="0" w:line="255"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sale of our subsidiary, Wheelabrator Technologies Inc. Our Wheelabrator business provided waste-to-energy services and managed waste-to-energy facilities and independent power production plants. During 2014, our largest customer represented less than 1% of annual revenues. We employed approximately 39,800 people as of December 31, 2014.</w:t>
      </w:r>
    </w:p>
    <w:p>
      <w:pPr>
        <w:spacing w:after="0" w:line="185"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own or operate 252 landfill sites, which is the largest network of landfills in our industry. In order to make disposal more practical for larger urban markets, where the distance to landfills is typically farther, we manage 298 transfer stations that consolidate, compact and transport waste efficiently and economically. We also use waste to create energy, recovering the gas produced naturally as waste decomposes in landfills and using the gas in generators to make electricity. We are a leading recycler in North America, handling materials that include paper, cardboard, glass, plastic, metal and electronics. We provide cost-efficient, environmentally sound recycling programs for municipalities, businesses and households across the U.S. and Canada as well as other services that supplement our traditional Solid Waste business.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w:t>
      </w:r>
    </w:p>
    <w:p>
      <w:pPr>
        <w:spacing w:after="0" w:line="184"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67"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provide the best possible service to our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Waste Business: continuously improve our operational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take advantage of opportunities in our current business, as well as considering attractive acquisition opportunities;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Management: remain focused on price leadership while considering competitive dynamics;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minimize both operating costs and selling, general &amp; administrative expenses.</w:t>
      </w:r>
    </w:p>
    <w:p>
      <w:pPr>
        <w:spacing w:after="0" w:line="225"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believe that execution of our strategy through these key priorities will drive continued financial performance and leadership in a dynamic industry. In addition, we intend to continue to return value to our stockholders through dividend payments and common stock repurchases. In February 2015, we announced that our Board of Directors expects to increase the quarterly dividend from $0.375 to $0.385 per share for dividends declared in 2015, which is a 2.7% increase from the quarterly dividends we declared in 2014. This will result in an increase in the amount of free cash flow that we expect to pay out as dividends for the 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consecutive year and is an indication of our ability to generate strong and consistent cash flows. All quarterly dividends will be declared at the discretion of our Board of Directors.</w:t>
      </w:r>
    </w:p>
    <w:p>
      <w:pPr>
        <w:spacing w:after="0" w:line="292" w:lineRule="exact"/>
        <w:rPr>
          <w:sz w:val="20"/>
          <w:szCs w:val="20"/>
          <w:color w:val="auto"/>
        </w:rPr>
      </w:pPr>
    </w:p>
    <w:p>
      <w:pPr>
        <w:jc w:val="right"/>
        <w:ind w:right="1054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129" w:lineRule="exact"/>
        <w:rPr>
          <w:sz w:val="20"/>
          <w:szCs w:val="20"/>
          <w:color w:val="auto"/>
        </w:rPr>
      </w:pPr>
    </w:p>
    <w:p>
      <w:pPr>
        <w:jc w:val="right"/>
        <w:ind w:right="105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local Solid Waste business subsidiaries through our 17 Areas. See Note 21 to the Consolidated Financial Statements for additional information about our reportable segments. In December 2014, we sold our Wheelabrator business, which provides waste-to-energy services and manages waste-to-energy facilities and independent power production plants. We intend to re-invest the proceeds from the sale of our Wheelabrator business to create long-term stockholder value. Our priority is to pursue acquisitions in our Solid Waste business, and we will also evaluate repurchasing our common stock and making other investments in support of our strategic growth plans, while continuing our focus on a strong balance sheet. Refer to Note 19 to the Consolidated Financial Statements for additional information related to our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455" w:right="2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divestiture. We also provide additional services that are not managed through our Solid Waste business as described below. These operations are presented in this report as “Other.”</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expanded certain of our operations through acquisitions, which are discussed further in Note 19 to the Consolidated Financial Statements. In January 2013, we acquired Greenstar, LLC, (“Greenstar”), an operator of recycling and resource recovery facilities. This acquisition provides the Company’s customers with greater access to recycling solutions, having supplemented the Company’s extensive nationwide recycling network with the operations of one of the nation’s largest private recyclers. In July 2013, we acquired substantially all of the assets of RCI Environnement, Inc. (“RCI”), the largest waste management company in Quebec, and certain related entities. RCI provides collection, transfer, recycling and disposal operations throughout the Greater Montreal area. The acquired RCI operations complement and expand the Company’s existing assets and operations in Quebec.</w:t>
      </w:r>
    </w:p>
    <w:p>
      <w:pPr>
        <w:spacing w:after="0" w:line="188"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table below shows the total revenues (in millions) contributed annually by our Solid Waste and Wheelabrator businesses, in the three-year period ended December 31, 2014. More information about our results of operations is included in Note 21 to the Consolidated Financial Statements and in Item 7. Management’s Discussion and Analysis of Financial Condition and Results of Operations, included in this report.</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8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386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$13,449</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$13,477</w:t>
            </w: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$13,056</w:t>
            </w: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3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817</w:t>
            </w: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2,191</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Intercompany</w:t>
            </w:r>
          </w:p>
        </w:tc>
        <w:tc>
          <w:tcPr>
            <w:tcW w:w="286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(2,461)</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w:t>
            </w:r>
          </w:p>
        </w:tc>
      </w:tr>
      <w:tr>
        <w:trPr>
          <w:trHeight w:val="27"/>
        </w:trPr>
        <w:tc>
          <w:tcPr>
            <w:tcW w:w="38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9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13,996</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13,983</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13,649</w:t>
            </w:r>
          </w:p>
        </w:tc>
      </w:tr>
      <w:tr>
        <w:trPr>
          <w:trHeight w:val="20"/>
        </w:trPr>
        <w:tc>
          <w:tcPr>
            <w:tcW w:w="38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services we currently provide include collection, landfill (solid and hazardous waste landfills), transfer, recycling and resource recovery and other services, as described below. Prior to the sale of our Wheelabrator business in December 2014, we provided waste-to-energy services and managed waste-to-energy facilities and independent power production plants. The following table shows revenues (in millions) contributed by these services for each of the three years presented:</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(2,359)</w:t>
            </w:r>
          </w:p>
        </w:tc>
      </w:tr>
      <w:tr>
        <w:trPr>
          <w:trHeight w:val="223"/>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13,996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13,983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13,649</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w:t>
      </w:r>
      <w:r>
        <w:rPr>
          <w:rFonts w:ascii="Times New Roman" w:cs="Times New Roman" w:eastAsia="Times New Roman" w:hAnsi="Times New Roman"/>
          <w:sz w:val="18"/>
          <w:szCs w:val="18"/>
          <w:color w:val="auto"/>
        </w:rPr>
        <w:t>Our commitment to customers begins with a vast waste collection network. Collection involves picking up and transporting waste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recyclable materials from where it was generated to a transfer station, material recovery facility (“MRF”) or disposal site. We generally provide collection services under one of two types of arrangements:</w:t>
      </w:r>
    </w:p>
    <w:p>
      <w:pPr>
        <w:spacing w:after="0" w:line="81" w:lineRule="exact"/>
        <w:rPr>
          <w:sz w:val="20"/>
          <w:szCs w:val="20"/>
          <w:color w:val="auto"/>
        </w:rPr>
      </w:pPr>
    </w:p>
    <w:p>
      <w:pPr>
        <w:ind w:left="900" w:hanging="325"/>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commercial and industrial collection services, typically we have a three-year service agreement. The fees under the agreements are influenced by factors such as collection frequency, type of collection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18"/>
          <w:szCs w:val="18"/>
          <w:color w:val="auto"/>
        </w:rPr>
        <w:t>equipment we furnish, type and volume or weight of the waste collected, distance to the disposal facility, labor costs, cost of disposal and general market factors. As part of the service, we provide steel containers to most customers to store their solid waste between pick-up dates. Containers vary in size and type according to the needs of our customers and the restrictions of their communities. Many are designed to be lifted mechanically and either emptied into a truck’s compaction hopper or directly into a disposal site. By using these containers, we can service most of our commercial and industrial customers with trucks operated by only one employee.</w:t>
      </w:r>
    </w:p>
    <w:p>
      <w:pPr>
        <w:spacing w:after="0" w:line="89" w:lineRule="exact"/>
        <w:rPr>
          <w:sz w:val="20"/>
          <w:szCs w:val="20"/>
          <w:color w:val="auto"/>
        </w:rPr>
      </w:pPr>
    </w:p>
    <w:p>
      <w:pPr>
        <w:ind w:left="900" w:right="240" w:hanging="325"/>
        <w:spacing w:after="0" w:line="258"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most residential collection services, we have a contract with, or a franchise granted by, a municipality, homeowners’ association or some other regional authority that gives us the exclusive right to service all or a portion of the homes in an area. These contracts or franchises are typically for periods of three to six years. We also provide services under individual monthly subscriptions directly to households. The fees for residential collection are either paid by the municipality or authority from their tax revenues or service charges, or are paid directly by the residents receiving the service.</w:t>
      </w:r>
    </w:p>
    <w:p>
      <w:pPr>
        <w:spacing w:after="0" w:line="18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w:t>
      </w:r>
      <w:r>
        <w:rPr>
          <w:rFonts w:ascii="Times New Roman" w:cs="Times New Roman" w:eastAsia="Times New Roman" w:hAnsi="Times New Roman"/>
          <w:sz w:val="18"/>
          <w:szCs w:val="18"/>
          <w:color w:val="auto"/>
        </w:rPr>
        <w:t>Landfills are the main depositories for solid waste in North America. At December 31, 2014, we owned or operated 247 solid waste landfills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five secure hazardous waste landfills, which represents the largest network of landfills in North America. Solid waste landfills are constructed and operated on land with engineering safeguards that limit the possibility of water and air pollution, and are operated under procedures prescribed by regulation. A landfill must meet federal, state or provincial, and local regulations during its design, construction, operation and closure. The operation and closure activities of a solid waste landfill include excavation, construction of liners, continuous spreading and compacting of waste, covering of waste with earth or other acceptable material and constructing final capping of the landfill. These operations are carefully planned to maintain environmentally safe conditions and to maximize the use of the airspace.</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All solid waste management companies must have access to a disposal facility, such as a solid waste landfill. The significant capital requirements of developing and operating a landfill serve as a barrier to landfill ownership and, as a result, third-party haulers often dispose of waste at our landfills. It is usually preferable for our collection operations to use disposal facilities that we own or operate, a practice we refer to as internalization, rather than using third-party disposal facilities. Internalization generally allows us to realize higher consolidated margins and stronger operating cash flows. The fees charged at disposal facilities, which are referred to as tipping fees, are based on several factors, including competition and the type and weight or volume of solid waste deposited.</w:t>
      </w:r>
    </w:p>
    <w:p>
      <w:pPr>
        <w:spacing w:after="0" w:line="18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environmental laws, the federal government (or states with delegated authority) must issue permits for all hazardous waste landfills. All of our hazardous waste landfills have obtained the required permits, although some can accept only certain types of hazardous waste. These landfills must also comply with specialized operating standards. Only hazardous waste in a stable, solid form, which meets regulatory requirements, can be deposited in our secure disposal cells. In some cases, hazardous waste can be treated before disposal. Generally, these treatments involve the separation or removal of solid materials from liquids and chemical treatments that transform waste into inert materials that are no longer hazardous. Our hazardous waste landfills are sited, constructed and operated in a manner designed to provide long-term containment of waste. We also operate a hazardous waste facility at which we isolate treated hazardous waste in liquid form by injection into deep wells that have been drilled in certain acceptable geologic formations far below the base of fresh water to a point that is safely separated by other substantial geological confining layers.</w:t>
      </w:r>
    </w:p>
    <w:p>
      <w:pPr>
        <w:spacing w:after="0" w:line="183"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At December 31, 2014, we owned or operated 298 transfer stations in North America. We deposit waste at these stations, as do other waste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haulers. The solid waste is then consolidated and compacted to reduce the volume and increase the density of the waste and transported by transfer trucks or by rail to disposal sites.</w:t>
      </w:r>
    </w:p>
    <w:p>
      <w:pPr>
        <w:spacing w:after="0" w:line="176"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Access to transfer stations is critical to haulers who collect waste in areas not in close proximity to disposal facilities. Fees charged to third parties at transfer stations are usually based on the type and volume or weight 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waste deposited at the transfer station, the distance to the disposal site, market rates for disposal costs and other general market factors.</w:t>
      </w:r>
    </w:p>
    <w:p>
      <w:pPr>
        <w:spacing w:after="0" w:line="22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utilization of our transfer stations by our own collection operations improves internalization by allowing us to retain fees that we would otherwise pay to third parties for the disposal of the waste we collect. It enables us to manage costs associated with waste disposal because (i) transfer trucks, railcars or rail containers have larger capacities than collection trucks, allowing us to deliver more waste to the disposal facility in each trip; (ii) waste is accumulated and compacted at transfer stations that are strategically located to increase the efficiency of our network of operations and (iii) we can retain the volume by managing the transfer of the waste to one of our own disposal sites.</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transfer stations that we operate but do not own generally are operated through lease agreements under which we lease property from third parties. There are some instances where transfer stations are operated under contract, generally for municipalities. In most cases we own the permits and will be responsible for any regulatory requirements relating to the operation and closure of the transfer station.</w:t>
      </w:r>
    </w:p>
    <w:p>
      <w:pPr>
        <w:spacing w:after="0" w:line="174"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Wheelabrator. </w:t>
      </w:r>
      <w:r>
        <w:rPr>
          <w:rFonts w:ascii="Times New Roman" w:cs="Times New Roman" w:eastAsia="Times New Roman" w:hAnsi="Times New Roman"/>
          <w:sz w:val="18"/>
          <w:szCs w:val="18"/>
          <w:color w:val="auto"/>
        </w:rPr>
        <w:t>On December 19, 2014, we sold our Wheelabrator business to an affiliate of Energy Capital Partners and received cash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$1.95 billion, net of cash divested, subject to certain post-closing adjustments. We recognized a gain of $519 million on this sale which is included within “(Income) expense from divestitures, asset impairments (other than goodwill) and unusual items” in the Consolidated Statement of Operations.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182"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Wheelabrator provides waste-to-energy services and manages waste-to-energy facilities and independent power production plants. Wheelabrator owns or operates 16 waste-to-energy facilities and four independent power production plants. Prior to the sale, our Wheelabrator business constituted a reportable segment, as discussed in Note 21 to the Consolidated Financial Statements. We concluded that the sale of our Wheelabrator business did not qualify for discontinued operations accounting under current authoritative guidance based on our significant continuing obligations under the long-term waste supply agreements referred to above and in Note 11 to the Consolidated Financial Statements.</w:t>
      </w:r>
    </w:p>
    <w:p>
      <w:pPr>
        <w:spacing w:after="0" w:line="182" w:lineRule="exact"/>
        <w:rPr>
          <w:sz w:val="20"/>
          <w:szCs w:val="20"/>
          <w:color w:val="auto"/>
        </w:rPr>
      </w:pPr>
    </w:p>
    <w:p>
      <w:pPr>
        <w:ind w:right="16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Recycling. </w:t>
      </w:r>
      <w:r>
        <w:rPr>
          <w:rFonts w:ascii="Times New Roman" w:cs="Times New Roman" w:eastAsia="Times New Roman" w:hAnsi="Times New Roman"/>
          <w:sz w:val="18"/>
          <w:szCs w:val="18"/>
          <w:color w:val="auto"/>
        </w:rPr>
        <w:t>Our recycling operations provide communities and businesses with an alternative to traditional landfill disposal and support our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to extract more value from the materials we manage. In 2001, we became the first major solid waste company to focus on residential single-stream recycling, which allows customers to mix recyclable paper, plastic and glass in one bin. Residential single-stream programs have greatly increased the recycling rates. Single-stream recycling is possible through the use of various mechanized screens and optical sorting technologies. We have also been advancing the single-stream recycling programs for commercial applications. Recycling involves the separation of reusable materials from the waste stream for processing and resale or other disposition. Our recycling operations include the following:</w:t>
      </w:r>
    </w:p>
    <w:p>
      <w:pPr>
        <w:spacing w:after="0" w:line="75" w:lineRule="exact"/>
        <w:rPr>
          <w:sz w:val="20"/>
          <w:szCs w:val="20"/>
          <w:color w:val="auto"/>
        </w:rPr>
      </w:pPr>
    </w:p>
    <w:p>
      <w:pPr>
        <w:ind w:left="460" w:right="20" w:firstLine="4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Materials processing </w:t>
      </w:r>
      <w:r>
        <w:rPr>
          <w:rFonts w:ascii="Times New Roman" w:cs="Times New Roman" w:eastAsia="Times New Roman" w:hAnsi="Times New Roman"/>
          <w:sz w:val="18"/>
          <w:szCs w:val="18"/>
          <w:color w:val="auto"/>
        </w:rPr>
        <w:t>— Through our collection operations, we collect recyclable materials from residential, commercial and industrial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 these materials to one of our MRFs for processing. We operate 126 MRFs where paper, cardboard, metals, plastics, glass, construction and demolition materials and other recyclable commodities are recovered for resale.</w:t>
      </w:r>
    </w:p>
    <w:p>
      <w:pPr>
        <w:spacing w:after="0" w:line="65" w:lineRule="exact"/>
        <w:rPr>
          <w:sz w:val="20"/>
          <w:szCs w:val="20"/>
          <w:color w:val="auto"/>
        </w:rPr>
      </w:pPr>
    </w:p>
    <w:p>
      <w:pPr>
        <w:ind w:left="460" w:right="420" w:firstLine="43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Plastics materials recycling </w:t>
      </w:r>
      <w:r>
        <w:rPr>
          <w:rFonts w:ascii="Times New Roman" w:cs="Times New Roman" w:eastAsia="Times New Roman" w:hAnsi="Times New Roman"/>
          <w:sz w:val="18"/>
          <w:szCs w:val="18"/>
          <w:color w:val="auto"/>
        </w:rPr>
        <w:t>— Using state-of-the-art sorting and processing technology, we process, inventory and sell plastic commodities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the recycling of such items more cost effective and convenient.</w:t>
      </w:r>
    </w:p>
    <w:p>
      <w:pPr>
        <w:spacing w:after="0" w:line="50" w:lineRule="exact"/>
        <w:rPr>
          <w:sz w:val="20"/>
          <w:szCs w:val="20"/>
          <w:color w:val="auto"/>
        </w:rPr>
      </w:pPr>
    </w:p>
    <w:p>
      <w:pPr>
        <w:jc w:val="both"/>
        <w:ind w:left="460" w:right="500" w:firstLine="43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Commodities recycling </w:t>
      </w:r>
      <w:r>
        <w:rPr>
          <w:rFonts w:ascii="Times New Roman" w:cs="Times New Roman" w:eastAsia="Times New Roman" w:hAnsi="Times New Roman"/>
          <w:sz w:val="18"/>
          <w:szCs w:val="18"/>
          <w:color w:val="auto"/>
        </w:rPr>
        <w:t>— We market and resell recyclable commodities to customers world-wide. We manage the marketing of recyclable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commodities that are processed in our facilities by maintaining comprehensive service centers that continuously analyze market prices, logistics, market demands and product quality.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455" w:right="2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firstLine="43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Recycling brokerage services </w:t>
      </w:r>
      <w:r>
        <w:rPr>
          <w:rFonts w:ascii="Times New Roman" w:cs="Times New Roman" w:eastAsia="Times New Roman" w:hAnsi="Times New Roman"/>
          <w:sz w:val="18"/>
          <w:szCs w:val="18"/>
          <w:color w:val="auto"/>
        </w:rPr>
        <w:t>— We also provide recycling brokerage services, which involve managing the marketing of recyclable materials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 parties. The experience of our recycling operations in managing recyclable commodities for our own operations gives us the expertise needed to effectively manage volumes for third parties. Utilizing the resources and knowledge of our recycling operations’ service centers, we can assist customers in marketing and selling their recyclable commodities with minimal capital requirements. We also provide electronics recycling. We recycle discarded computers, communications equipment, and other electronic equipment. Services include the collection, sorting and disassembling of electronics in an effort to reuse or recycle all collected materials. In recent years, we have teamed with major electronics manufacturers to offer comprehensive “take-back” programs of their products to assist the general public in disposing of their old electronics in a convenient and environmentally safe manner.</w:t>
      </w:r>
    </w:p>
    <w:p>
      <w:pPr>
        <w:spacing w:after="0" w:line="18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Some of the recyclable materials processed in our MRFs are purchased from various sources, including third parties and our own operations. The price we pay for recyclable materials is often referred to as a “rebate.” Rebates generally are based upon the price we receive for sales of processed goods, market conditions and transportation costs, but in some cases are based on fixed contractual rates or on defined minimum per-ton rates. As a result, changes in commodity prices for recycled materials also significantly affect the rebates we pay to our suppliers, which are recorded as “Operating expenses” within our Consolidated Statements of Operations. In recent years, we have been focused on revising our rebate structures to ensure that we cover our cost of handling and processing the materials and generate an acceptable margin on the materials we process and sell.</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services we provide include the following:</w:t>
      </w:r>
    </w:p>
    <w:p>
      <w:pPr>
        <w:spacing w:after="0" w:line="227"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Although many waste management services such as collection and disposal are local services, our strategic accounts program, which is managed by our Strategic Business Solutions organization, works with customers whose locations span the United States. Our strategic accounts program provides centralized customer service, billing and management of accounts to streamline the administration of customers’ multiple and nationwide locations’ waste management needs.</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Energy and Environmental Services organization offers our customers in all Areas a variety of services in collaboration with our Area and strategic accounts programs, including (i) construction and remediation services; (ii) services associated with the disposal of fly ash, residue generated from the combustion of coal and other fuel stocks; (iii) in-plant services, where our employees work full-time inside our customers’ facilities to provide full-service waste management solutions and consulting services; this service is managed through our Energy and Environmental Services organization but reflected principally in our collection business and (iv) specialized disposal services for oil and gas exploration and production operations; revenues for this service are also reflected principally in our collection business. Our vertically integrated waste management operations enable us to provide customers with full management of their waste. The breadth of our service offerings and the familiarity we have with waste management practices gives us the unique ability to assist customers in minimizing the amount of waste they generate, identifying recycling opportunities, determining the most efficient means available for waste collection and disposal and ensuring that disposal is achieved in a manner that is both reflective of the current regulatory environment and environmentally friendly.</w:t>
      </w:r>
    </w:p>
    <w:p>
      <w:pPr>
        <w:spacing w:after="0" w:line="18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develop, operate and promote projects for the beneficial use of landfill gas through our WM Renewable Energy Program. Landfill gas is produced naturally as waste decomposes in a landfill. The methane component of the landfill gas is a readily available, renewable energy source that can be gathered and used beneficially as an alternative to fossil fuel. The EPA endorses landfill gas as a renewable energy resource, in the same category as wind, solar and geothermal resources. At December 31, 2014, we had 134 landfill gas beneficial use projects producing commercial quantities of methane gas at 123 of our solid waste landfills and four third-party landfills. At 107 of these landfills, the processed gas is used to fuel electricity generators. The electricity is then sold to public utilities, municipal utilities or power cooperatives. At 16 landfills, the gas is used at the landfill or delivered by pipeline to industrial customers as a direct substitute for fossil fuels in industrial processes. At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10 landfills, the landfill gas is processed to pipeline-quality natural gas and then sold to natural gas suppliers. At one landfill, the gas is processed into liquefied natural gas and used as vehicle fuel.</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continue to invest in businesses and technologies that are designed to offer services and solutions ancillary or supplementary to our current operations. These investments include joint ventures, acquisitions and partial ownership interests. The solutions and services include the collection of project waste, including construction debris and household or yard waste, through our Bagster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program; the development, operation and marketing of plasma gasification facilities; operation of a landfill gas-to-liquid natural gas plant; solar powered trash compactors; and organic waste-to-fuel conversion technology. We also offer portable self-storage services through a joint venture; fluorescent bulb and universal waste mail-back through our LampTracker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program; portable restroom servicing under the name Port-o-Let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street and parking lot sweeping services. In addition, we hold interests in oil and gas producing properties.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 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w:t>
      </w:r>
    </w:p>
    <w:p>
      <w:pPr>
        <w:spacing w:after="0" w:line="18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Operating costs, disposal costs and collection fees vary widely throughout the areas in which we operate. The prices that we charge are determined locally, and typically vary by volume and weight, type of waste collected, treatment requirements, risk of handling or disposal, frequency of collections, distance to final disposal sites, the availability of airspace within the geographic region, labor costs and amount and type of equipment furnished to the customer. We face intense competition in our Solid Waste business based on pricing and quality of service. We have also begun competing for business based on breadth of service offerings. As companies, individuals and communities look for ways to be more sustainable, we are investing in greener technologies and promoting our comprehensive services that go beyond our core business of collecting and disposing of waste.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 Trends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Through 2014, the operating results of our first quarter also often reflected higher repair and maintenance expenses because, prior to the sale of our Wheelabrator business, we relied on the slower winter months, when waste flows are generally lower, to perform scheduled maintenance at our waste-to-energy facilities.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455" w:right="2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At December 31, 2014, we had approximately 39,800 full-time employees, of which approximately 7,000 were employed in administrative and sales positions and the balance in operations. Approximately 8,500 of our employees are covered by collective bargaining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Assurance and Insurance Obligations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Assurance</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Municipal and governmental waste service contracts generally require contracting parties to demonstrate financial responsibility for their obligations under the contract. Financial assurance is also a requirement for (i) obtaining or retaining disposal site or transfer station operating permits; (ii) supporting variable-rate tax-exempt debt and (iii) estimated final capping, closure, post-closure and environmental remedial obligations at many of our landfills. We establish financial assurance using surety bonds, letters of credit, insurance policies, trust and escrow agreements and financial guarantees. The type of assurance used is based on several factors, most importantly: the jurisdiction, contractual requirements, market factors and availability of credit capacity.</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Surety bonds and insurance policies are supported by (i) a diverse group of third-party surety and insurance companies; (ii) an entity in which we have a noncontrolling financial interest or (iii) wholly-owned insurance subsidiary, National Guaranty Insurance Company of Vermont, the sole business of which is to issue surety bonds and/or insurance policies on our behalf. Letters of credit generally are supported by our $2.25 billion revolving credit facility and other credit facilities established for that purpose.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carry a broad range of insurance coverages, including general liability, automobile liability, real and personal property, workers’ compensation, directors’ and officers’ liability, pollution legal liability, business interruption and other coverages we believe are customary to the industry. Our exposure to loss for insurance claims is generally limited to the per-incident deductible under the related insurance policy. As of December 31, 2014, our commercial General Liability Insurance Policy carried self-insurance exposures of up to $2.5 million per incident and our workers’ compensation insurance program carried self-insurance exposures of up to $5 million per incident. As of December 31, 2014, our auto liability insurance program included a per-incident base deductible of $5 million, subject to additional deductibles of $4.8 million in the $5 million to $10 million layer. We do not expect the impact of any known casualty, property, environmental or other contingency to have a material impact on our financial condition, results of operations or cash flows. Our estimated insurance liabilities as of December 31, 2014 are summarized in Note 11 to the Consolidated Financial Statements.</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business is subject to extensive and evolving federal, state or provincial and local environmental, health, safety and transportation laws and regulations. These laws and regulations are administered by the U.S. Environmental Protection Agency (“EPA”), Environment Canada, and various other federal, state, provincial and local environmental, zoning, transportation, land use, health and safety agencies in the United States and Canada. Many of these agencies regularly examine our operations to monitor compliance with these laws and regulations and have the power to enforce compliance, obtain injunctions or impose civil or criminal penalties in case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violations.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Because the primary mission of our business is to collect and manage solid waste in an environmentally sound manner, a significant amount of our capital expenditures are related, either directly or indirectly, to environmental protection measures, including compliance with federal, state or provincial and local rules. There are costs associated with siting, design, permitting, operations, monitoring, site maintenance, corrective actions, financial assurance, and facility closure and post-closure obligations. In connection with our acquisition, development or expansion of a management or disposal facility or transfer station, we must often spend considerable time, effort and money to obtain or maintain required permits and approvals. There are no assurances that we will be able to obtain or maintain required governmental approvals. Once obtained, operating permits are subject to renewal, modification, suspension or revocation by the issuing agency. Compliance with current regulations and future requirements could require us to make significant capital and operating expenditures. However, most of these expenditures are made in the normal course of business and do not place us at any competitive disadvantage.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primary United States federal statutes affecting our business are summarized below:</w:t>
      </w:r>
    </w:p>
    <w:p>
      <w:pPr>
        <w:spacing w:after="0" w:line="131" w:lineRule="exact"/>
        <w:rPr>
          <w:sz w:val="20"/>
          <w:szCs w:val="20"/>
          <w:color w:val="auto"/>
        </w:rPr>
      </w:pPr>
    </w:p>
    <w:p>
      <w:pPr>
        <w:ind w:left="900" w:hanging="325"/>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 Conservation and Recovery Act of 1976 (“RCRA”), as amended, regulates handling, transporting and disposing of hazardous and non-hazardous waste and delegates authority to states to develop programs to ensure the safe disposal of solid waste. In 1991, the EPA issued its final regulations under Subtitle D of RCRA, which set forth minimum federal performance and design criteria for solid waste landfills. These regulations are typically implemented by the states, although states can impose requirements that are more stringent than the Subtitle D standards. We incur costs in complying with these standards in the ordinary course of our operations.</w:t>
      </w:r>
    </w:p>
    <w:p>
      <w:pPr>
        <w:spacing w:after="0" w:line="89" w:lineRule="exact"/>
        <w:rPr>
          <w:rFonts w:ascii="Times New Roman" w:cs="Times New Roman" w:eastAsia="Times New Roman" w:hAnsi="Times New Roman"/>
          <w:sz w:val="18"/>
          <w:szCs w:val="18"/>
          <w:color w:val="auto"/>
        </w:rPr>
      </w:pPr>
    </w:p>
    <w:p>
      <w:pPr>
        <w:ind w:left="900" w:right="40" w:hanging="325"/>
        <w:spacing w:after="0" w:line="253"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Comprehensive Environmental Response, Compensation and Liability Act of 1980, as amended, (“CERCLA”) which is also known as Superfund, provides for federal authority to respond directly to releases or threatened releases of hazardous substances into the environment that have created actual or potential environmental hazards. CERCLA’s primary means for addressing such releases is to impose strict liability for cleanup of disposal sites upon current and former site owners and operators, generators of the hazardous substances at the site and transporters who selected the disposal site and transported substances thereto. Liability under CERCLA is not dependent on the intentional release of hazardous substances; it can be based upon the release or threatened release, even as a result of lawful, unintentional and non-negligent action, of hazardous substances as the term is defined by CERCLA and other applicable statutes and regulations. The EPA may issue orders requiring responsible parties to perform response actions at sites, or the EPA may seek recovery of funds expended or to be expended in the future at sites. Liability may include contribution for cleanup costs incurred by a defendant in a CERCLA civil action or by an entity that has previously resolved its liability to federal or state regulators in an administrative or judicially-approved settlement. Liability under CERCLA could also include obligations to a potentially responsible party, or PRP, that voluntarily expends site clean-up costs. Further, liability for damage to publicly-owned natural resources may also be imposed. We are subject to potential liability under CERCLA as an owner or operator of facilities at which hazardous substances have been disposed and as a generator or transporter of hazardous substances disposed of at other locations.</w:t>
      </w:r>
    </w:p>
    <w:p>
      <w:pPr>
        <w:spacing w:after="0" w:line="94"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Water Pollution Control Act of 1972, as amended, known as the Clean Water Act, regulates the discharge of pollutants into streams, rivers, groundwater, or other surface waters from a variety of sources, including solid and hazardous waste disposal sites. If run-off from our operations may be discharged into surface waters, the Clean Water Act requires us to apply for and obtain discharge permits, conduct sampling and monitoring, and, under certain circumstances, reduce the quantity of pollutants in those discharges. In 1990, the EPA issued additional standards for management of storm water runoff that require landfills and other waste-handling facilities to obtain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61" w:lineRule="auto"/>
        <w:rPr>
          <w:sz w:val="20"/>
          <w:szCs w:val="20"/>
          <w:color w:val="auto"/>
        </w:rPr>
      </w:pPr>
      <w:r>
        <w:rPr>
          <w:rFonts w:ascii="Times New Roman" w:cs="Times New Roman" w:eastAsia="Times New Roman" w:hAnsi="Times New Roman"/>
          <w:sz w:val="18"/>
          <w:szCs w:val="18"/>
          <w:color w:val="auto"/>
        </w:rPr>
        <w:t>storm water discharge permits. In addition, if a landfill or other facility discharges wastewater through a sewage system to a publicly-owned treatment works, the facility must comply with discharge limits imposed by the treatment works. Also, before the development or expansion of a landfill can alter or affect “wetlands,” a permit may have to be obtained providing for mitigation or replacement wetlands. The Clean Water Act provides for civil, criminal and administrative penalties for violations of its provisions.</w:t>
      </w:r>
    </w:p>
    <w:p>
      <w:pPr>
        <w:spacing w:after="0" w:line="86" w:lineRule="exact"/>
        <w:rPr>
          <w:sz w:val="20"/>
          <w:szCs w:val="20"/>
          <w:color w:val="auto"/>
        </w:rPr>
      </w:pPr>
    </w:p>
    <w:p>
      <w:pPr>
        <w:ind w:left="900" w:right="20" w:hanging="325"/>
        <w:spacing w:after="0" w:line="25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Clean Air Act of 1970, as amended, provides for increased federal, state and local regulation of the emission of air pollutants. Certain of our operations are subject to the requirements of the Clean Air Act, including large municipal solid waste landfills and landfill gas-to-energy facilities. In 1996 the EPA issued new source performance standards (“NSPS”) and emission guidelines (“EG”) controlling landfill gases from new and existing large landfills. In January 2003, the EPA issued Maximum Achievable Control Technology (“MACT”) standards for municipal solid waste landfills subject to the NSPS. These regulations impose limits on air emissions from large municipal solid waste landfills, subject most of our large municipal solid waste landfills to certain operating permit requirements under Title V of the Clean Air Act and, in many instances, require installation of landfill gas collection and control systems to control emissions or to treat and utilize landfill gas on- or off-site. The EPA entered into a settlement agreement with the Environmental Defense Fund to evaluate the 1996 NSPS for new landfills as required by the Clean Air Act every eight years and revise them if deemed necessary. The EPA published a proposed NSPS rule July 17, 2014 and plans to finalize this rule by March 31, 2015. Where we identified potential for increased capital and operating expenses, we provided formal comment and technical support to the EPA to minimize the impact to our operations. We expect the EPA will address our comments in the final rule. Where the EPA does not address our comments in the final rule, we will re-assess the capital and operating cost impact to our operations. The EPA also plans to propose an EG rule for existing landfills by March 31, 2015 and finalize this rule by March 2016. Should the EPA adopt more stringent requirements, capital expenditures and operating costs may increase. However, we do not believe that the regulatory changes would have a material adverse impact on our business as a whole.</w:t>
      </w:r>
    </w:p>
    <w:p>
      <w:pPr>
        <w:spacing w:after="0" w:line="102" w:lineRule="exact"/>
        <w:rPr>
          <w:rFonts w:ascii="Times New Roman" w:cs="Times New Roman" w:eastAsia="Times New Roman" w:hAnsi="Times New Roman"/>
          <w:sz w:val="18"/>
          <w:szCs w:val="18"/>
          <w:color w:val="auto"/>
        </w:rPr>
      </w:pPr>
    </w:p>
    <w:p>
      <w:pPr>
        <w:ind w:left="90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emission and fuel economy standards have been imposed on manufacturers of transportation vehicles (including waste collection vehicles). The EPA continues to evaluate and develop regulations to increase fuel economy standards and reduce vehicle emissions; such regulations could increase the costs of operating our fleet, but we do not believe any such regulations would have a material adverse impact on our business as a whole.</w:t>
      </w:r>
    </w:p>
    <w:p>
      <w:pPr>
        <w:spacing w:after="0" w:line="85"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Occupational Safety and Health Act of 1970, as amended, (“OSHA”) establishes certain employer responsibilities, including maintenance of a workplace free of recognized hazards likely to cause death or serious injury, compliance with standards promulgated by the Occupational Safety and Health Administration, and various reporting and record keeping obligations as well as disclosure and procedural requirements. Various standards for notices of hazards, safety in excavation and demolition work and the handling of asbestos, may apply to our operations. The Department of Transportation and OSHA, along with other federal agencies, have jurisdiction over certain aspects of hazardous materials and hazardous waste, including safety, movement and disposal. Various state and local agencies with jurisdiction over disposal of hazardous waste may seek to regulate movement of hazardous materials in areas not otherwise preempted by federal law.</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are also actively monitoring the following recent developments in United States federal regulations affecting our business:</w:t>
      </w:r>
    </w:p>
    <w:p>
      <w:pPr>
        <w:spacing w:after="0" w:line="131" w:lineRule="exact"/>
        <w:rPr>
          <w:sz w:val="20"/>
          <w:szCs w:val="20"/>
          <w:color w:val="auto"/>
        </w:rPr>
      </w:pPr>
    </w:p>
    <w:p>
      <w:pPr>
        <w:ind w:left="900" w:right="60" w:hanging="325"/>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2010, the EPA issued the Prevention of Significant Deterioration (“PSD”) and Title V Greenhouse Gas (“GHG”) Tailoring Rule, which expanded the EPA’s federal air permitting authority to include the six GHGs, including methane and carbon dioxide. The rule sets new thresholds for GHG emissions that define when Clean Air Act permits are required. The requirements of these rules have not significantly affected our operations or cash flows, due to the tailored thresholds and exclusions of certain emissions from regulation.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spacing w:after="0" w:line="254" w:lineRule="auto"/>
        <w:rPr>
          <w:sz w:val="20"/>
          <w:szCs w:val="20"/>
          <w:color w:val="auto"/>
        </w:rPr>
      </w:pPr>
      <w:r>
        <w:rPr>
          <w:rFonts w:ascii="Times New Roman" w:cs="Times New Roman" w:eastAsia="Times New Roman" w:hAnsi="Times New Roman"/>
          <w:sz w:val="18"/>
          <w:szCs w:val="18"/>
          <w:color w:val="auto"/>
        </w:rPr>
        <w:t>In June 2013, the U.S. Supreme Court issued a decision that significantly limited the applicability and scope of EPA permitting requirements for GHGs from stationary sources, concluding that: the EPA may not treat GHGs as an air pollutant for purposes of determining whether a source is required to obtain a PSD or Title V permit; and the EPA can continue to require that PSD permits otherwise required based on emissions of conventional pollutants contain limitations on GHG emissions based on Best Available Control Technology (“BACT”). Following this ruling, the EPA issued a policy memorandum advising that it intends to propose exempting biogenic carbon dioxide emissions from waste-derived feedstocks (municipal solid waste and landfill gas) from PSD and Title V air permitting. The EPA anticipates basing this proposal on the rationale that those emissions are likely to have minimal or no net atmospheric contributions, or even reduce such impacts, when compared to an alternate method of disposal. As a result of this U.S. Supreme Court ruling and EPA policy action, the potential impact of the PSD and Title V GHG Tailoring Rule on our air permits, compliance and results of operations is significantly reduced.</w:t>
      </w:r>
    </w:p>
    <w:p>
      <w:pPr>
        <w:spacing w:after="0" w:line="95" w:lineRule="exact"/>
        <w:rPr>
          <w:sz w:val="20"/>
          <w:szCs w:val="20"/>
          <w:color w:val="auto"/>
        </w:rPr>
      </w:pPr>
    </w:p>
    <w:p>
      <w:pPr>
        <w:ind w:left="900"/>
        <w:spacing w:after="0" w:line="254" w:lineRule="auto"/>
        <w:rPr>
          <w:sz w:val="20"/>
          <w:szCs w:val="20"/>
          <w:color w:val="auto"/>
        </w:rPr>
      </w:pPr>
      <w:r>
        <w:rPr>
          <w:rFonts w:ascii="Times New Roman" w:cs="Times New Roman" w:eastAsia="Times New Roman" w:hAnsi="Times New Roman"/>
          <w:sz w:val="18"/>
          <w:szCs w:val="18"/>
          <w:color w:val="auto"/>
        </w:rPr>
        <w:t>Other recent final and proposed rules to increase the stringency of certain National Ambient Air Quality Standards, such as the Ozone rule proposed in December 2014, and related PSD increment/significance thresholds could affect the cost, timeliness and availability of air permits for new and modified large municipal solid waste landfills and landfill gas-to-energy facilities. In general, controlling emissions involves installing collection wells in a landfill and routing the gas to a suitable energy recovery system or combustion device. At December 31, 2014, we had 134 projects at solid waste landfills where landfill gas was captured and utilized for its renewable energy value rather than flared. Efforts to curtail the emission of GHGs and to ameliorate the effect of climate change may require our landfills to deploy more stringent emission controls, with associated capital or operating costs; however, we do not believe that such regulations will have a material adverse impact on our business as a whole. See Item 1A. Risk Factors — “The adoption of climate change legislation or regulations restricting emissions of “greenhouse gases” could increase our costs to operate.”</w:t>
      </w:r>
    </w:p>
    <w:p>
      <w:pPr>
        <w:spacing w:after="0" w:line="95" w:lineRule="exact"/>
        <w:rPr>
          <w:sz w:val="20"/>
          <w:szCs w:val="20"/>
          <w:color w:val="auto"/>
        </w:rPr>
      </w:pPr>
    </w:p>
    <w:p>
      <w:pPr>
        <w:ind w:left="900" w:right="240"/>
        <w:spacing w:after="0" w:line="266" w:lineRule="auto"/>
        <w:rPr>
          <w:sz w:val="20"/>
          <w:szCs w:val="20"/>
          <w:color w:val="auto"/>
        </w:rPr>
      </w:pPr>
      <w:r>
        <w:rPr>
          <w:rFonts w:ascii="Times New Roman" w:cs="Times New Roman" w:eastAsia="Times New Roman" w:hAnsi="Times New Roman"/>
          <w:sz w:val="18"/>
          <w:szCs w:val="18"/>
          <w:color w:val="auto"/>
        </w:rPr>
        <w:t>The EPA recently clarified in its November 2014 policy memorandum that states may rely on waste-derived biogenic feedstocks in their future proposed compliance plans required by the proposed Clean Power Plan rules. This recognition by the EPA may create new or expanded opportunities for renewable energy projects.</w:t>
      </w:r>
    </w:p>
    <w:p>
      <w:pPr>
        <w:spacing w:after="0" w:line="82" w:lineRule="exact"/>
        <w:rPr>
          <w:sz w:val="20"/>
          <w:szCs w:val="20"/>
          <w:color w:val="auto"/>
        </w:rPr>
      </w:pPr>
    </w:p>
    <w:p>
      <w:pPr>
        <w:ind w:left="900" w:right="20"/>
        <w:spacing w:after="0" w:line="258" w:lineRule="auto"/>
        <w:rPr>
          <w:sz w:val="20"/>
          <w:szCs w:val="20"/>
          <w:color w:val="auto"/>
        </w:rPr>
      </w:pPr>
      <w:r>
        <w:rPr>
          <w:rFonts w:ascii="Times New Roman" w:cs="Times New Roman" w:eastAsia="Times New Roman" w:hAnsi="Times New Roman"/>
          <w:sz w:val="18"/>
          <w:szCs w:val="18"/>
          <w:color w:val="auto"/>
        </w:rPr>
        <w:t>We are taking steps to anticipate the future needs of our customers which include investing in and developing ever-more-advanced recycling and reuse technologies. Potential climate change and GHG regulatory initiatives have influenced our business strategy to provide low-carbon services to our customers, and we increasingly view our ability to offer lower carbon services as a key component of our business growth. If the U.S. were to impose a carbon tax or other form of GHG regulation increasing demand for low-carbon service offerings in the future, the services we are developing will be increasingly valuable.</w:t>
      </w:r>
    </w:p>
    <w:p>
      <w:pPr>
        <w:spacing w:after="0" w:line="89" w:lineRule="exact"/>
        <w:rPr>
          <w:sz w:val="20"/>
          <w:szCs w:val="20"/>
          <w:color w:val="auto"/>
        </w:rPr>
      </w:pPr>
    </w:p>
    <w:p>
      <w:pPr>
        <w:ind w:left="900" w:right="220" w:hanging="325"/>
        <w:spacing w:after="0" w:line="253"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2011, the EPA published the Non-Hazardous Secondary Materials (“NHSM”) Rule, which provides the standards and procedures for identifying whether NHSM are solid waste under RCRA when used as fuels or ingredients in combustion units. The EPA also published new source performance standards and emission guidelines for commercial and industrial solid waste incineration units, and Maximum Achievable Control Technology Standards for commercial and industrial boilers. The EPA published clarifications and amendments to these rules in 2013, and there is litigation surrounding the rules. Although the recently published amendments are generally favorable to our industry, some of the potential regulatory interpretations are undergoing review and other regulatory outcomes may be dependent on case-by-case administrative determinations. These could have a significant impact on some of our projects in which we are seeking to convert biomass or other secondary materials into products, fuels or energy. Therefore, it is not possible to quantify the financial impact of these rulemakings or pending administrative determinations at the present time. However, we believe the rules and administrative determinations will not have a material adverse impact on our business as a whole and are more likely to facilitate our efforts to reuse or recover energy value from secondary material streams.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2014, the EPA issued a final rule regulating the disposal and beneficial use of coal combustion residuals (“CCR”). The regulations encourage beneficial use of CCR in encapsulated uses (e.g., used in cement or wallboard), and use according to established industry standards (e.g., application of sludge for agricultural enrichment). The EPA also deemed disposal and beneficial use of CCR at permitted municipal solid waste landfills exempt from the new regulations because the RCRA Subtitle D standards applicable at municipal solid waste landfills provide at least equivalent protection. The new standards are consistent with our approach to handling CCR at our sites currently, and we believe the new standards will provide a potential growth opportunity for the Company. States may impose standards more stringent than the federal program, and we will be monitoring state implementation to determine impact.</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State, Provincial and Local Regulations</w:t>
      </w:r>
    </w:p>
    <w:p>
      <w:pPr>
        <w:spacing w:after="0" w:line="11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There are also various state or provincial and local regulations that affect our operations. Each state and province in which we operate has its own laws and regulations governing solid waste disposal, water and air pollution, and, in most cases, releases and cleanup of hazardous substances and liabilities for such matters. States and provinces have also adopted regulations governing the design, operation, maintenance and closure of landfills and transfer stations. Some counties, municipalities and other local governments have adopted similar laws and regulations. Our facilities and operations are likely to be subject to these types of requirements.</w:t>
      </w:r>
    </w:p>
    <w:p>
      <w:pPr>
        <w:spacing w:after="0" w:line="184"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landfill operations are affected by the increasing preference for alternatives to landfill disposal. Several state and local governments mandate recycling and waste reduction at the source and prohibit the disposal of certain types of waste, such as yard and food waste, at landfills. The number of cities with food waste recycling requirements and disposal bans continues to grow, while the logistics and economics of food waste recycling remain challenging.</w:t>
      </w:r>
    </w:p>
    <w:p>
      <w:pPr>
        <w:spacing w:after="0" w:line="176"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Various states have enacted, or are considering enacting, laws that restrict the disposal within the state of solid waste generated outside the state. While laws that overtly discriminate against out-of-state waste have been found to be unconstitutional, some laws that are less overtly discriminatory have been upheld in court.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In 1994, the United States Supreme Court ruled that a flow control ordinance that gave preference to a local facility that was privately owned was unconstitutional, but in 2007, the Court ruled that an ordinance directing waste to a facility owned by the local government was constitutional. The United States Congress’ adoption of legislation allowing restrictions on interstate transportation of out-of-state or out-of-jurisdiction waste or certain types of flow control, or courts’ interpretations of interstate waste and flow control legislation, could adversely affect our solid and hazardous waste management services.</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Additionally, regulations establishing extended producer responsibility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recycling and other streams we manage and how we operate our business, including contract terms and pricing.</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Many states, provinces and local jurisdictions have enacted “fitness” laws that allow the agencies that have jurisdiction over waste services contracts or permits to deny or revoke these contracts or permits based on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applicant’s or permit holder’s compliance history. Some states, provinces and local jurisdictions go further and consider the compliance history of the parent, subsidiaries or affiliated companies, in addition to the applicant or permit holder. These laws authorize the agencies to make determinations of an applicant’s or permit holder’s fitness to be awarded a contract to operate, and to deny or revoke a contract or permit because of unfitness, unless there is a showing that the applicant or permit holder has been rehabilitated through the adoption of various operating policies and procedures put in place to assure future compliance with applicable laws and regulations.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Foreign Import Regulation</w:t>
      </w:r>
    </w:p>
    <w:p>
      <w:pPr>
        <w:spacing w:after="0" w:line="11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as well as restricting the import of certain other plastic recyclables. The higher quality expectations resulting from initiatives such as “Operation Green Fence” can drive up operating costs in the recycling industry, particularly for single stream MRFs. Single stream MRFs process a wide range of commingled materials and tend to receive a higher percentage of non-recyclables, which results in increased processing and residual disposal costs. Despite these increased costs, we believe we are well positioned among our potential competitors to respond to and comply with such regulations. We are revising our service agreements to address these increased costs and are working with stakeholders to educate the general public on the need to recycle properly.</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Hydraulic Fracturing Regulation</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Energy Services line of business provides specialized environmental management and disposal services for oil and gas exploration and production operations. Recently, there has been increased attention from the public, some states and the EPA on the alleged potential for hydraulic fracturing to impact drinking water supplies. There is also heightened regulatory focus on emissions of methane that occur during drilling and transportation of natural gas, as well as protective disposal of drilling residuals. Increased regulation of hydraulic fracturing and new rules regarding the treatment and disposal of wastes associated with exploration and production operations could increase our costs to provide oilfield services and reduce our margins and revenue from such services. On the other hand, we believe the size, capital structure, regulatory sophistication and established reliability of our Company provide us with an advantage in providing services that must comply with any complex regulatory regime that may govern providing oilfield waste services.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Emissions from Natural Gas Fueling and Infrastructure</w:t>
      </w:r>
    </w:p>
    <w:p>
      <w:pPr>
        <w:spacing w:after="0" w:line="119"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currently operate the largest compressed natural gas (“CNG”) fleet in the waste industry, and we plan to continue to transition a significant portion of our collection fleet from diesel fuel to CNG. We have constructed and operate 72 natural gas fueling stations, 25 of which also serve the public or pre-approved third parties, in 28 states and three Canadian provinces. Concerns have been raised about the potential for emissions from the fueling stations and infrastructure that serve natural gas-fueled vehicles. We have partnered with the environmental organization Environmental Defense Fund, as well as other heavy-duty equipment users and experts, on an emissions study to be made available to policy makers. We anticipate that this comprehensive study of emissions from our heavy-duty fleet may ultimately result in regulations that will affect equipment manufacturers and will define operating procedures across the industry. Additional regulation of, or restrictions on, CNG fueling infrastructure or reductions in associated tax incentives could increase our operating costs. We are not yet able to evaluate potential operating changes or costs associated with such regulations, but we do not anticipate that such regulations would have a material adverse impact on our business or our current plan to continue transitioning to CNG vehicles.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Federal, State and Local Climate Change Initiatives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light of regulatory and business developments related to concerns about climate change, we have identified a strategic business opportunity to provide our public and private sector customers with sustainable solutions to reduce their GHG emissions. As part of our on-going marketing evaluations, we assess customer demand for and opportunities to develop waste services offering verifiable carbon reductions, such as waste reduction, increased recycling, and conversion of landfill gas and discarded materials into electricity and fuel. We use carbon life cycle tools in evaluating potential new services and in establishing the value proposition that makes us attractive as an environmental service provider. We are active in support of public policies that encourage development and use of lower carbon energy and waste services that lower users’ carbon footprints. We understand the importance of broad stakeholder engagement in these endeavors, and actively seek opportunities for public policy discussion on more sustainable materials management practices. In addition, we work with stakeholders at the federal and state level in support of legislation that encourages production and use of renewable, low-carbon fuels and electricity.</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We continue to assess the physical risks to company operations from the effects of severe weather events and use risk mitigation planning to increase our resiliency in the face of such events. We are investing in infrastructure to withstand more severe storm events, which may afford us a competitive advantage and reinforce our reputation as a reliable service provider through continued service in the aftermath of such events.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360" w:firstLine="456"/>
        <w:spacing w:after="0" w:line="261" w:lineRule="auto"/>
        <w:rPr>
          <w:sz w:val="20"/>
          <w:szCs w:val="20"/>
          <w:color w:val="auto"/>
        </w:rPr>
      </w:pPr>
      <w:r>
        <w:rPr>
          <w:rFonts w:ascii="Times New Roman" w:cs="Times New Roman" w:eastAsia="Times New Roman" w:hAnsi="Times New Roman"/>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86" w:lineRule="exact"/>
        <w:rPr>
          <w:sz w:val="20"/>
          <w:szCs w:val="20"/>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about accounting and finances;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and objectives for the future;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or estimates about assumptions relating to our performance;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opinions, views or beliefs about the effects of current or future events, circumstances or performance.</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Consolidated Financial Statements and the notes thereto. Outlined below are some of the risks that we believe could affect our business and financial statements for 2015 and beyond and that could cause actual results to be materially different from those that may be set forth in forward-looking statements made by the Company.</w:t>
      </w:r>
    </w:p>
    <w:p>
      <w:pPr>
        <w:spacing w:after="0" w:line="293" w:lineRule="exact"/>
        <w:rPr>
          <w:sz w:val="20"/>
          <w:szCs w:val="20"/>
          <w:color w:val="auto"/>
        </w:rPr>
      </w:pPr>
    </w:p>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highly competitive, and if we cannot successfully compete in the marketplace, our business, financial condition and operating results may be materially adversely affected.</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encounter intense competition from governmental, quasi-governmental and private sources in all aspects of our operations. In North America, the industry consists primarily of two national waste management companies and regional and local companies of varying sizes and financial resources, including companies that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specialize in certain discrete areas of waste management, operators of alternative disposal facilities and companies that seek to use parts of the waste stream as feedstock for renewable energy and other by-products. Some of our regional competitors can be significant competitors in local markets and are pursuing aggressive regional growth strategies. We compete with these companies as well as with counties and municipalities that maintain their own waste collection and disposal operations. These counties and municipalities may have financial competitive advantages because tax revenues are available to them and tax-exempt financing is more readily available to them. Also, such governmental units may attempt to impose flow control or other restrictions that would give them a competitive advantage. In addition, some of our competitors may have lower financial expectations, allowing them to reduce their prices to expand sales volume or to win competitively-bid contracts, including large national accounts and exclusive franchise arrangements with municipalities. When this happens, we may lose customers and be unable to execute our pricing strategy, resulting in a negative impact to our revenue growth from yield on base business.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implement our business strategy, our financial performance and our growth could be materially and adversely affected.</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 xml:space="preserve">Our future financial performance and success are dependent in large part upon our ability to implement our business strategy successfully. Implementation of our strategy will require effective management of our operational, financial and human resources and will place significant demands on those resources. See Item 7. Management’s Discussion and Analysis of Financial Condition and Results of Operations — </w:t>
      </w: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xml:space="preserve"> for more information on our business strategy.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risks involved in pursuing our strategy, including the following:</w:t>
      </w:r>
    </w:p>
    <w:p>
      <w:pPr>
        <w:spacing w:after="0" w:line="131"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customers or investors may not embrace and support our strategy.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hire or retain the personnel necessary to manage our strategy effectively.</w:t>
      </w:r>
    </w:p>
    <w:p>
      <w:pPr>
        <w:spacing w:after="0" w:line="130" w:lineRule="exact"/>
        <w:rPr>
          <w:rFonts w:ascii="Times New Roman" w:cs="Times New Roman" w:eastAsia="Times New Roman" w:hAnsi="Times New Roman"/>
          <w:sz w:val="18"/>
          <w:szCs w:val="18"/>
          <w:color w:val="auto"/>
        </w:rPr>
      </w:pPr>
    </w:p>
    <w:p>
      <w:pPr>
        <w:jc w:val="both"/>
        <w:ind w:left="900" w:right="380" w:hanging="325"/>
        <w:spacing w:after="0" w:line="31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efforts to enhance our revenues, we have implemented price increases and environmental fees, and we have continued our fuel surcharge program to offset fuel costs. The loss of volumes as a result of price increases may negatively affect our cash flows or results of operations.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implementing improvements to operational efficiency and such efforts may not yield the intended result.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restructuring may not achieve and/or maintain the goals and cost savings intended.</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with respect to our asset portfolio may result in impairments to our assets. See Item 1A. Risk Factors — We may record material charges against earnings due to any number of events that could cause impairments to our assets.</w:t>
      </w:r>
    </w:p>
    <w:p>
      <w:pPr>
        <w:spacing w:after="0" w:line="67" w:lineRule="exact"/>
        <w:rPr>
          <w:rFonts w:ascii="Times New Roman" w:cs="Times New Roman" w:eastAsia="Times New Roman" w:hAnsi="Times New Roman"/>
          <w:sz w:val="18"/>
          <w:szCs w:val="18"/>
          <w:color w:val="auto"/>
        </w:rPr>
      </w:pPr>
    </w:p>
    <w:p>
      <w:pPr>
        <w:ind w:left="900" w:hanging="325"/>
        <w:spacing w:after="0" w:line="313" w:lineRule="auto"/>
        <w:tabs>
          <w:tab w:leader="none" w:pos="9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make strategic acquisitions depends on our ability to identify desirable acquisition targets, negotiate advantageous transactions despite competition for such opportunities, fund such acquisitions on favorable terms, and realize the benefits we expect from those transactions.</w:t>
      </w:r>
    </w:p>
    <w:p>
      <w:pPr>
        <w:spacing w:after="0" w:line="43" w:lineRule="exact"/>
        <w:rPr>
          <w:rFonts w:ascii="Times New Roman" w:cs="Times New Roman" w:eastAsia="Times New Roman" w:hAnsi="Times New Roman"/>
          <w:sz w:val="17"/>
          <w:szCs w:val="17"/>
          <w:color w:val="auto"/>
        </w:rPr>
      </w:pPr>
    </w:p>
    <w:p>
      <w:pPr>
        <w:ind w:left="900" w:right="120" w:hanging="325"/>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81"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acquisitions and/or new services offerings could increase our exposure to the risk of inadvertent noncompliance with applicable laws and regulations.</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strategy, particularly growth through acquisitions, may cause us to incur substantial additional indebtedness, which may divert capital away from our traditional business operations and other financial plans.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20"/>
          </w:cols>
          <w:pgMar w:left="24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seek to divest underperforming and non-strategic assets if we cannot improve their profitability. We may not be able to successfully negotiate the divestiture of underperforming and non-strategic operations, which could result in asset impairments or the continued operation of low-margin businesses.</w:t>
      </w:r>
    </w:p>
    <w:p>
      <w:pPr>
        <w:spacing w:after="0" w:line="176"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risks set forth above, implementation of our business strategy could also be affected by a number of factors beyond our control, such as increased competition, legal developments, government regulation, general economic conditions, increased operating costs or expenses and changes in industry trends. We may decide to alter or discontinue certain aspects of our business strategy at any time. If we are not able to implement our business strategy successfully, our long-term growth and profitability may be adversely affected. Even if we are able to implement some or all of the initiatives of our business strategy successfully, our operating results may not improve to the extent we anticipate, or at all.</w:t>
      </w:r>
    </w:p>
    <w:p>
      <w:pPr>
        <w:spacing w:after="0" w:line="288" w:lineRule="exact"/>
        <w:rPr>
          <w:sz w:val="20"/>
          <w:szCs w:val="20"/>
          <w:color w:val="auto"/>
        </w:rPr>
      </w:pPr>
    </w:p>
    <w:p>
      <w:pPr>
        <w:ind w:left="2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existing or future regulations and/or enforcement of such regulations may restrict or change our operations, increase our operating costs or require us to make additional capital expenditures.</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Stringent government regulations at the federal, state, provincial, and local level in the United States and Canada have a substantial impact on our business, and compliance with such regulations is costly. A large number of complex laws, rules, orders and interpretations govern environmental protection, health, safety, land use, zoning, transportation and related matters. In recent years, we have perceived an increase in both the amount of government regulation and the number of enforcement actions being brought by regulatory entities against operations in the waste services industry. We expect this heightened governmental focus on regulation and enforcement to continue. Among other things, governmental regulations and enforcement actions may restrict our operations and adversely affect our financial condition, results of operations and cash flows by imposing conditions such as:</w:t>
      </w:r>
    </w:p>
    <w:p>
      <w:pPr>
        <w:spacing w:after="0" w:line="93"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siting and constructing new waste disposal, transfer, recycling or processing facilities or on expanding existing facilities;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regulations or levies on collection and disposal prices, rates and volumes;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bans on disposal or transportation of out-of-state waste or certain categories of waste;</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mandates regarding the management of solid waste, including requirements to recycle, divert or otherwise process certain waste, recycling and other streams;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restrictions on the recycling, processing or transformation of waste, recycling and other streams.</w:t>
      </w:r>
    </w:p>
    <w:p>
      <w:pPr>
        <w:spacing w:after="0" w:line="225"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Regulations affecting the siting, design and closure of landfills could require us to undertake investigatory or remedial activities, curtail operations or close landfills temporarily or permanently. Future changes in these regulations may require us to modify, supplement or replace equipment or facilities. The costs of complying with these regulations could be substantial.</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order to develop, expand or operate a landfill or other waste management facility, we must have various facility permits and other governmental approvals, including those relating to zoning, environmental protection and land use. The permits and approvals are often difficult, time consuming and costly to obtain and could contain conditions that limit our operations.</w:t>
      </w:r>
    </w:p>
    <w:p>
      <w:pPr>
        <w:spacing w:after="0" w:line="176"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We also have significant financial obligations relating to final capping, closure, post-closure and environmental remediation at our existing landfills. We establish accruals for these estimated costs, but we could underestimate such accruals. Environmental regulatory changes could accelerate or increase capping, closure, post-closure and remediation costs, requiring our expenditures to materially exceed our current accruals.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Various states have enacted, or are considering enacting, laws that restrict the disposal within the state of solid waste generated outside the state. From time to time, the United States Congress has considered legislation authorizing states to adopt regulations, restrictions, or taxes on the importation of out-of-state or out-of-jurisdiction waste. Additionally, several state and local governments have enacted “flow control” regulations, which attempt to require that all waste generated within the state or local jurisdiction be deposited at specific sites. The United States Congress’ adoption of legislation allowing restrictions on interstate transportation of out-of-state or out-of-jurisdiction waste certain types of flow control, or courts’ interpretations of interstate waste and flow control legislation, could adversely affect our solid and hazardous waste management services.</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Additionally, regulations establishing extended producer responsibility, or EPR, are being considered or implemented in many places around the world, including in Canada and the U.S. EPR regulations are designed to place either partial or total responsibility on producers to fund the post-use life cycle of the products they create. Along with the funding responsibility, producers may be required to take over management of local recycling programs by taking back their products from end users or managing the collection operations and recycling processing infrastructure. There is no federal law establishing EPR in the U.S. or Canada; however, state, provincial and local governments could, and in some cases have, taken steps to implement EPR regulations. If wide-ranging EPR regulations were adopted, they could have a fundamental impact on the waste streams we manage and how we operate our business, including contract terms and pricing. A significant reduction in the waste, recycling and other streams we manage could have a material adverse effect on our financial condition, results of operations and cash flows.</w:t>
      </w:r>
    </w:p>
    <w:p>
      <w:pPr>
        <w:spacing w:after="0" w:line="18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Enforcement or implementation of foreign regulations can affect our ability to export products. In 2013, the Chinese government began to strictly enforce regulations that establish limits on moisture and non-conforming materials that may be contained in imported recycled paper and plastics. The higher quality expectations resulting from initiatives such as “Operation Green Fence” can drive up operating costs in the recycling industry, particularly for single stream MRFs. Single stream MRFs process a wide range of commingled materials and tend to receive a higher percentage of non-recyclables, which results in increased processing and residual disposal costs. If Operation Green Fence or other similar initiatives or new regulations increase our operating costs in the future, and we are not able to recapture those costs from our customers, such regulations could have a material adverse effect on our results of operations.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revenues, earnings and cash flows will fluctuate based on changes in commodity prices.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recycling operations process for sale certain recyclable materials, including fibers, aluminum and glass, all of which are subject to significant market price fluctuations. The majority of the recyclables that we process for sale are paper fibers, including old corrugated cardboard and old newsprint. The fluctuations in the market prices or demand for these commodities, particularly demand from Chinese paper mills, can affect our operating income and cash flows negatively, such as we experienced in 2014, 2013 and 2012. As we have increased the size of our recycling operations, we have also increased our exposure to commodity price fluctuations. The decline in market prices in 2014, 2013 and 2012 for commodities resulted in year-over-year decreases in revenue of $53 million, $79 million and $428 million, respectively. Additionally, our recycling operations offer rebates to suppliers. Therefore, even if we experience higher revenues based on increased market prices for commodities, the rebates we pay will also increase. In other circumstances, the rebates may be subject to a floor, such that as market prices decrease, any expected profit margins on materials subject to the rebate floor are reduced or eliminated.</w:t>
      </w:r>
    </w:p>
    <w:p>
      <w:pPr>
        <w:spacing w:after="0" w:line="185"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Fluctuation in energy prices also affects our business. Significant variations in the price of methane gas, electricity and other energy-related products that are marketed and sold by our landfill gas recovery operations can result in corresponding significant impact to our revenue from yield from such operations. Additionally, we provide specialized disposal services for oil and gas exploration and production operations through our Energy Services business. Demand for these services may decrease if drilling activity slows due to changes in oil and gas prices, such as the pronounced recent price decreases. Any of the commodity prices to which we are subject may fluctuate substantially and without notice in the future.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regulations applicable to oil and gas drilling and production could adversely affect our Energy Services business.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Energy Services business demand may also be adversely affected if drilling activity slows due to industry conditions beyond our control, in addition to changes in oil and gas prices. Changes in laws or government regulations regarding GHG emissions from oil and gas operations and/or hydraulic fracturing could increase our customers’ costs of doing business and reduce oil and gas exploration and production by customers. Recently, there has been increased attention from the public, some states and the EPA to the alleged potential for hydraulic fracturing to impact drinking water supplies. There is also heightened regulatory focus on emissions of methane that occur during drilling and transportation of natural gas, as well as protective disposal of drilling residuals. Increased regulation of oil and gas exploration and production and new rules regarding the treatment and disposal of wastes associated with exploration and production operations could increase our costs to provide oilfield services and reduce our margins and revenue from such services.</w:t>
      </w:r>
    </w:p>
    <w:p>
      <w:pPr>
        <w:spacing w:after="0" w:line="293" w:lineRule="exact"/>
        <w:rPr>
          <w:sz w:val="20"/>
          <w:szCs w:val="20"/>
          <w:color w:val="auto"/>
        </w:rPr>
      </w:pPr>
    </w:p>
    <w:p>
      <w:pPr>
        <w:ind w:left="2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customer preference for alternatives to landfill disposal could reduce our landfill volumes and cause our revenues and operating results to decline.</w:t>
      </w:r>
    </w:p>
    <w:p>
      <w:pPr>
        <w:spacing w:after="0" w:line="5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Our customers are increasingly diverting waste to alternatives to landfill disposal, such as recycling and composting, while also working to reduce the amount of waste they generate. In addition, several state and local governments mandate recycling and waste reduction at the source and prohibit the disposal of certain types of waste, such as yard and food waste, at landfills or waste-to-energy facilities. Where such organic waste is not banned from the landfill or waste-to-energy facility, some large customers such as grocery stores and restaurants are choosing to divert their organic waste from landfills. Zero-waste goals (sending no waste to the landfill) have been set by many of North America’s largest companies. Although such mandates and initiatives help to protect our environment, these developments reduce the volume of waste going to our landfills which may affect the prices that we can charge for landfill disposal. Our landfills currently provide and, together with our divested waste-to-energy facilities, have historically provided our highest income from operations margins. If we are not successful in expanding our service offerings and growing lines of businesses to service waste streams that do not go to landfills and to provide services for customers that wish to reduce waste entirely, then our revenues and operating results may decline. Additionally, despite the development of new service offerings and lines of business, it is possible that our revenues and our income from operations margins could be negatively affected due to disposal alternatives.</w:t>
      </w:r>
    </w:p>
    <w:p>
      <w:pPr>
        <w:spacing w:after="0" w:line="297" w:lineRule="exact"/>
        <w:rPr>
          <w:sz w:val="20"/>
          <w:szCs w:val="20"/>
          <w:color w:val="auto"/>
        </w:rPr>
      </w:pPr>
    </w:p>
    <w:p>
      <w:pPr>
        <w:ind w:left="2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technology could trigger a fundamental change in the waste management industry, as waste streams are increasingly viewed as a resource, which may adversely impact volumes at our landfills and waste-to-energy facilities and our profitability.</w:t>
      </w:r>
    </w:p>
    <w:p>
      <w:pPr>
        <w:spacing w:after="0" w:line="5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Company and others have recognized the value of the traditional waste stream as a potential resource. Research and development activities are on-going to provide disposal alternatives that maximize the value of waste, including using waste as a source for renewable energy and other valuable by-products. We and many other companies are investing in these technologies. It is possible that such investments and technological advancements may reduce the cost of waste disposal or the value of landfill gas recovery to a level below our costs and may reduce the demand for landfill space. As a result, our revenues and margins could be adversely affected due to advancements in disposal alternatives.</w:t>
      </w:r>
    </w:p>
    <w:p>
      <w:pPr>
        <w:spacing w:after="0" w:line="288" w:lineRule="exact"/>
        <w:rPr>
          <w:sz w:val="20"/>
          <w:szCs w:val="20"/>
          <w:color w:val="auto"/>
        </w:rPr>
      </w:pPr>
    </w:p>
    <w:p>
      <w:pPr>
        <w:ind w:left="2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develop new service offerings and protect intellectual property, or if a competitor develops or obtains exclusive rights to a breakthrough technology, our financial results may suffer.</w:t>
      </w:r>
    </w:p>
    <w:p>
      <w:pPr>
        <w:spacing w:after="0" w:line="5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existing and proposed service offerings to customers may require that we invest in, develop or license, and protect, new technologies. Research and development of new technologies and investment in emerging technologies often requires significant spending that may divert capital investment away from our traditional business operations. We may experience difficulties or delays in the research, development, production and/or marketing of new products and services or emerging technologies in which we have invested, which may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negatively impact our operating results and prevent us from recouping or realizing a return on the investments required to bring new products and services to market. Further, protecting our intellectual property rights and combating unlicensed copying and use of intellectual property is difficult, and any inability to obtain or protect new technologies could impact our services to customers and development of new revenue sources. Our Company and others are increasingly focusing on new technologies that provide alternatives to traditional disposal and maximize the resource value of waste. If a competitor develops or obtains exclusive rights to a “breakthrough technology” that provides a revolutionary change in traditional waste management, or if we have inferior intellectual property to our competitors, our financial results may suffer.</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reputation and the value of our brand.</w:t>
      </w:r>
    </w:p>
    <w:p>
      <w:pPr>
        <w:spacing w:after="0" w:line="121" w:lineRule="exact"/>
        <w:rPr>
          <w:sz w:val="20"/>
          <w:szCs w:val="20"/>
          <w:color w:val="auto"/>
        </w:rPr>
      </w:pPr>
    </w:p>
    <w:p>
      <w:pPr>
        <w:ind w:right="120" w:firstLine="456"/>
        <w:spacing w:after="0" w:line="274" w:lineRule="auto"/>
        <w:rPr>
          <w:sz w:val="20"/>
          <w:szCs w:val="20"/>
          <w:color w:val="auto"/>
        </w:rPr>
      </w:pPr>
      <w:r>
        <w:rPr>
          <w:rFonts w:ascii="Times New Roman" w:cs="Times New Roman" w:eastAsia="Times New Roman" w:hAnsi="Times New Roman"/>
          <w:sz w:val="17"/>
          <w:szCs w:val="17"/>
          <w:color w:val="auto"/>
        </w:rPr>
        <w:t>We believe we have developed a reputation for high-quality service, reliability and social and environmental responsibility, and we believe our brand symbolizes these attributes. The Waste Management brand name, trademarks and logos and our reputation are powerful sales and marketing tools, and we devote significant resources to promoting and protecting them. Adverse publicity, whether or not justified, relating to activities by our operations, employees or agents could tarnish our reputation and reduce the value of our brand. Damage to our reputation and loss of brand equity could reduce demand for our services. This reduction in demand, together with the dedication of time and expense necessary to defend our reputation, could have an adverse effect on our financial condition, liquidity and results of operations, as well as require additional resources to rebuild our reputation and restore the value of our brand.</w:t>
      </w:r>
    </w:p>
    <w:p>
      <w:pPr>
        <w:spacing w:after="0" w:line="278" w:lineRule="exact"/>
        <w:rPr>
          <w:sz w:val="20"/>
          <w:szCs w:val="20"/>
          <w:color w:val="auto"/>
        </w:rPr>
      </w:pPr>
    </w:p>
    <w:p>
      <w:pPr>
        <w:ind w:left="2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as well as contractual obligations that may result in significant liabilities.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There is risk of incurring significant environmental liabilities in the use, treatment, storage, transfer and disposal of waste materials. Under applicable environmental laws and regulations, we could be liable if our operations cause environmental damage to our properties or to the property of other landowners, particularly as a result of the contamination of air, drinking water or soil. Under current law, we could also be held liable for damage caused by conditions that existed before we acquired the assets or operations involved. This risk is of particular concern as we execute our growth strategy, partially though acquisitions, because we may be unsuccessful in identifying and assessing potential liabilities during our due diligence investigations. Further, the counterparties in such transactions may be unable to perform their indemnification obligations owed to us. Additionally,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18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have in the past, we are currently, and we may in the future, become involved in legal and administrative proceedings relating to land use and environmental laws and regulations. These include proceedings in which:</w:t>
      </w:r>
    </w:p>
    <w:p>
      <w:pPr>
        <w:spacing w:after="0" w:line="67" w:lineRule="exact"/>
        <w:rPr>
          <w:sz w:val="20"/>
          <w:szCs w:val="20"/>
          <w:color w:val="auto"/>
        </w:rPr>
      </w:pPr>
    </w:p>
    <w:p>
      <w:pPr>
        <w:ind w:left="900" w:right="4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313" w:lineRule="auto"/>
        <w:tabs>
          <w:tab w:leader="none" w:pos="9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communities, citizen groups,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13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generally seek to work with the authorities or other persons involved in these proceedings to resolve any issues raised. If we are not successful, the adverse outcome of one or more of these proceedings could result in, among other things, material increases in our costs or liabilities as well as material charges for asset impairments.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Further,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 Costs to remediate or restore the condition of closed sites may be significant.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conditions can directly and adversely affect our revenues and our income from operations margins.</w:t>
      </w:r>
    </w:p>
    <w:p>
      <w:pPr>
        <w:spacing w:after="0" w:line="12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business is directly affected by changes in national and general economic factors that are outside of our control, including consumer confidence, interest rates and access to capital markets. A weak economy generally results in decreased consumer spending and decreases in volumes of waste generated, which decreases our revenues. A weak market for consumer goods can significantly decrease demand by paper mills for recycled corrugated cardboard used in packaging; such decrease in demand can negatively impact commodity prices and our operating income and cash flows. In addition, we have a relatively high fixed-cost structure, which is difficult to quickly adjust to match shifting volume levels. Consumer uncertainty and the loss of consumer confidence may limit the number or amount of services requested by customers. Economic conditions may also limit our ability to implement our pricing strategy. For example, many of our contracts have price adjustment provisions that are tied to an index such as the Consumer Price Index, and our costs may increase in excess of the increase, if any, in the Consumer Price Index.</w:t>
      </w:r>
    </w:p>
    <w:p>
      <w:pPr>
        <w:spacing w:after="0" w:line="289" w:lineRule="exact"/>
        <w:rPr>
          <w:sz w:val="20"/>
          <w:szCs w:val="20"/>
          <w:color w:val="auto"/>
        </w:rPr>
      </w:pPr>
    </w:p>
    <w:p>
      <w:pPr>
        <w:ind w:left="2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customers, including governmental entities, have suffered financial difficulties affecting their credit risk, which could negatively impact our operating results.</w:t>
      </w:r>
    </w:p>
    <w:p>
      <w:pPr>
        <w:spacing w:after="0" w:line="51" w:lineRule="exact"/>
        <w:rPr>
          <w:sz w:val="20"/>
          <w:szCs w:val="20"/>
          <w:color w:val="auto"/>
        </w:rPr>
      </w:pPr>
    </w:p>
    <w:p>
      <w:pPr>
        <w:jc w:val="both"/>
        <w:ind w:right="340" w:firstLine="456"/>
        <w:spacing w:after="0" w:line="266" w:lineRule="auto"/>
        <w:rPr>
          <w:sz w:val="20"/>
          <w:szCs w:val="20"/>
          <w:color w:val="auto"/>
        </w:rPr>
      </w:pPr>
      <w:r>
        <w:rPr>
          <w:rFonts w:ascii="Times New Roman" w:cs="Times New Roman" w:eastAsia="Times New Roman" w:hAnsi="Times New Roman"/>
          <w:sz w:val="18"/>
          <w:szCs w:val="18"/>
          <w:color w:val="auto"/>
        </w:rPr>
        <w:t>We provide service to a number of governmental entities and municipalities, some of which have suffered significant financial difficulties in recent years, due in part to reduced tax revenue and/or high cost structures. Some of these entities could be unable to pay amounts owed to us or renew contracts with us at previous or increased rates.</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Many non-governmental customers have also suffered serious financial difficulties, including bankruptcy in some cases. Purchasers of our recyclable commodities can be particularly vulnerable to financial difficulties in times of commodity price volatility. The inability of our customers to pay us in a timely manner or to pay increased rates, particularly large national accounts, could negatively affect our operating results.</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the financial difficulties of municipalities could result in a decline in investors’ demand for municipal bonds and a correlating increase in interest rates. As of December 31, 2014, we had $501 million of variable-rate tax-exempt bonds that are subject to repricing on either a daily or a weekly basis through a remarketing process and $638 million of tax-exempt bonds with term interest rate periods that are subject to repricing within the next twelve months. If the weakness in the municipal debt market results in repricing of our tax-exempt bonds at significantly higher interest rates, we will incur increased interest expenses that may negatively affect our operating results and cash flows.</w:t>
      </w:r>
    </w:p>
    <w:p>
      <w:pPr>
        <w:spacing w:after="0" w:line="288" w:lineRule="exact"/>
        <w:rPr>
          <w:sz w:val="20"/>
          <w:szCs w:val="20"/>
          <w:color w:val="auto"/>
        </w:rPr>
      </w:pPr>
    </w:p>
    <w:p>
      <w:pPr>
        <w:ind w:left="2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 maintain required permits or to expand existing permitted capacity of our landfills, which could decrease our revenue and increase our costs.</w:t>
      </w:r>
    </w:p>
    <w:p>
      <w:pPr>
        <w:spacing w:after="0" w:line="5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ability to meet our financial and operating objectives depends in part on our ability to obtain and maintain the permits necessary to operate landfill sites. Permits to build, operate and expand solid waste management facilities, including landfills and transfer stations, have become more difficult and expensive to obtain and maintain. Permits often take years to obtain as a result of numerous hearings and compliance requirements with regard to zoning, environmental and other regulations. These permits are also often subject to resistance from citizen or other groups and other political pressures. Local communities and citizen groups, adjacent landowners or governmental agencies may oppose the issuance of a permit or approval we may need, allege violations of the permits under which we currently operate or laws or regulations to which we are subject,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or seek to impose liability on us for environmental damage. Responding to these challenges has, at times, increased our costs and extended the time associated with establishing new facilities and expanding existing facilities. In addition, failure to receive regulatory and zoning approval may prohibit us from establishing new facilities or expanding existing facilities. Our failure to obtain the required permits to operate our landfills could have a material adverse impact on our consolidated financial condition, results of operations and cash flows.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Significant shortages in diesel fuel supply or increases in diesel fuel prices will increase our operating expenses.</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 price and supply of diesel fuel can fluctuate significantly based on international, political and economic circumstances, as well as other factors outside our control, such as actions by the Organization of the Petroleum Exporting Countries (“OPEC”) and other oil and gas producers, regional production patterns, weather conditions and environmental concerns. Average diesel fuel prices decreased in both 2014 and 2013 but increased in 2012. We need diesel fuel to run a significant portion of our collection and transfer trucks and our equipment used in our landfill operations. Supply shortages could substantially increase our operating expenses. Additionally, if fuel prices increase, our direct operating expenses increase and many of our vendors raise their prices as a means to offset their own rising costs. We have in place a fuel surcharge program, designed to offset increased fuel expenses; however, we may not be able to pass through all of our increased costs and some customers’ contracts prohibit any pass-through of the increased costs. Additionally, we recently settled litigation that pertained to our fuel and environmental charges included on our invoices, and we may face similar claims in the future. See Note 11 of the Consolidated Financial Statements for more information. Regardless of any offsetting surcharge programs, increased operating costs due to higher diesel fuel prices will decrease our income from operations margins.</w:t>
      </w:r>
    </w:p>
    <w:p>
      <w:pPr>
        <w:spacing w:after="0" w:line="290" w:lineRule="exact"/>
        <w:rPr>
          <w:sz w:val="20"/>
          <w:szCs w:val="20"/>
          <w:color w:val="auto"/>
        </w:rPr>
      </w:pPr>
    </w:p>
    <w:p>
      <w:pPr>
        <w:ind w:left="24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expanding our compressed natural gas (“CNG”) truck fleet, which makes us increasingly dependent on the availability of CNG and CNG fueling infrastructure and vulnerable to CNG prices.</w:t>
      </w:r>
    </w:p>
    <w:p>
      <w:pPr>
        <w:spacing w:after="0" w:line="5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currently operate the largest CNG fleet in the waste industry, and we plan to continue to transition a significant portion of our collection fleet from diesel fuel to CNG. However, CNG is not yet broadly available in North America; as a result, we have constructed and operate natural gas fueling stations, some of which also serve the public or pre-approved third parties. Until the public and third parties in North America broadly adopt CNG, which may not be on the timetable we anticipate, it will remain necessary for us to invest capital in CNG fueling infrastructure in order to power our CNG fleet. Concerns have been raised about the potential for emissions from fueling infrastructure that serve natural gas-fueled vehicles. New regulation of, or restrictions on, CNG fueling infrastructure or reductions in associated tax incentives could increase our operating costs. Additionally, fluctuations in the price and supply of CNG could substantially increase our operating expenses, and a reduction in the existing cost differential between CNG and diesel fuel could materially reduce the benefits we anticipate from our investment in CNG vehicles. Further, our fuel surcharge program is currently indexed to diesel fuel prices, and price fluctuations for CNG may not effectively be recovered by this program.</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technology in our operations and if our technology fails, our business could be adversely affected.</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may experience problems with the operation of our current information technology systems or the technology systems of third parties on which we rely, as well as the development and deployment of new information technology systems, that could adversely affect, or even temporarily disrupt, all or a portion of our operations until resolved. Inabilities and delays in implementing new systems can also affect our ability to realize projected or expected cost savings. Additionally, any systems failures could impede our ability to timely collect and report financial results in accordance with applicable laws and regulations.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could negatively impact our business and our relationships with customers.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use computers in substantially all aspects of our business operations. We also use mobile devices, social networking and other online activities to connect with our employees and our customers. Such uses give rise to cybersecurity risks, including security breach, espionage, system disruption, theft and inadvertent release of information. Our business involves the storage and transmission of numerous classes of sensitive and/or confidential information and intellectual property, including customers’ personal information, private information about employees, and financial and strategic information about the Company and its business partners. We also rely on a Payment Card Industry compliant third party to protect our customers’ credit card information. Further, as the Company pursues its strategy to grow through acquisitions and to pursue new initiatives that improve our operations and cost structure, the Company is also expanding and improving its information technologies, resulting in a larger technological presence and corresponding exposure to cybersecurity risk. If we fail to assess and identify cybersecurity risks associated with acquisitions and new initiatives, we may become increasingly vulnerable to such risks. Additionally, while we have implemented measures to prevent security breaches and cyber incidents, our preventative measures and incident response efforts may not be entirely effective. The theft, destruction, loss, misappropriation, or release of sensitive and/or confidential information or intellectual property, or interference with our information technology systems or the technology systems of third parties on which we rely, could result in business disruption, negative publicity, brand damage, violation of privacy laws, loss of customers, potential liability and competitive disadvantage.</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expenses could increase as a result of labor unions organizing or changes in regulations related to labor unions.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Labor unions continually attempt to organize our employees, and these efforts will likely continue in the future. Certain groups of our employees are currently represented by unions, and we have negotiated collective bargaining agreements with these unions. Additional groups of employees may seek union representation in the future, and, if successful, the negotiation of collective bargaining agreements could divert management attention and result in increased operating expenses and lower net income. If we are unable to negotiate acceptable collective bargaining agreements, our operating expenses could increase significantly as a result of work stoppages, including strikes. Any of these matters could adversely affect our financial condition, results of operations and cash flows.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could face significant liabilities for withdrawal from multiemployer pension plans.</w:t>
      </w:r>
    </w:p>
    <w:p>
      <w:pPr>
        <w:spacing w:after="0" w:line="121"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color w:val="auto"/>
        </w:rPr>
        <w:t>We are a participating employer in a number of trustee-managed multiemployer, defined benefit pension plans for employees who are covered by collective bargaining agreements. The risks of participating in these multiemployer plans are different from single-employer plans in that (i) assets contributed to the multiemployer plan by one employer may be used to provide benefits to employees or former employees of other participating employers;</w:t>
      </w:r>
    </w:p>
    <w:p>
      <w:pPr>
        <w:spacing w:after="0" w:line="2" w:lineRule="exact"/>
        <w:rPr>
          <w:sz w:val="20"/>
          <w:szCs w:val="20"/>
          <w:color w:val="auto"/>
        </w:rPr>
      </w:pPr>
    </w:p>
    <w:p>
      <w:pPr>
        <w:ind w:right="300" w:firstLine="8"/>
        <w:spacing w:after="0" w:line="255"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w:t>
      </w:r>
    </w:p>
    <w:p>
      <w:pPr>
        <w:spacing w:after="0" w:line="18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Various factors affect our liabilities for a plan’s underfunded status, including the numbers of retirees and active workers in the plan, the ongoing solvency of participating employers, the investment returns obtained on plan assets, and the ratio of our historical participation in such plan to all employers’ historical participation; depending on such factors, future withdrawals could have a material adverse effect on results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operations for a particular reporting period. We reflect any withdrawal liability as an operating expense in our statement of operations and as a liability on our balance sheet.</w:t>
      </w:r>
    </w:p>
    <w:p>
      <w:pPr>
        <w:spacing w:after="0" w:line="162"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previously withdrawn several employee bargaining units from underfunded multiemployer pension plans, and we recognized related expenses of $4 million in 2014, $5 million in 2013 and $10 million in 2012. We are still negotiating and litigating final resolutions of our withdrawal liability for certain withdrawals, which could be higher than the charges we have recognized.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operational and safety risks, including the risk of personal injury to employees and others.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Providing environmental and waste management services, including constructing and operating landfills, involves risks such as truck accidents, equipment defects, malfunctions and failures, mass instability or waste slides, severe weather and natural disasters, which could potentially result in releases of hazardous materials and odors, injury or death of employees and others, or a need to shut down or reduce operation of our facilities while remedial actions are undertaken. Additionally, we have built and are operating CNG fueling stations to serve our growing fleet of CNG trucks, some of which also serve the public or third parties. Operation of fueling stations and landfill gas collection and control systems involves additional risks of fire and explosion. All of these risks expose us to potential liability for pollution and other environmental damages, personal injury, loss of life, business interruption, and property damage or destruction.</w:t>
      </w:r>
    </w:p>
    <w:p>
      <w:pPr>
        <w:spacing w:after="0" w:line="189"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While we seek to minimize our exposure to such risks through comprehensive training and compliance programs, as well as vehicle and equipment maintenance programs, if we were to incur substantial liabilities in excess of any applicable insurance, our business, results of operations and financial condition could be adversely affected. Any such incidents could also tarnish our reputation and reduce the value of our brand.</w:t>
      </w:r>
    </w:p>
    <w:p>
      <w:pPr>
        <w:spacing w:after="0" w:line="280" w:lineRule="exact"/>
        <w:rPr>
          <w:sz w:val="20"/>
          <w:szCs w:val="20"/>
          <w:color w:val="auto"/>
        </w:rPr>
      </w:pPr>
    </w:p>
    <w:p>
      <w:pPr>
        <w:ind w:left="2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financial assurance and insurance requirements, and increases in the costs of obtaining adequate financial assurance, or the inadequacy of our insurance coverages, could negatively impact our liquidity and increase our liabilities.</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amount of insurance we are required to maintain for environmental liability is governed by statutory requirements. We believe that the cost for such insurance is high relative to the coverage it would provide and, therefore, our coverages are generally maintained at the minimum statutorily-required levels. We face the risk of incurring additional costs for environmental damage if our insurance coverage is ultimately inadequate to cover those damages. We also carry a broad range of other insurance coverages that are customary for a company our size. We use these programs to mitigate risk of loss, thereby enabling us to manage our self-insurance exposure associated with claims. The inability of our insurers to meet their commitments in a timely manner and the effect of significant claims or litigation against insurance companies may subject us to additional risks. To the extent our insurers are unable to meet their obligations, or our own obligations for claims are more than we estimated, there could be a material adverse effect to our financial results.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to fulfill our financial assurance obligations with respect to variable-rate tax-exempt debt, final capping, closure, post-closure and environmental remediation obligations, we generally obtain letters of credit or surety bonds, rely on insurance, including captive insurance, fund trust and escrow accounts or rely upon WM financial guarantees. We currently have in place all financial assurance instruments necessary for our operations. Our financial position, which can be negatively affected by asset impairments, our credit profile and general economic factors, may adversely affect the cost of our current financial assurance instruments, and changes in regulations may impose stricter requirements on the types of financial assurance that will be accepted. Additionally, in the event we are unable to obtain sufficient surety bonding, letters of credit or third-party insurance coverage at reasonable cost, or one or more states cease to view captive insurance as adequate coverage, we would need to rely on other forms of financial assurance. It is possible that we could be forced to deposit cash to collateralize our obligations. Other forms of financial assurance could be more expensive to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obtain, and any requirements to use cash to support our obligations would negatively impact our liquidity and capital resources and could affect our ability to meet our obligations as they become due.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record material charges against our earnings due to any number of events that could cause impairments to our assets.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accordance with U.S. Generally Accepted Accounting Principles (“GAAP”), we capitalize certain expenditures and advances relating to disposal site development, expansion projects, acquisitions, software development costs and other projects. Events that could, in some circumstances, lead to an impairment include, but are not limited to, shutting down a facility or operation or abandoning a development project or the denial of an expansion permit. Additionally, declining waste volumes and development of, and customer preference for, alternatives to traditional waste disposal could warrant asset impairments. If we determine an asset or expansion project is impaired, we will charge against earnings any unamortized capitalized expenditures and advances relating to such asset or project reduced by any portion of the capitalized costs that we estimate will be recoverable, through sale or otherwise. We also carry a significant amount of goodwill on our Consolidated Balance Sheet, which is required to be assessed for impairment annually, and more frequently in the case of certain triggering events. We may be required to incur charges against earnings if such impairment tests indicate that the fair value of a reporting unit is below its carrying value. Any such charges could have a material adverse effect on our results of operations.</w:t>
      </w:r>
    </w:p>
    <w:p>
      <w:pPr>
        <w:spacing w:after="0" w:line="293" w:lineRule="exact"/>
        <w:rPr>
          <w:sz w:val="20"/>
          <w:szCs w:val="20"/>
          <w:color w:val="auto"/>
        </w:rPr>
      </w:pPr>
    </w:p>
    <w:p>
      <w:pPr>
        <w:ind w:left="24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capital requirements and our business strategy could increase our expenses, cause us to change our growth and development plans, or fail to maintain our desired credit profile.</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economic conditions or other risks and uncertainties cause a significant reduction in our cash flows from operations, we may reduce or suspend capital expenditures, growth and acquisition activity, implementation of our business strategy, dividend declarations or share repurchases. We may choose to incur indebtedness to pay for these activities, although our access to capital markets is not assured and we may not be able to incur indebtedness at a cost that is consistent with current borrowing rates. We also may need to incur indebtedness to refinance scheduled debt maturities, and it is possible that the cost of financing could increase significantly, thereby increasing our expenses and decreasing our net income. Further, our ability to execute our financial strategy and our ability to incur indebtedness is somewhat dependent upon our ability to maintain investment grade ratings on our senior debt. The credit rating process is contingent upon our credit profile, as well as a number of other factors, many of which are beyond our control, including methodologies established and interpreted by third party rating agencies. If we were unable to maintain our investment grade credit ratings in the future, our interest expense would increase and our ability to obtain financing on favorable terms could be adversely affected.</w:t>
      </w:r>
    </w:p>
    <w:p>
      <w:pPr>
        <w:spacing w:after="0" w:line="189"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Additionally, we have $1.4 billion of debt as of December 31, 2014 that is exposed to changes in market interest rates within the next 12 months because of the combined impact of our tax-exempt bonds and borrowings outstanding under our Canadian term loan. If interest rates increase, our interest expense would also increase, lowering our net income and decreasing our cash flow.</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may use our $2.25 billion revolving credit facility and our C$150 million Canadian revolving credit facility to meet our cash needs, to the extent available, until maturity in July 2018 and November 2017, respectively. As of December 31, 2014, we had no outstanding borrowings and $785 million of letters of credit issued and supported by the $2.25 billion revolving credit facility, leaving an unused and available credit capacity of $1,465 million, and we had no borrowings under the Canadian revolving credit facility. In the event of a default under our credit facilities, we could be required to immediately repay all outstanding borrowings and make cash deposits as collateral for all obligations the facility supports, which we may not be able to do. Additionally, any such default could cause a default under many of our other credit agreements and debt instruments. Without waivers from lenders party to those agreements, any such default would have a material adverse effect on our ability to continue to operate.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adoption of climate change legislation or regulations restricting emissions of “greenhouse gases” could increase our costs to operate.</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landfill operations emit methane, identified as a GHG. There are a number of legislative and regulatory efforts at the state, regional and federal levels to curtail the emission of GHGs to ameliorate the effect of climate change. Should comprehensive federal climate change legislation be enacted, we expect it could impose costs on our operations that might not be offset by the revenue increases associated with our lower-carbon service options, the materiality of which we cannot predict. In 2010, the EPA published a Prevention of Significant Deterioration and Title V Greenhouse Gas Tailoring Rule, which expanded the EPA’s federal air permitting authority to include the six GHGs. The rule sets new thresholds for GHG emissions that define when Clean Air Act permits are required. The current requirements of these rules have not significantly affected our operations or cash flows, due to the tailored thresholds and exclusions of certain emissions from regulation. However, if certain changes to these regulations were enacted, such as lowering the thresholds or the inclusion of biogenic emissions, then the amendments could have an adverse effect on our operating costs.</w:t>
      </w:r>
    </w:p>
    <w:p>
      <w:pPr>
        <w:spacing w:after="0" w:line="289" w:lineRule="exact"/>
        <w:rPr>
          <w:sz w:val="20"/>
          <w:szCs w:val="20"/>
          <w:color w:val="auto"/>
        </w:rPr>
      </w:pPr>
    </w:p>
    <w:p>
      <w:pPr>
        <w:ind w:lef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severe weather events and “one-time” special projects cause our results to fluctuate, and prior performance is not necessarily indicative of our future results.</w:t>
      </w:r>
    </w:p>
    <w:p>
      <w:pPr>
        <w:spacing w:after="0" w:line="5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Our operating revenues tend to be somewhat higher in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The operating results of our first quarter often reflect higher repair and maintenance expenses because we rely on the slower winter months, when waste flows are generally lower, to perform scheduled maintenance at our waste-to-energy facilities.</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Service disruptions caused by severe storms, extended periods of inclement weather or climate extremes resulting from climate change can significantly affect the operating results of the affected Areas. On the other hand, certain destructive weather conditions that tend to occur during the second half of the year, such as the hurricanes that most often impact our operations in the Southern and Eastern U.S., can actually increase our revenues in the areas affected. While weather-related and other “one-time” occurrences can boost revenues through additional work for a limited time span, as a result of significant start-up costs and other factors, such revenue sometimes generates earnings at comparatively lower margins.</w:t>
      </w:r>
    </w:p>
    <w:p>
      <w:pPr>
        <w:spacing w:after="0" w:line="184"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For these and other reasons, operating results in any interim period are not necessarily indicative of operating results for an entire year, and operating results for any historical period are not necessarily indicative of operating results for a future period. Our stock price may be negatively impacted by interim variations in our results.</w:t>
      </w:r>
    </w:p>
    <w:p>
      <w:pPr>
        <w:spacing w:after="0" w:line="280" w:lineRule="exact"/>
        <w:rPr>
          <w:sz w:val="20"/>
          <w:szCs w:val="20"/>
          <w:color w:val="auto"/>
        </w:rPr>
      </w:pPr>
    </w:p>
    <w:p>
      <w:pPr>
        <w:ind w:left="2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subject to significant fines and penalties, and our reputation could be adversely affected, if our businesses, or third parties with whom we have a relationship, were to fail to comply with United States or foreign laws or regulations.</w:t>
      </w:r>
    </w:p>
    <w:p>
      <w:pPr>
        <w:spacing w:after="0" w:line="5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Some of our projects and new business may be conducted in countries where corruption has historically been prevalent. It is our policy to comply with all applicable anti-bribery laws, such as the U.S. Foreign Corrupt Practices Act, and with applicable local laws of the foreign countries in which we operate, and we monitor our local partners’ compliance with such laws as well. Our reputation may be adversely affected if we were reported to be associated with corrupt practices or if we or our local partners failed to comply with such laws. Such damage to our reputation could adversely affect our ability to grow our business. Additionally, violations of such laws could subject us to significant fines and penalties.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Currently pending or future litigation or governmental proceedings could result in material adverse consequences, including judgments or settlements.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are involved in civil litigation in the ordinary course of our business and from time-to-time are involved in governmental proceedings relating to the conduct of our business. The timing of the final resolutions to these types of matters is often uncertain. Additionally, the possible outcomes or resolutions to these matters could include adverse judgments or settlements, either of which could require substantial payments, adversely affecting our liquidity.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adverse impacts on our reported results of operations as a result of adopting new accounting standards or interpretations.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implementation of and compliance with changes in accounting rules, including new accounting rules and interpretations, could adversely affect our reported financial position or operating results or cause unanticipated fluctuations in our reported operating results in future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Houston, Texas, where we lease approximately 380,000 square feet under leases expiring through 2020. We also have administrative offices in Arizona, Illinois, Texas, Connecticut and India. We own or lease real property in most locations where we have operations or administrative functions. We have operations in all 50 states. We also have operations in the District of Columbia and throughout Canada.</w:t>
      </w:r>
    </w:p>
    <w:p>
      <w:pPr>
        <w:spacing w:after="0" w:line="17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principal property and equipment consists of land (primarily landfills and other disposal facilities, transfer stations and bases for collection operations), buildings, vehicles and equipment. We believe that our vehicles, equipment, and operating properties are adequately maintained and sufficient for our current operations. However, we expect to continue to make investments in additional equipment and property for expansion, for replacement of assets, and in connection with our strategic growth plans. For more information, see Item 7. Management’s Discussion and Analysis of Financial Condition and Results of Operations included within this report.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various operations at December 31 for the periods noted:</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Landfills:</w:t>
            </w:r>
          </w:p>
        </w:tc>
        <w:tc>
          <w:tcPr>
            <w:tcW w:w="37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Owned</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Operated through lease agreements</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r>
      <w:tr>
        <w:trPr>
          <w:trHeight w:val="223"/>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Operated through contractual agreements</w:t>
            </w:r>
          </w:p>
        </w:tc>
        <w:tc>
          <w:tcPr>
            <w:tcW w:w="37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spacing w:after="0"/>
              <w:rPr>
                <w:sz w:val="18"/>
                <w:szCs w:val="18"/>
                <w:color w:val="auto"/>
              </w:rPr>
            </w:pP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Transfer stations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recovery facilities</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Secondary processing facilities</w:t>
            </w:r>
          </w:p>
        </w:tc>
        <w:tc>
          <w:tcPr>
            <w:tcW w:w="37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Waste-to-energy facilities</w:t>
            </w:r>
          </w:p>
        </w:tc>
        <w:tc>
          <w:tcPr>
            <w:tcW w:w="37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power production plants</w:t>
            </w:r>
          </w:p>
        </w:tc>
        <w:tc>
          <w:tcPr>
            <w:tcW w:w="37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346"/>
        </w:trPr>
        <w:tc>
          <w:tcPr>
            <w:tcW w:w="3780" w:type="dxa"/>
            <w:vAlign w:val="bottom"/>
          </w:tcPr>
          <w:p>
            <w:pPr>
              <w:spacing w:after="0"/>
              <w:rPr>
                <w:sz w:val="24"/>
                <w:szCs w:val="24"/>
                <w:color w:val="auto"/>
              </w:rPr>
            </w:pPr>
          </w:p>
        </w:tc>
        <w:tc>
          <w:tcPr>
            <w:tcW w:w="3720" w:type="dxa"/>
            <w:vAlign w:val="bottom"/>
          </w:tcPr>
          <w:p>
            <w:pPr>
              <w:jc w:val="right"/>
              <w:ind w:right="2993"/>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regarding the 219 landfills owned or operated through lease agreements and a count of landfills operated through contractual agreements, transfer stations and material recovery facilities as of December 31,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Landfills Owned or Operated</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Landfills</w:t>
            </w: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20" w:type="dxa"/>
            <w:vAlign w:val="bottom"/>
            <w:gridSpan w:val="4"/>
            <w:vMerge w:val="continue"/>
          </w:tcPr>
          <w:p>
            <w:pPr>
              <w:spacing w:after="0"/>
              <w:rPr>
                <w:sz w:val="4"/>
                <w:szCs w:val="4"/>
                <w:color w:val="auto"/>
              </w:rPr>
            </w:pPr>
          </w:p>
        </w:tc>
        <w:tc>
          <w:tcPr>
            <w:tcW w:w="6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gridSpan w:val="2"/>
            <w:vMerge w:val="restart"/>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20" w:type="dxa"/>
            <w:vAlign w:val="bottom"/>
            <w:gridSpan w:val="4"/>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Through Lease Agreements</w:t>
            </w: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96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240" w:type="dxa"/>
            <w:vAlign w:val="bottom"/>
            <w:gridSpan w:val="2"/>
            <w:vMerge w:val="restart"/>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5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8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Material</w:t>
            </w:r>
          </w:p>
        </w:tc>
        <w:tc>
          <w:tcPr>
            <w:tcW w:w="0" w:type="dxa"/>
            <w:vAlign w:val="bottom"/>
          </w:tcPr>
          <w:p>
            <w:pPr>
              <w:spacing w:after="0"/>
              <w:rPr>
                <w:sz w:val="1"/>
                <w:szCs w:val="1"/>
                <w:color w:val="auto"/>
              </w:rPr>
            </w:pPr>
          </w:p>
        </w:tc>
      </w:tr>
      <w:tr>
        <w:trPr>
          <w:trHeight w:val="50"/>
        </w:trPr>
        <w:tc>
          <w:tcPr>
            <w:tcW w:w="3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Permitted</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5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8"/>
              </w:rPr>
              <w:t>Transfer</w:t>
            </w: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Landfills</w:t>
            </w: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20" w:type="dxa"/>
            <w:vAlign w:val="bottom"/>
            <w:gridSpan w:val="2"/>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Recovery</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Acreage(a)</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9"/>
              </w:rPr>
              <w:t>Acreage(b)</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Acreage(c)</w:t>
            </w:r>
          </w:p>
        </w:tc>
        <w:tc>
          <w:tcPr>
            <w:tcW w:w="500" w:type="dxa"/>
            <w:vAlign w:val="bottom"/>
          </w:tcPr>
          <w:p>
            <w:pPr>
              <w:spacing w:after="0"/>
              <w:rPr>
                <w:sz w:val="15"/>
                <w:szCs w:val="15"/>
                <w:color w:val="auto"/>
              </w:rPr>
            </w:pPr>
          </w:p>
        </w:tc>
        <w:tc>
          <w:tcPr>
            <w:tcW w:w="12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Stations</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Facilities</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138,567</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35,637</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61"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acreage” includes permitted acreage, expansion acreage, other acreage available for future disposal that has not been permitted, buffer land and other land owned or leased by our landfill operations.</w:t>
      </w:r>
    </w:p>
    <w:p>
      <w:pPr>
        <w:ind w:left="460" w:hanging="452"/>
        <w:spacing w:after="0"/>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acreage” consists of all acreage at the landfill encompassed by an active permit to dispose of waste.</w:t>
      </w:r>
    </w:p>
    <w:p>
      <w:pPr>
        <w:spacing w:after="0" w:line="9" w:lineRule="exact"/>
        <w:rPr>
          <w:rFonts w:ascii="Times New Roman" w:cs="Times New Roman" w:eastAsia="Times New Roman" w:hAnsi="Times New Roman"/>
          <w:sz w:val="18"/>
          <w:szCs w:val="18"/>
          <w:color w:val="auto"/>
        </w:rPr>
      </w:pPr>
    </w:p>
    <w:p>
      <w:pPr>
        <w:ind w:left="460" w:right="60" w:hanging="452"/>
        <w:spacing w:after="0" w:line="255" w:lineRule="auto"/>
        <w:tabs>
          <w:tab w:leader="none" w:pos="4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“Expansion acreage” consists of unpermitted acreage where the related expansion efforts meet our criteria to be included as expansion airspace. A discussion of the related criteria is included within Item 7. Management’s Discussion and Analysis of Financial Condition and Results of Operations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and Assumptions </w:t>
      </w:r>
      <w:r>
        <w:rPr>
          <w:rFonts w:ascii="Times New Roman" w:cs="Times New Roman" w:eastAsia="Times New Roman" w:hAnsi="Times New Roman"/>
          <w:sz w:val="18"/>
          <w:szCs w:val="18"/>
          <w:color w:val="auto"/>
        </w:rPr>
        <w:t>included herein.</w:t>
      </w:r>
    </w:p>
    <w:p>
      <w:pPr>
        <w:spacing w:after="0" w:line="33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19" w:lineRule="exact"/>
        <w:rPr>
          <w:sz w:val="20"/>
          <w:szCs w:val="20"/>
          <w:color w:val="auto"/>
        </w:rPr>
      </w:pPr>
    </w:p>
    <w:p>
      <w:pPr>
        <w:ind w:right="420" w:firstLine="456"/>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our legal proceedings can be found under the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sections of Note 11 in the Consolidated Financial Statements included in this report.</w:t>
      </w:r>
    </w:p>
    <w:p>
      <w:pPr>
        <w:spacing w:after="0" w:line="3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Information concerning mine safety and other regulatory matters required by Section 1503(a) of the Dodd-Frank Wall Street Reform and Consumer Protection Act and Item 104 of Regulation S-K is included in Exhibit 95 to this annual report.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“WM.” The following table sets forth the range of the high and low per-share sales prices for our common stock as reported on the NYSE:</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High</w:t>
            </w:r>
          </w:p>
        </w:tc>
        <w:tc>
          <w:tcPr>
            <w:tcW w:w="6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2013</w:t>
            </w:r>
          </w:p>
        </w:tc>
        <w:tc>
          <w:tcPr>
            <w:tcW w:w="3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w:t>
            </w:r>
          </w:p>
        </w:tc>
        <w:tc>
          <w:tcPr>
            <w:tcW w:w="3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 (through February 6, 2015)</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w:t>
            </w:r>
          </w:p>
        </w:tc>
        <w:tc>
          <w:tcPr>
            <w:tcW w:w="100" w:type="dxa"/>
            <w:vAlign w:val="bottom"/>
          </w:tcPr>
          <w:p>
            <w:pPr>
              <w:spacing w:after="0"/>
              <w:rPr>
                <w:sz w:val="20"/>
                <w:szCs w:val="20"/>
                <w:color w:val="auto"/>
              </w:rPr>
            </w:pPr>
          </w:p>
        </w:tc>
      </w:tr>
      <w:tr>
        <w:trPr>
          <w:trHeight w:val="346"/>
        </w:trPr>
        <w:tc>
          <w:tcPr>
            <w:tcW w:w="3760" w:type="dxa"/>
            <w:vAlign w:val="bottom"/>
          </w:tcPr>
          <w:p>
            <w:pPr>
              <w:spacing w:after="0"/>
              <w:rPr>
                <w:sz w:val="24"/>
                <w:szCs w:val="24"/>
                <w:color w:val="auto"/>
              </w:rPr>
            </w:pPr>
          </w:p>
        </w:tc>
        <w:tc>
          <w:tcPr>
            <w:tcW w:w="3220" w:type="dxa"/>
            <w:vAlign w:val="bottom"/>
          </w:tcPr>
          <w:p>
            <w:pPr>
              <w:jc w:val="right"/>
              <w:ind w:right="2470"/>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On February 6, 2015, the closing sales price as reported on the NYSE was $52.44 per share. The number of holders of record of our common stock on February 6, 2015 was 11,821.</w:t>
      </w:r>
    </w:p>
    <w:p>
      <w:pPr>
        <w:spacing w:after="0" w:line="162"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graph below shows the relative investment performance of Waste Management, Inc. common stock, the Dow Jones Waste &amp; Disposal Services Index and the S&amp;P 500 Index for the last five years, assuming reinvestment of dividends at date of payment into the common stock. The graph is presented pursuant to SEC rules and is not meant to be an indication of our future performance.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Cumulative Five Year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174625</wp:posOffset>
            </wp:positionV>
            <wp:extent cx="4716780" cy="22212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16780" cy="222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12/31/09</w:t>
            </w:r>
          </w:p>
        </w:tc>
        <w:tc>
          <w:tcPr>
            <w:tcW w:w="2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12/31/10</w:t>
            </w:r>
          </w:p>
        </w:tc>
        <w:tc>
          <w:tcPr>
            <w:tcW w:w="40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12/31/11</w:t>
            </w:r>
          </w:p>
        </w:tc>
        <w:tc>
          <w:tcPr>
            <w:tcW w:w="4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12/31/12</w:t>
            </w:r>
          </w:p>
        </w:tc>
        <w:tc>
          <w:tcPr>
            <w:tcW w:w="220" w:type="dxa"/>
            <w:vAlign w:val="bottom"/>
          </w:tcPr>
          <w:p>
            <w:pPr>
              <w:spacing w:after="0"/>
              <w:rPr>
                <w:sz w:val="15"/>
                <w:szCs w:val="15"/>
                <w:color w:val="auto"/>
              </w:rPr>
            </w:pP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w w:val="96"/>
              </w:rPr>
              <w:t>12/31/13</w:t>
            </w:r>
          </w:p>
        </w:tc>
        <w:tc>
          <w:tcPr>
            <w:tcW w:w="20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12/31/14</w:t>
            </w:r>
          </w:p>
        </w:tc>
        <w:tc>
          <w:tcPr>
            <w:tcW w:w="100" w:type="dxa"/>
            <w:vAlign w:val="bottom"/>
          </w:tcPr>
          <w:p>
            <w:pPr>
              <w:spacing w:after="0"/>
              <w:rPr>
                <w:sz w:val="15"/>
                <w:szCs w:val="15"/>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 Management, Inc.</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112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155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S&amp;P 500 Index</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 Jones Waste &amp; Disposal Services Index</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w:t>
            </w:r>
          </w:p>
        </w:tc>
      </w:tr>
    </w:tbl>
    <w:p>
      <w:pPr>
        <w:spacing w:after="0" w:line="198"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Our quarterly dividends have been declared and approved by our Board of Directors and paid in accordance with our financial plans. Cash dividends declared and paid were $693 million in 2014, or $1.50 per common share, $683 million in 2013, or $1.46 per common share and $658 million in 2012, or $1.42 per common share.</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February 2015, we announced that our Board of Directors expects to increase the quarterly dividend from $0.375 to $0.385 per share for dividends declared in 2015.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Our share repurchases have been made in accordance with financial plans approved by our Board of Directors. In February 2014, the Board of Directors authorized up to $600 million in future share repurchases. During the third quarter of 2014, we entered into accelerated share repurchase (“ASR”) agreements with two financial institutions to repurchase an aggregate of $600 million of our common stock. At the beginning of the ASR repurchase periods, we delivered the $600 million in cash and received 9.6 million shares, which represented 70% of the shares expected to be repurchased based on then-current market prices. These agreements were completed in February 2015 and we received approximately 2.8 million additional shares. The final weighted average per share purchase price for the completed ASR agreements was $48.58.</w:t>
      </w:r>
    </w:p>
    <w:p>
      <w:pPr>
        <w:spacing w:after="0" w:line="188" w:lineRule="exact"/>
        <w:rPr>
          <w:sz w:val="20"/>
          <w:szCs w:val="20"/>
          <w:color w:val="auto"/>
        </w:rPr>
      </w:pPr>
    </w:p>
    <w:p>
      <w:pPr>
        <w:ind w:right="240" w:firstLine="456"/>
        <w:spacing w:after="0" w:line="313" w:lineRule="auto"/>
        <w:rPr>
          <w:sz w:val="20"/>
          <w:szCs w:val="20"/>
          <w:color w:val="auto"/>
        </w:rPr>
      </w:pPr>
      <w:r>
        <w:rPr>
          <w:rFonts w:ascii="Times New Roman" w:cs="Times New Roman" w:eastAsia="Times New Roman" w:hAnsi="Times New Roman"/>
          <w:sz w:val="17"/>
          <w:szCs w:val="17"/>
          <w:color w:val="auto"/>
        </w:rPr>
        <w:t>We announced in February 2015 that the Board of Directors has authorized up to $1 billion in future share repurchases. Any future share repurchases will be made at the discretion of management, and will depend on factors similar to those considered by the Board in making dividend declarations.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information below was derived from the audited Consolidated Financial Statements included in this report and in previous annual reports we filed with the SEC. This information should be read together with those Consolidated Financial Statements and the notes thereto. The adoption of new accounting pronouncements and certain reclassifications impact the comparability of the financial information presented below. These historical results are not necessarily indicative of the results to be expected in the future.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2014(a)</w:t>
            </w: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2013(a)</w:t>
            </w:r>
          </w:p>
        </w:tc>
        <w:tc>
          <w:tcPr>
            <w:tcW w:w="920" w:type="dxa"/>
            <w:vAlign w:val="bottom"/>
            <w:tcBorders>
              <w:bottom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2012(a)</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9"/>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13,996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13,983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13,649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13,378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(Income) expense from divestitures, asset impairments (other than goodwill) and unusual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items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11,697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12,904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11,798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11,350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 (at end of period):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(deficit)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6"/>
              </w:rPr>
              <w:t>21,412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22,603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23,097</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22,569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21,476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including current portion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6"/>
              </w:rPr>
              <w:t>10,226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40" w:hanging="452"/>
        <w:spacing w:after="0" w:line="266"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regarding these financial data, see Item 7. Management’s Discussion and Analysis of Financial Condition and Results of Operations included in this report. For disclosures associated with the impact of the adoption of new accounting pronouncements on the comparability of this information, see Note 2 to the Consolidated Financial Statements.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 xml:space="preserve">This section includes a discussion of our results of operations for the three years ended December 31, 2014. This discussion may contain forward-looking statements that anticipate results based on management’s plans that are subject to uncertainty. We discuss in more detail various factors that could cause actual results to differ materially from expectations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 following discussion should be read in light of that disclosure and together with the Consolidated Financial Statements and the notes to the Consolidated Financial Statements.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Company’s goals are targeted at serving our customers, our employees, the environment, the communities in which we work and our stockholders, and achievement of our goals is intended to meet the needs of a changing industry. Our Company and others have recognized the value of the traditional waste stream as a potential resource. Increasingly, customers want more of their waste materials recovered, while waste streams are becoming more complex, and our aim is to address, and anticipate, the current, expanding and evolving needs of our customers. Accomplishment of our goals will grow our Company and allow us to meet the needs of our customers and communities as they, too, Think Green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w:t>
      </w:r>
    </w:p>
    <w:p>
      <w:pPr>
        <w:spacing w:after="0" w:line="184"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In pursuit of these long-term goals, we recognize that we must grow the business, and do so as efficiently and cost effectively as possible. Accordingly, we are focusing on the following five key company priorities:</w:t>
      </w:r>
    </w:p>
    <w:p>
      <w:pPr>
        <w:spacing w:after="0" w:line="67"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provide the best possible service to our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Waste Business: continuously improve our operational performance;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take advantage of opportunities in our current business, as well as considering attractive acquisition opportunities;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Management: remain focused on price leadership while considering competitive dynamics;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minimize both operating costs and selling, general &amp; administrative expenses.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execution of our strategy through these key priorities will drive continued financial performance and leadership in a dynamic industry.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Notable items of our 2014 financial results include:</w:t>
      </w:r>
    </w:p>
    <w:p>
      <w:pPr>
        <w:spacing w:after="0" w:line="131" w:lineRule="exact"/>
        <w:rPr>
          <w:sz w:val="20"/>
          <w:szCs w:val="20"/>
          <w:color w:val="auto"/>
        </w:rPr>
      </w:pPr>
    </w:p>
    <w:p>
      <w:pPr>
        <w:ind w:left="900" w:right="14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$13,996 million in 2014 compared with $13,983 million in 2013, an increase of $13 million. This increase in revenues is primarily attributable to (i) positive revenue growth from</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455" w:right="27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58" w:lineRule="auto"/>
        <w:rPr>
          <w:sz w:val="20"/>
          <w:szCs w:val="20"/>
          <w:color w:val="auto"/>
        </w:rPr>
      </w:pPr>
      <w:r>
        <w:rPr>
          <w:rFonts w:ascii="Times New Roman" w:cs="Times New Roman" w:eastAsia="Times New Roman" w:hAnsi="Times New Roman"/>
          <w:sz w:val="18"/>
          <w:szCs w:val="18"/>
          <w:color w:val="auto"/>
        </w:rPr>
        <w:t>yield on our collection and disposal operations of $262 million, or 2.3%, and (ii) revenue from acquired operations, particularly the RCI operations acquired in July 2013, which increased revenues by $77 million. Substantially offsetting these increases were (i) lower volumes which decreased our revenues by $188 million; (ii) divestitures of our Puerto Rico operations and certain other collection and landfill assets as well as the December 2014 sale of our Wheelabrator business, which decreased our revenues by $90 million and (iii) foreign currency translation of $61 million related to our Canadian operations;</w:t>
      </w:r>
    </w:p>
    <w:p>
      <w:pPr>
        <w:spacing w:after="0" w:line="89" w:lineRule="exact"/>
        <w:rPr>
          <w:sz w:val="20"/>
          <w:szCs w:val="20"/>
          <w:color w:val="auto"/>
        </w:rPr>
      </w:pPr>
    </w:p>
    <w:p>
      <w:pPr>
        <w:ind w:left="900" w:right="36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of $9,002 million in 2014, or 64.3% of revenues, compared with $9,112 million, or 65.2% of revenues, in 2013. This decrease of $110 million is largely driven by our decline in collection volumes and divestitures, both of which affect several of our operating expense categories, particularly labor costs, transfer and disposal costs, and fuel costs;</w:t>
      </w:r>
    </w:p>
    <w:p>
      <w:pPr>
        <w:spacing w:after="0" w:line="81"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general and administrative expenses of $1,481 million in 2014, or 10.6% of revenues, compared with $1,468 million, or 10.5% of revenues, in 2013. This increase of $13 million is driven mainly by higher litigation settlements;</w:t>
      </w:r>
    </w:p>
    <w:p>
      <w:pPr>
        <w:spacing w:after="0" w:line="67"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of $82 million in 2014 compared to $18 million in 2013. The 2014 restructuring charges relate to the consolidation and realignment of several Corporate functions. We anticipate saving in excess of $100 million annually from these actions when fully implemented in 2015;</w:t>
      </w:r>
    </w:p>
    <w:p>
      <w:pPr>
        <w:spacing w:after="0" w:line="81"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of $2,299 million, or 16.4% of revenues, in 2014 compared with $1,079 million, or 7.7% of revenues, in 2013, the increase of which is primarily attributable to the $519 million gain on the sale of our Wheelabrator business in December 2014 and impairment charges of $355 million recognized in 2014 compared to impairment charges of $981 million recognized in 2013 discussed below;</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Waste Management, Inc. of $1,298 million, or $2.79 per diluted share for 2014, as compared with $98 million, or</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$0.21 per diluted share for 2013, the increase of which is primarily attributable to the increase in income from operations discussed above; and</w:t>
      </w:r>
    </w:p>
    <w:p>
      <w:pPr>
        <w:spacing w:after="0" w:line="11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returned $1,293 million to our shareholders through dividends and share repurchases compared with $922 million in 2013.</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following explanation of certain items that impacted the comparability of our 2014 results with 2013 has been provided to support investors’ understanding of our performance. Our 2014 results were affected by the following:</w:t>
      </w:r>
    </w:p>
    <w:p>
      <w:pPr>
        <w:spacing w:after="0" w:line="67" w:lineRule="exact"/>
        <w:rPr>
          <w:sz w:val="20"/>
          <w:szCs w:val="20"/>
          <w:color w:val="auto"/>
        </w:rPr>
      </w:pPr>
    </w:p>
    <w:p>
      <w:pPr>
        <w:ind w:left="900" w:right="6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net pre-tax gains of $515 million, which includes the $519 million gain on the sale of our Wheelabrator business. These items had a positive impact of $1.10 on our diluted earnings per share;</w:t>
      </w:r>
    </w:p>
    <w:p>
      <w:pPr>
        <w:spacing w:after="0" w:line="67"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negatively impacted by the recognition of net pre-tax charges aggregating $420 million primarily related to (i) $272 million of charges to impair our oil and gas producing properties; (ii) $69 million of charges to impair investments related to waste diversion technology companies; (iii) $31 million of litigation settlements; (iv) $10 million of goodwill impairment charges associated with our recycling operations; and (v) other charges to write down the carrying value of assets to their estimated fair values related to certain of our operations. These items had a negative impact of $0.68 on our diluted earnings per share; and</w:t>
      </w:r>
    </w:p>
    <w:p>
      <w:pPr>
        <w:spacing w:after="0" w:line="89"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restructuring charges of $82 million, which had a negative impact of $0.11 on our diluted earnings per share.</w:t>
      </w:r>
    </w:p>
    <w:p>
      <w:pPr>
        <w:spacing w:after="0" w:line="225"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following explanation of certain items that impacted the comparability of our 2013 results with 2012 has been provided to support investors’ understanding of our performance. Our 2013 results were affected by the following:</w:t>
      </w:r>
    </w:p>
    <w:p>
      <w:pPr>
        <w:spacing w:after="0" w:line="67" w:lineRule="exact"/>
        <w:rPr>
          <w:sz w:val="20"/>
          <w:szCs w:val="20"/>
          <w:color w:val="auto"/>
        </w:rPr>
      </w:pPr>
    </w:p>
    <w:p>
      <w:pPr>
        <w:ind w:left="900" w:right="14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net pre-tax charges aggregating $1.0 billion, primarily related to (i) a $483 million charge to impair goodwill associated with our Wheelabrator business; (ii) $262 million of charges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20"/>
        <w:spacing w:after="0" w:line="266" w:lineRule="auto"/>
        <w:rPr>
          <w:sz w:val="20"/>
          <w:szCs w:val="20"/>
          <w:color w:val="auto"/>
        </w:rPr>
      </w:pPr>
      <w:r>
        <w:rPr>
          <w:rFonts w:ascii="Times New Roman" w:cs="Times New Roman" w:eastAsia="Times New Roman" w:hAnsi="Times New Roman"/>
          <w:sz w:val="18"/>
          <w:szCs w:val="18"/>
          <w:color w:val="auto"/>
        </w:rPr>
        <w:t>impair certain landfills, primarily in our Eastern Canada Area; (iii) $144 million of charges to write down the carrying value of three waste-to-energy facilities and (iv) $71 million of impairment charges relating to investments in waste diversion technology companies. These items had a negative impact of $1.91 on our diluted earnings per share; and</w:t>
      </w:r>
    </w:p>
    <w:p>
      <w:pPr>
        <w:spacing w:after="0" w:line="82" w:lineRule="exact"/>
        <w:rPr>
          <w:sz w:val="20"/>
          <w:szCs w:val="20"/>
          <w:color w:val="auto"/>
        </w:rPr>
      </w:pPr>
    </w:p>
    <w:p>
      <w:pPr>
        <w:ind w:left="900" w:right="62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charges aggregating $23 million primarily related to our acquisitions of Greenstar and RCI as well as our 2012 restructuring and other charges. These items had a negative impact of $0.03 on our diluted earnings per share.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2012 results were affected by the following:</w:t>
      </w:r>
    </w:p>
    <w:p>
      <w:pPr>
        <w:spacing w:after="0" w:line="131" w:lineRule="exact"/>
        <w:rPr>
          <w:sz w:val="20"/>
          <w:szCs w:val="20"/>
          <w:color w:val="auto"/>
        </w:rPr>
      </w:pPr>
    </w:p>
    <w:p>
      <w:pPr>
        <w:ind w:left="900" w:right="4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impairment charges aggregating $109 million attributable primarily to facilities in our medical waste services business and investments in waste diversion technologies. These items had a negative impact of $0.17 on our diluted earnings per share;</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costs aggregating $82 million primarily related to our July 2012 restructuring as well as integration costs associated with our acquisition of Oakleaf. These items had a negative impact of $0.11 on our diluted earnings per share;</w:t>
      </w:r>
    </w:p>
    <w:p>
      <w:pPr>
        <w:spacing w:after="0" w:line="54" w:lineRule="exact"/>
        <w:rPr>
          <w:sz w:val="20"/>
          <w:szCs w:val="20"/>
          <w:color w:val="auto"/>
        </w:rPr>
      </w:pPr>
    </w:p>
    <w:p>
      <w:pPr>
        <w:ind w:left="920" w:right="420"/>
        <w:spacing w:after="0" w:line="282" w:lineRule="auto"/>
        <w:rPr>
          <w:sz w:val="20"/>
          <w:szCs w:val="20"/>
          <w:color w:val="auto"/>
        </w:rPr>
      </w:pPr>
      <w:r>
        <w:rPr>
          <w:rFonts w:ascii="Times New Roman" w:cs="Times New Roman" w:eastAsia="Times New Roman" w:hAnsi="Times New Roman"/>
          <w:sz w:val="18"/>
          <w:szCs w:val="18"/>
          <w:color w:val="auto"/>
        </w:rPr>
        <w:t>The recognition of a pre-tax charge of $10 million related to the withdrawal from an underfunded multiemployer pension plan and a pre-tax charge of $6 million resulting from a labor union dispute. These items had a negative impact of $0.02 on our diluted earnings per share; and</w:t>
      </w:r>
    </w:p>
    <w:p>
      <w:pPr>
        <w:spacing w:after="0" w:line="67" w:lineRule="exact"/>
        <w:rPr>
          <w:sz w:val="20"/>
          <w:szCs w:val="20"/>
          <w:color w:val="auto"/>
        </w:rPr>
      </w:pPr>
    </w:p>
    <w:p>
      <w:pPr>
        <w:ind w:left="900" w:right="200" w:hanging="325"/>
        <w:spacing w:after="0" w:line="266"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charges aggregating $10 million related to an accrual for legal reserves and the impact of a decrease in the risk-free discount rate used to measure our environmental remediation liabilities. These items had a negative impact of $0.01 on our diluted earnings per share.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began the year with a focus on growing earnings and free cash flow, increasing yield and exercising discipline around capital spending and costs, and the Company’s execution on these goals translated into strong overall operating results in 2014. Additionally, we increased the amount we returned to stockholders in 2014 compared to 2013 by increasing our dividend and share repurchases. Our fourth quarter results capitalized on the momentum we built throughout the year, delivering growth in income from operations and income from operations margin in our Solid Waste business that we expect to continue into 2015. During the fourth quarter, we also completed our previously announced divestiture of our Wheelabrator business for cash proceeds of $1.95 billion, net of cash divested, subject to certain post-closing adjustments. We intend to use these proceeds in support of our strategic growth plans to drive long-term stockholder value, with our priority being on making accretive acquisitions in our Solid Waste business. We also expect our focus on our five key priorities set forth above — Customers; Traditional Waste Business; Growth; Yield Management and Costs – to translate into continued strong free cash flow to pay our dividends, repurchase shares and make other growth investments, while continuing our commitment to maintain a strong balance sheet.</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21" w:lineRule="exact"/>
        <w:rPr>
          <w:sz w:val="20"/>
          <w:szCs w:val="20"/>
          <w:color w:val="auto"/>
        </w:rPr>
      </w:pPr>
    </w:p>
    <w:p>
      <w:pPr>
        <w:ind w:right="200" w:firstLine="456"/>
        <w:spacing w:after="0" w:line="255" w:lineRule="auto"/>
        <w:rPr>
          <w:sz w:val="20"/>
          <w:szCs w:val="20"/>
          <w:color w:val="auto"/>
        </w:rPr>
      </w:pPr>
      <w:r>
        <w:rPr>
          <w:rFonts w:ascii="Times New Roman" w:cs="Times New Roman" w:eastAsia="Times New Roman" w:hAnsi="Times New Roman"/>
          <w:sz w:val="18"/>
          <w:szCs w:val="18"/>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Nevertheless, the use of free cash flow as a liquidity measure has material limitations because it excludes certain expenditures that are required or that we have committed to, such as declared dividend payments and debt service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80" w:type="dxa"/>
            <w:vAlign w:val="bottom"/>
          </w:tcPr>
          <w:p>
            <w:pPr>
              <w:spacing w:after="0"/>
              <w:rPr>
                <w:sz w:val="12"/>
                <w:szCs w:val="12"/>
                <w:color w:val="auto"/>
              </w:rPr>
            </w:pPr>
          </w:p>
        </w:tc>
        <w:tc>
          <w:tcPr>
            <w:tcW w:w="56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Pr>
          <w:p>
            <w:pPr>
              <w:spacing w:after="0"/>
              <w:rPr>
                <w:sz w:val="12"/>
                <w:szCs w:val="12"/>
                <w:color w:val="auto"/>
              </w:rPr>
            </w:pPr>
          </w:p>
        </w:tc>
        <w:tc>
          <w:tcPr>
            <w:tcW w:w="11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$ 2,331</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$ 2,455</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w:t>
            </w:r>
          </w:p>
        </w:tc>
        <w:tc>
          <w:tcPr>
            <w:tcW w:w="17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(1,510)</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$ 3,433</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$ 1,322</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comparing our cash flows from operating activities for the year ended December 31, 2014 to the comparable period in 2013, the decrease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$124 million is primarily related to higher income tax payments of $247 million in the current year and a payment of $36 million made in the first quarter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to terminate our forward starting swaps. These decreases were partially offset by higher cash earnings and favorable working capital changes.</w:t>
      </w:r>
    </w:p>
    <w:p>
      <w:pPr>
        <w:spacing w:after="0" w:line="207"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color w:val="auto"/>
        </w:rPr>
        <w:t>When comparing our cash flows from operating activities for the year ended December 31, 2013 to the comparable period in 2012, the increase of $160 million was primarily related to the impact of higher cash earnings, favorable impacts of working capital changes and the payment of $59 million to settle the liabilities associated with the termination of our forward starting swaps in September 2012. The increase was partially offset by an increase in tax payments of $145 million and the favorable cash receipt of $72 million resulting from the termination of interest rate swaps in April 2012.</w:t>
      </w:r>
    </w:p>
    <w:p>
      <w:pPr>
        <w:spacing w:after="0" w:line="180"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decrease in capital expenditures when comparing the year ended December 31, 2014 to the comparable period in 2013 and comparing the year ended December 31, 2013 to the comparable period in 2012 can generally be attributed to increased focus on capital spending management.</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increase in proceeds from divestitures of businesses and other assets (net of cash divested) for the year ended December 31, 2014 from the comparable period in 2013 is largely driven by (i) the sale of our Wheelabrator business in the fourth quarter of 2014 for $1.95 billion; (ii) the sale of our investment in Shanghai Environment Group (“SEG”), which was part of our Wheelabrator business, in the first quarter of 2014 for $155 million; (iii) the sale of our Puerto Rico operations and certain other collection and landfill assets in the second quarter of 2014, for proceeds of $80 million, including $65 million in cash; (iv) the sale of certain landfill and collection operations in our Eastern Canada Area in the third quarter of 2014 for $39 million and (v) the sale of a vacant facility in the second quarter of 2014 for $19 million.</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September 17, 2014, the Company signed a definitive agreement to acquire the outstanding stock of Deffenbaugh Disposal, Inc., one of the largest privately owned collection and disposal firms in the Midwest. Closing of the acquisition is expected to occur in early 2015, subject to the receipt of regulatory approvals and the satisfaction of customary closing conditions.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19"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Greenstar, LLC </w:t>
      </w:r>
      <w:r>
        <w:rPr>
          <w:rFonts w:ascii="Times New Roman" w:cs="Times New Roman" w:eastAsia="Times New Roman" w:hAnsi="Times New Roman"/>
          <w:sz w:val="18"/>
          <w:szCs w:val="18"/>
          <w:color w:val="auto"/>
        </w:rPr>
        <w:t>— On January 31, 2013, we paid $170 million inclusive of certain adjustments, to acquire Greenstar, LLC (“Greenstar”).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and purchase agreement, up to an additional $40 million is payable to the sellers during the period from 2014 to 2018, of which $20 million is guaranteed. The remaining $20 million of this consideration is contingent based on changes in certain recyclable commodity indexes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17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RCI Environnement, Inc. </w:t>
      </w:r>
      <w:r>
        <w:rPr>
          <w:rFonts w:ascii="Times New Roman" w:cs="Times New Roman" w:eastAsia="Times New Roman" w:hAnsi="Times New Roman"/>
          <w:sz w:val="18"/>
          <w:szCs w:val="18"/>
          <w:color w:val="auto"/>
        </w:rPr>
        <w:t>— On July 5, 2013, we paid C$509 million, or $481 million, to acquire substantially all of the assets of RCI Environnement,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Divestiture of Wheelabrator Business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19, 2014, we sold our Wheelabrator business to an affiliate of Energy Capital Partners and received cash proceeds of $1.95 billion, net of cash divested, subject to certain post-closing adjustments. We recognized a gain of $519 million on this sale which is included within “(Income) expense from divestitures, asset impairments (other than goodwill) and unusual items” in the Consolidated Statement of Operations.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Wheelabrator provides waste-to-energy services and manages waste-to-energy facilities and independent power production plants. Wheelabrator owns or operates 16 waste-to-energy facilities and four independent power production plants. Prior to the sale, our Wheelabrator business constituted a reportable segment for the Company, as discussed in Note 21 to the Consolidated Financial Statements. We concluded that the sale of our Wheelabrator business did not qualify for discontinued operations accounting under current authoritative guidance based on our significant continuing obligations under the long-term waste supply agreements referred to above and in Note 11 to the Consolidated Financial Statements.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Divestitures</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and recognized a loss on the sale of $25 million.</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the third quarter of 2014, we sold certain landfill and collection operations in our Eastern Canada Area, which were included in Tier 3. We received cash proceeds from the sale of $39 million and recognized a gain of $18 million.</w:t>
      </w:r>
    </w:p>
    <w:p>
      <w:pPr>
        <w:spacing w:after="0" w:line="162"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The gain or loss on these divestitures is included within “(Income) expense from divestitures, asset impairments (other than goodwill) and unusual items” in the Consolidated Statement of Operations. The remaining proceeds from divestitures in 2014 were comprised substantially of cash. Additional information on our reportable segments can be found in Note 21 to the Consolidated Financial Statements.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Consolidated Financial Information</w:t>
      </w:r>
    </w:p>
    <w:p>
      <w:pPr>
        <w:spacing w:after="0" w:line="119" w:lineRule="exact"/>
        <w:rPr>
          <w:sz w:val="20"/>
          <w:szCs w:val="20"/>
          <w:color w:val="auto"/>
        </w:rPr>
      </w:pPr>
    </w:p>
    <w:p>
      <w:pPr>
        <w:ind w:right="2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 In February 2013, the Financial Accounting Standards Board (“FASB”) issued amended authoritative guidance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comprehensive income, which requires companies to provide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14 to the Consolidated Financial Statements.</w:t>
      </w:r>
    </w:p>
    <w:p>
      <w:pPr>
        <w:spacing w:after="0" w:line="182" w:lineRule="exact"/>
        <w:rPr>
          <w:sz w:val="20"/>
          <w:szCs w:val="20"/>
          <w:color w:val="auto"/>
        </w:rPr>
      </w:pPr>
    </w:p>
    <w:p>
      <w:pPr>
        <w:ind w:right="160"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Indefinite-Lived Intangible Assets Impairment Testing </w:t>
      </w:r>
      <w:r>
        <w:rPr>
          <w:rFonts w:ascii="Times New Roman" w:cs="Times New Roman" w:eastAsia="Times New Roman" w:hAnsi="Times New Roman"/>
          <w:sz w:val="17"/>
          <w:szCs w:val="17"/>
          <w:color w:val="auto"/>
        </w:rPr>
        <w:t>— In July 2012, the FASB amended authoritative guidance associated with indefinite-lived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intangible assets impairment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 not that the indefinite-lived intangible asset is impaired, then the entity is not required to take further action. The amendments were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 to the Consolidated Financial Statements.</w:t>
      </w:r>
    </w:p>
    <w:p>
      <w:pPr>
        <w:spacing w:after="0" w:line="2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 and Assumptions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Landfills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Accounting for landfills requires that significant estimates and assumptions be made regarding (i) the cost to construct and develop each landfill asset;</w:t>
      </w:r>
    </w:p>
    <w:p>
      <w:pPr>
        <w:spacing w:after="0" w:line="27" w:lineRule="exact"/>
        <w:rPr>
          <w:sz w:val="20"/>
          <w:szCs w:val="20"/>
          <w:color w:val="auto"/>
        </w:rPr>
      </w:pPr>
    </w:p>
    <w:p>
      <w:pPr>
        <w:jc w:val="both"/>
        <w:ind w:right="180" w:firstLine="8"/>
        <w:spacing w:after="0" w:line="255" w:lineRule="auto"/>
        <w:tabs>
          <w:tab w:leader="none" w:pos="2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final capping, closure and post-closure asset retirement obligations, which must consider both the expected cost and timing of these activities; (iii) the determination of each landfill’s remaining permitted and expansion airspace and (iv) the airspace associated with each final capping event.</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Landfill Costs </w:t>
      </w:r>
      <w:r>
        <w:rPr>
          <w:rFonts w:ascii="Times New Roman" w:cs="Times New Roman" w:eastAsia="Times New Roman" w:hAnsi="Times New Roman"/>
          <w:sz w:val="18"/>
          <w:szCs w:val="18"/>
          <w:color w:val="auto"/>
        </w:rPr>
        <w:t>— We estimate the total cost to develop each of our landfill sites to its remaining permitted and expansion capacity. This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such costs as landfill liner material and installation, excavation for airspace, landfill leachate collection systems, landfill gas collection systems, environmental monitoring equipment for groundwater and landfill gas, directly related engineering, capitalized interest, on-site road construction and other capital infrastructure costs. Additionally, landfill development includes all land purchases for the landfill footprint and required landfill buffer property. The projection of these landfill costs is dependent, in part, on future events. The remaining amortizable basis of each landfill includes costs to develop a site to its remaining permitted and expansion capacity and includes amounts previously expended and capitalized, net of accumulated airspace amortization, and projections of future purchase and development costs.</w:t>
      </w:r>
    </w:p>
    <w:p>
      <w:pPr>
        <w:spacing w:after="0" w:line="183"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Final Capping Costs </w:t>
      </w:r>
      <w:r>
        <w:rPr>
          <w:rFonts w:ascii="Times New Roman" w:cs="Times New Roman" w:eastAsia="Times New Roman" w:hAnsi="Times New Roman"/>
          <w:sz w:val="18"/>
          <w:szCs w:val="18"/>
          <w:color w:val="auto"/>
        </w:rPr>
        <w:t>— We estimate the cost for each final capping event based on the area to be finally capped and the capping materials and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The estimates also consider when these costs are anticipated to be paid and factor in inflation and discount rates. Our engineering personnel allocate landfill final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capping costs to specific final capping events. The landfill capacity associated with each final capping event is then quantified and the final capping costs for each event are amortized over the related capacity associated with the event as waste is disposed of at the landfill. We review these costs annually, or more often if significant facts change. Changes in estimates, such as timing or cost of construction, for final capping events immediately impact the required liability and the corresponding asset. When the change in estimate relates to a fully consumed asset, the adjustment to the asset must be amortized immediately through expense. When the change in estimate relates to a final capping event that has not been fully consumed, the adjustment to the asset is recognized in income prospectively as a component of landfill airspace amortization.</w:t>
      </w:r>
    </w:p>
    <w:p>
      <w:pPr>
        <w:spacing w:after="0" w:line="186"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Closure and Post-Closure Costs </w:t>
      </w:r>
      <w:r>
        <w:rPr>
          <w:rFonts w:ascii="Times New Roman" w:cs="Times New Roman" w:eastAsia="Times New Roman" w:hAnsi="Times New Roman"/>
          <w:sz w:val="18"/>
          <w:szCs w:val="18"/>
          <w:color w:val="auto"/>
        </w:rPr>
        <w:t>— We base our estimates for closure and post-closure costs on our interpretations of permit and regulatory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closure and post-closure monitoring and maintenance. The estimates for landfill closure and post-closure costs also consider when the costs are anticipated to be paid and factor in inflation and discount rates. The possibility of changing legal and regulatory requirements and the forward-looking nature of these types of costs make any estimation or assumption less certain. Changes in estimates for closure and post-closure events immediately impact the required liability and the corresponding asset. When the change in estimate relates to a fully consumed asset, the adjustment to the asset must be amortized immediately through expense. When the change in estimate relates to a landfill asset that has not been fully consumed, the adjustment to the asset is recognized in income prospectively as a component of landfill airspace amortization.</w:t>
      </w:r>
    </w:p>
    <w:p>
      <w:pPr>
        <w:spacing w:after="0" w:line="183"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 Our engineers, in consultation with third-party engineering consultants and surveyors, are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174"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Expansion Airspace </w:t>
      </w:r>
      <w:r>
        <w:rPr>
          <w:rFonts w:ascii="Times New Roman" w:cs="Times New Roman" w:eastAsia="Times New Roman" w:hAnsi="Times New Roman"/>
          <w:sz w:val="18"/>
          <w:szCs w:val="18"/>
          <w:color w:val="auto"/>
        </w:rPr>
        <w:t>— We also include currently unpermitted expansion airspace in our estimate of remaining permitted and expansion airspace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8" w:lineRule="exact"/>
        <w:rPr>
          <w:sz w:val="20"/>
          <w:szCs w:val="20"/>
          <w:color w:val="auto"/>
        </w:rPr>
      </w:pPr>
    </w:p>
    <w:p>
      <w:pPr>
        <w:ind w:left="900" w:right="68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approvals will be received within the normal application and processing time periods for approvals in the jurisdiction in which the landfill is located;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has a positive financial and operational impact.</w:t>
      </w:r>
    </w:p>
    <w:p>
      <w:pPr>
        <w:spacing w:after="0" w:line="162"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23 landfill sites with expansions included at December 31, 2014, five landfills required the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60"/>
          </w:cols>
          <w:pgMar w:left="240" w:top="455" w:right="29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Chief Financial Officer to approve the inclusion of the unpermitted airspace. Two of these landfills required approval by our Chief Financial Officer because of community or political opposition that could impede the expansion process. The remaining three landfills required approval due to local zoning restrictions or because the permit application processes do not meet the one- or five-year requirements.</w:t>
      </w:r>
    </w:p>
    <w:p>
      <w:pPr>
        <w:spacing w:after="0" w:line="176"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Environmental Remediation Liabilities</w:t>
      </w:r>
    </w:p>
    <w:p>
      <w:pPr>
        <w:spacing w:after="0" w:line="11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88"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86"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3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Asset Impairments</w:t>
      </w:r>
    </w:p>
    <w:p>
      <w:pPr>
        <w:spacing w:after="0" w:line="119"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Our long-lived assets, including landfills and landfill expansions, are carried on our financial statements based on their cost less accumulated depreciation or amortization. We monitor the carrying value of our long-lived assets for potential impairment on an ongoing basis and test the recoverability of such assets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w:t>
      </w:r>
    </w:p>
    <w:p>
      <w:pPr>
        <w:spacing w:after="0" w:line="1" w:lineRule="exact"/>
        <w:rPr>
          <w:sz w:val="20"/>
          <w:szCs w:val="20"/>
          <w:color w:val="auto"/>
        </w:rPr>
      </w:pPr>
    </w:p>
    <w:p>
      <w:pPr>
        <w:ind w:firstLine="8"/>
        <w:spacing w:after="0" w:line="252" w:lineRule="auto"/>
        <w:tabs>
          <w:tab w:leader="none" w:pos="2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(other than goodwill)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additional considerations for impairments of landfills, goodwill and other indefinite-lived intangible assets, as described below.</w:t>
      </w:r>
    </w:p>
    <w:p>
      <w:pPr>
        <w:spacing w:after="0" w:line="223"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Landfills </w:t>
      </w:r>
      <w:r>
        <w:rPr>
          <w:rFonts w:ascii="Times New Roman" w:cs="Times New Roman" w:eastAsia="Times New Roman" w:hAnsi="Times New Roman"/>
          <w:sz w:val="18"/>
          <w:szCs w:val="18"/>
          <w:color w:val="auto"/>
        </w:rPr>
        <w:t>— The assessment of impairment indicators and the recoverability of our capitalized costs associated with landfills and related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See Item 7. Management’s Discussion and Analysis of Financial Condition and Results of Operations — </w:t>
      </w:r>
      <w:r>
        <w:rPr>
          <w:rFonts w:ascii="Times New Roman" w:cs="Times New Roman" w:eastAsia="Times New Roman" w:hAnsi="Times New Roman"/>
          <w:sz w:val="18"/>
          <w:szCs w:val="18"/>
          <w:i w:val="1"/>
          <w:iCs w:val="1"/>
          <w:color w:val="auto"/>
        </w:rPr>
        <w:t>Critical Accounting Estimates and Assumptions — Expansion Airspace</w:t>
      </w:r>
      <w:r>
        <w:rPr>
          <w:rFonts w:ascii="Times New Roman" w:cs="Times New Roman" w:eastAsia="Times New Roman" w:hAnsi="Times New Roman"/>
          <w:sz w:val="18"/>
          <w:szCs w:val="18"/>
          <w:color w:val="auto"/>
        </w:rPr>
        <w:t xml:space="preserve"> above for discussion of criteria involved in assessing our likelihood of obtaining an expansion permit.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At December 31, 2014, one of our landfill sites for which we believe receipt of the expansion permit is probable, is not currently accepting waste. The net recorded capitalized landfill asset cost for this site was $247 million at December 31, 2014. We performed a test of recoverability for this landfill and the undiscounted cash flows resulting from our probability-weighted estimation approach significantly exceeded the carrying value of this site.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191" w:lineRule="exact"/>
        <w:rPr>
          <w:sz w:val="20"/>
          <w:szCs w:val="20"/>
          <w:color w:val="auto"/>
        </w:rPr>
      </w:pPr>
    </w:p>
    <w:p>
      <w:pPr>
        <w:jc w:val="both"/>
        <w:ind w:right="300" w:firstLine="456"/>
        <w:spacing w:after="0" w:line="267" w:lineRule="auto"/>
        <w:rPr>
          <w:sz w:val="20"/>
          <w:szCs w:val="20"/>
          <w:color w:val="auto"/>
        </w:rPr>
      </w:pPr>
      <w:r>
        <w:rPr>
          <w:rFonts w:ascii="Times New Roman" w:cs="Times New Roman" w:eastAsia="Times New Roman" w:hAnsi="Times New Roman"/>
          <w:sz w:val="18"/>
          <w:szCs w:val="18"/>
          <w:color w:val="auto"/>
        </w:rPr>
        <w:t xml:space="preserve">See Item 7. Management’s Discussion and Analysis of Financial Condition and Results of Operations — </w:t>
      </w:r>
      <w:r>
        <w:rPr>
          <w:rFonts w:ascii="Times New Roman" w:cs="Times New Roman" w:eastAsia="Times New Roman" w:hAnsi="Times New Roman"/>
          <w:sz w:val="18"/>
          <w:szCs w:val="18"/>
          <w:i w:val="1"/>
          <w:iCs w:val="1"/>
          <w:color w:val="auto"/>
        </w:rPr>
        <w:t>(Income) Expense from Divestitures,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Impairments (Other than Goodwill)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Unusual Items </w:t>
      </w:r>
      <w:r>
        <w:rPr>
          <w:rFonts w:ascii="Times New Roman" w:cs="Times New Roman" w:eastAsia="Times New Roman" w:hAnsi="Times New Roman"/>
          <w:sz w:val="18"/>
          <w:szCs w:val="18"/>
          <w:color w:val="auto"/>
        </w:rPr>
        <w:t>and Note 13 to the Consolidated Financial Statements for additional information related to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impairments recognized during the reported periods.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At least annually, and more frequently if warranted, we assess our goodwill for impairment using Level 3 inputs.</w:t>
      </w:r>
    </w:p>
    <w:p>
      <w:pPr>
        <w:spacing w:after="0" w:line="227"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19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During our annual 2013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 carrying amount of goodwill to determine the amount of the impairment. The factors contributing to the $483 million goodwill impairment charge principally related to the continued challenging business environment in areas of the country in which Wheelabrator operated, characterized by lower available disposal volumes (which impact disposal rates and overall disposal revenue, as well as the amount of electricity Wheelabrator was able to generate), lower electricity pricing due to the pricing pressure created by availability of natural gas and increased operating costs as Wheelabrator’s facilities aged. These factors caused us to lower prior assumptions for electricity and disposal revenue, and increase assumed operating costs. Additionally, the discount factor previously utilized in the income approach in 2013 increased mainly due to increases in interest rates. In 2013, we incurred an additional $10 million of charges to impair goodwill associated with our Puerto Rico operations and $4 million to impair goodwill associated with our recycling business. In 2014, we recognized $10 million of goodwill impairment charges associated with our recycling operations.</w:t>
      </w:r>
    </w:p>
    <w:p>
      <w:pPr>
        <w:spacing w:after="0" w:line="197" w:lineRule="exact"/>
        <w:rPr>
          <w:sz w:val="20"/>
          <w:szCs w:val="20"/>
          <w:color w:val="auto"/>
        </w:rPr>
      </w:pPr>
    </w:p>
    <w:p>
      <w:pPr>
        <w:ind w:right="120" w:firstLine="456"/>
        <w:spacing w:after="0" w:line="284" w:lineRule="auto"/>
        <w:rPr>
          <w:sz w:val="20"/>
          <w:szCs w:val="20"/>
          <w:color w:val="auto"/>
        </w:rPr>
      </w:pPr>
      <w:r>
        <w:rPr>
          <w:rFonts w:ascii="Times New Roman" w:cs="Times New Roman" w:eastAsia="Times New Roman" w:hAnsi="Times New Roman"/>
          <w:sz w:val="18"/>
          <w:szCs w:val="18"/>
          <w:color w:val="auto"/>
        </w:rPr>
        <w:t xml:space="preserve">See Item 7. Management’s Discussion and Analysis of Financial Condition and Results of Operations — </w:t>
      </w:r>
      <w:r>
        <w:rPr>
          <w:rFonts w:ascii="Times New Roman" w:cs="Times New Roman" w:eastAsia="Times New Roman" w:hAnsi="Times New Roman"/>
          <w:sz w:val="18"/>
          <w:szCs w:val="18"/>
          <w:i w:val="1"/>
          <w:iCs w:val="1"/>
          <w:color w:val="auto"/>
        </w:rPr>
        <w:t>Goodwill Impairments</w:t>
      </w:r>
      <w:r>
        <w:rPr>
          <w:rFonts w:ascii="Times New Roman" w:cs="Times New Roman" w:eastAsia="Times New Roman" w:hAnsi="Times New Roman"/>
          <w:sz w:val="18"/>
          <w:szCs w:val="18"/>
          <w:color w:val="auto"/>
        </w:rPr>
        <w:t xml:space="preserve"> and Notes 6 and 13 to the Consolidated Financial Statements for additional information related to goodwill impairments recognized during the reported periods.</w:t>
      </w:r>
    </w:p>
    <w:p>
      <w:pPr>
        <w:spacing w:after="0" w:line="158" w:lineRule="exact"/>
        <w:rPr>
          <w:sz w:val="20"/>
          <w:szCs w:val="20"/>
          <w:color w:val="auto"/>
        </w:rPr>
      </w:pPr>
    </w:p>
    <w:p>
      <w:pPr>
        <w:ind w:right="2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Other Than Goodwill </w:t>
      </w:r>
      <w:r>
        <w:rPr>
          <w:rFonts w:ascii="Times New Roman" w:cs="Times New Roman" w:eastAsia="Times New Roman" w:hAnsi="Times New Roman"/>
          <w:sz w:val="18"/>
          <w:szCs w:val="18"/>
          <w:color w:val="auto"/>
        </w:rPr>
        <w:t>— At least annually, and more frequently if warranted, we assess indefinite-lived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other than goodwill for impairment.</w:t>
      </w:r>
    </w:p>
    <w:p>
      <w:pPr>
        <w:spacing w:after="0" w:line="160"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 To the extent interest and penalties may be assessed by taxing authorities on any underpayment of income tax, such amounts have been accrued and are classified as a component of income tax expense in our Consolidated Statements of Operations.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Insured and Self-Insured Claims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automobile, general liability and workers’ compensation insurance programs. The exposure for unpaid claims and associated expenses, including incurred but not reported losses, are based on an actuarial valuation and internal estimates. The accruals for these liabilities could be revised if future occurrences or loss development significantly differ from our assumptions used. Estimated recoveries associated with our insured claims are recorded as assets when we believe that the receipt of such amounts is probable.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121"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Our operating revenues set forth below have generally come from fees charged for our collection, disposal, transfer, recycling and resource recovery, and waste-to-energy services and from sales of commodities by our recycling, waste-to-energy and landfill gas-to-energy operations. Revenues from our collection operations are influenced by factors such as collection frequency, type of collection equipment furnished, type and volume or weight of the waste collected, distance to the disposal facility or MRF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 generally consists of tipping fees and the sale of recyclable commodities to third parties. The fees we charge for our collection, disposal, transfer and recycling services generally include fuel surcharges, which are indexed to current market costs for diesel fuel. Our recently divested Wheelabrator business provided waste-to-energy services and managed waste-to-energy facilities and independent power production plants. We also provide additional services that are not managed through our Solid Waste or Wheelabrator businesses, including Strategic Business Solutions (“WMSBS”), Energy and Environmental Services, recycling brokerage and electronic recycling services, landfill gas-to-energy services, and expanded service offerings and solutions. We also offer portable self-storage services through a joint venture; fluorescent bulb and universal waste mail-back through our LampTracker</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program; portable restroom servicing under the name Port-o-Let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street and parking lot sweeping services. In addition, we hold interests in oil and gas producing properties. These operations are presented as “Other” in the table below. The following table summarizes revenues during each period (in millions):</w:t>
      </w:r>
    </w:p>
    <w:p>
      <w:pPr>
        <w:spacing w:after="0" w:line="21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4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Solid Waste:</w:t>
            </w:r>
          </w:p>
        </w:tc>
        <w:tc>
          <w:tcPr>
            <w:tcW w:w="3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Tier 1</w:t>
            </w:r>
          </w:p>
        </w:tc>
        <w:tc>
          <w:tcPr>
            <w:tcW w:w="3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2</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6,273</w:t>
            </w:r>
          </w:p>
        </w:tc>
        <w:tc>
          <w:tcPr>
            <w:tcW w:w="0" w:type="dxa"/>
            <w:vAlign w:val="bottom"/>
          </w:tcPr>
          <w:p>
            <w:pPr>
              <w:spacing w:after="0"/>
              <w:rPr>
                <w:sz w:val="1"/>
                <w:szCs w:val="1"/>
                <w:color w:val="auto"/>
              </w:rPr>
            </w:pPr>
          </w:p>
        </w:tc>
      </w:tr>
      <w:tr>
        <w:trPr>
          <w:trHeight w:val="22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Tier 3</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Solid Waste</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13,449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13,477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13,056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Intercompany</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3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13,996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13,983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13,649</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580" w:type="dxa"/>
            <w:vAlign w:val="bottom"/>
            <w:vMerge w:val="restart"/>
          </w:tcPr>
          <w:p>
            <w:pPr>
              <w:jc w:val="right"/>
              <w:ind w:right="17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is reflected in the table below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28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Collection:</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w:t>
            </w:r>
          </w:p>
        </w:tc>
      </w:tr>
      <w:tr>
        <w:trPr>
          <w:trHeight w:val="216"/>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Industrial</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r>
      <w:tr>
        <w:trPr>
          <w:trHeight w:val="216"/>
        </w:trPr>
        <w:tc>
          <w:tcPr>
            <w:tcW w:w="4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4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collection</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8,405</w:t>
            </w:r>
          </w:p>
        </w:tc>
        <w:tc>
          <w:tcPr>
            <w:tcW w:w="10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Recycling</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(2,359)</w:t>
            </w:r>
          </w:p>
        </w:tc>
      </w:tr>
      <w:tr>
        <w:trPr>
          <w:trHeight w:val="27"/>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13,996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6"/>
              </w:rPr>
              <w:t>13,983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13,649</w:t>
            </w: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provides details associated with the period-to-period change in revenues (dollars in millions) along with an explanation of the significant components of the current period changes: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40" w:type="dxa"/>
            <w:vAlign w:val="bottom"/>
            <w:gridSpan w:val="5"/>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40" w:type="dxa"/>
            <w:vAlign w:val="bottom"/>
          </w:tcPr>
          <w:p>
            <w:pPr>
              <w:spacing w:after="0"/>
              <w:rPr>
                <w:sz w:val="13"/>
                <w:szCs w:val="13"/>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3"/>
          </w:tcPr>
          <w:p>
            <w:pPr>
              <w:jc w:val="center"/>
              <w:ind w:right="144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3"/>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3"/>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rPr>
              <w:t>2014 vs. 2013</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2013 vs. 2012</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8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680" w:type="dxa"/>
            <w:vAlign w:val="bottom"/>
          </w:tcPr>
          <w:p>
            <w:pPr>
              <w:spacing w:after="0"/>
              <w:rPr>
                <w:sz w:val="12"/>
                <w:szCs w:val="12"/>
                <w:color w:val="auto"/>
              </w:rPr>
            </w:pPr>
          </w:p>
        </w:tc>
        <w:tc>
          <w:tcPr>
            <w:tcW w:w="160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600" w:type="dxa"/>
            <w:vAlign w:val="bottom"/>
            <w:gridSpan w:val="2"/>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Company(a)</w:t>
            </w:r>
          </w:p>
        </w:tc>
        <w:tc>
          <w:tcPr>
            <w:tcW w:w="600" w:type="dxa"/>
            <w:vAlign w:val="bottom"/>
            <w:gridSpan w:val="3"/>
            <w:vMerge w:val="continue"/>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Company(a)</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yield(b)</w:t>
            </w:r>
          </w:p>
        </w:tc>
        <w:tc>
          <w:tcPr>
            <w:tcW w:w="16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720" w:type="dxa"/>
            <w:vAlign w:val="bottom"/>
            <w:gridSpan w:val="2"/>
            <w:vMerge w:val="continue"/>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Volume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22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revenue growth</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228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0.9</w:t>
            </w:r>
          </w:p>
        </w:tc>
        <w:tc>
          <w:tcPr>
            <w:tcW w:w="1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Divestitures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228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2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334</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120" w:hanging="452"/>
        <w:spacing w:after="0" w:line="261"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amount of current year increase or decrease by the prior year’s total company revenue adjusted to exclude the impacts of current year divestitures ($13,893 million and $13,643 million for 2014 and 2013, respectively).</w:t>
      </w:r>
    </w:p>
    <w:p>
      <w:pPr>
        <w:jc w:val="both"/>
        <w:ind w:left="460" w:hanging="452"/>
        <w:spacing w:after="0" w:line="255"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 We also analyze the changes in average yield in terms of related-business revenues in order to differentiate the changes in yield attributable to our pricing strategies from the changes that are caused by</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20"/>
          </w:cols>
          <w:pgMar w:left="24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480"/>
        <w:spacing w:after="0" w:line="282" w:lineRule="auto"/>
        <w:rPr>
          <w:sz w:val="20"/>
          <w:szCs w:val="20"/>
          <w:color w:val="auto"/>
        </w:rPr>
      </w:pPr>
      <w:r>
        <w:rPr>
          <w:rFonts w:ascii="Times New Roman" w:cs="Times New Roman" w:eastAsia="Times New Roman" w:hAnsi="Times New Roman"/>
          <w:sz w:val="18"/>
          <w:szCs w:val="18"/>
          <w:color w:val="auto"/>
        </w:rPr>
        <w:t>market-driven price changes in commodities. The following table summarizes changes in revenues from average yield on a related-business basis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gridSpan w:val="6"/>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 w:type="dxa"/>
            <w:vAlign w:val="bottom"/>
          </w:tcPr>
          <w:p>
            <w:pPr>
              <w:spacing w:after="0"/>
              <w:rPr>
                <w:sz w:val="13"/>
                <w:szCs w:val="13"/>
                <w:color w:val="auto"/>
              </w:rPr>
            </w:pPr>
          </w:p>
        </w:tc>
        <w:tc>
          <w:tcPr>
            <w:tcW w:w="19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gridSpan w:val="4"/>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2014 vs. 2013</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2013 vs. 2012</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7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left="477"/>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2"/>
                <w:szCs w:val="12"/>
                <w:color w:val="auto"/>
              </w:rPr>
            </w:pPr>
          </w:p>
        </w:tc>
        <w:tc>
          <w:tcPr>
            <w:tcW w:w="144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40" w:type="dxa"/>
            <w:vAlign w:val="bottom"/>
            <w:gridSpan w:val="2"/>
          </w:tcPr>
          <w:p>
            <w:pPr>
              <w:jc w:val="center"/>
              <w:ind w:left="277"/>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560" w:type="dxa"/>
            <w:vAlign w:val="bottom"/>
          </w:tcPr>
          <w:p>
            <w:pPr>
              <w:spacing w:after="0"/>
              <w:rPr>
                <w:sz w:val="15"/>
                <w:szCs w:val="15"/>
                <w:color w:val="auto"/>
              </w:rPr>
            </w:pPr>
          </w:p>
        </w:tc>
        <w:tc>
          <w:tcPr>
            <w:tcW w:w="14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Business(i)</w:t>
            </w:r>
          </w:p>
        </w:tc>
        <w:tc>
          <w:tcPr>
            <w:tcW w:w="640" w:type="dxa"/>
            <w:vAlign w:val="bottom"/>
            <w:gridSpan w:val="3"/>
            <w:vMerge w:val="continue"/>
          </w:tcPr>
          <w:p>
            <w:pPr>
              <w:spacing w:after="0"/>
              <w:rPr>
                <w:sz w:val="15"/>
                <w:szCs w:val="15"/>
                <w:color w:val="auto"/>
              </w:rPr>
            </w:pPr>
          </w:p>
        </w:tc>
        <w:tc>
          <w:tcPr>
            <w:tcW w:w="1440" w:type="dxa"/>
            <w:vAlign w:val="bottom"/>
            <w:gridSpan w:val="2"/>
          </w:tcPr>
          <w:p>
            <w:pPr>
              <w:jc w:val="center"/>
              <w:ind w:left="277"/>
              <w:spacing w:after="0"/>
              <w:rPr>
                <w:sz w:val="20"/>
                <w:szCs w:val="20"/>
                <w:color w:val="auto"/>
              </w:rPr>
            </w:pPr>
            <w:r>
              <w:rPr>
                <w:rFonts w:ascii="Times New Roman" w:cs="Times New Roman" w:eastAsia="Times New Roman" w:hAnsi="Times New Roman"/>
                <w:sz w:val="14"/>
                <w:szCs w:val="14"/>
                <w:b w:val="1"/>
                <w:bCs w:val="1"/>
                <w:color w:val="auto"/>
              </w:rPr>
              <w:t>Business(i)</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7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Average yield:</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Collection, landfill and transfer</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8"/>
                <w:szCs w:val="18"/>
                <w:color w:val="auto"/>
              </w:rPr>
            </w:pP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241</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Waste-to-energy disposal(ii)</w:t>
            </w: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20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24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Collection and disposal(ii)</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commodities</w:t>
            </w: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(53)</w:t>
            </w:r>
          </w:p>
        </w:tc>
        <w:tc>
          <w:tcPr>
            <w:tcW w:w="20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Electricity(ii)</w:t>
            </w:r>
          </w:p>
        </w:tc>
        <w:tc>
          <w:tcPr>
            <w:tcW w:w="16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tcPr>
          <w:p>
            <w:pPr>
              <w:spacing w:after="0"/>
              <w:rPr>
                <w:sz w:val="18"/>
                <w:szCs w:val="18"/>
                <w:color w:val="auto"/>
              </w:rPr>
            </w:pPr>
          </w:p>
        </w:tc>
        <w:tc>
          <w:tcPr>
            <w:tcW w:w="4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surcharges and mandated fees</w:t>
            </w: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w:t>
            </w:r>
          </w:p>
        </w:tc>
        <w:tc>
          <w:tcPr>
            <w:tcW w:w="20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0" w:hanging="452"/>
        <w:spacing w:after="0" w:line="266"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 The table below summarizes the related business revenues for each year, adjusted to exclude the impacts of divestitures (in millions):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Denominator</w:t>
            </w:r>
          </w:p>
        </w:tc>
      </w:tr>
      <w:tr>
        <w:trPr>
          <w:trHeight w:val="142"/>
        </w:trPr>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Related-business revenues: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Collection, landfill and transfer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$11,103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Waste-to-energy disposal</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6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commodities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Electricity</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Fuel surcharges and mandated fees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13,893</w:t>
            </w:r>
          </w:p>
        </w:tc>
        <w:tc>
          <w:tcPr>
            <w:tcW w:w="6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13,643</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260" w:hanging="452"/>
        <w:spacing w:after="0" w:line="282"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revenue growth for yield for “Collection and disposal” excludes all electricity-related revenues generated by our Wheelabrator business and our landfill gas-to-energy operations, which are reported as “Electricity” revenues.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revenues increased $13 million, or 0.1%, for the year ended December 31, 2014. Our revenue fluctuation in the current period has been driven by</w:t>
      </w:r>
    </w:p>
    <w:p>
      <w:pPr>
        <w:spacing w:after="0" w:line="27" w:lineRule="exact"/>
        <w:rPr>
          <w:sz w:val="20"/>
          <w:szCs w:val="20"/>
          <w:color w:val="auto"/>
        </w:rPr>
      </w:pPr>
    </w:p>
    <w:p>
      <w:pPr>
        <w:ind w:firstLine="8"/>
        <w:spacing w:after="0" w:line="252" w:lineRule="auto"/>
        <w:tabs>
          <w:tab w:leader="none" w:pos="2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from yield on our collection and disposal operations; (ii) revenue from acquired operations, particularly the RCI operations acquired in July 2013, which contributed approximately $77 million to the revenue growth for the year ended December 31, 2014; and (iii) fluctuations in electricity prices at Wheelabrator’s merchant waste-to-energy facilities that favorably affected revenues. Offsetting these revenue increases were (i) revenue declines due to lower volumes; (ii) divestitures, primarily our Puerto Rico divestiture in the second quarter of 2014, certain landfill and collection operations in our Eastern Canada Area in the third quarter of 2014, and our Wheelabrator business in December 2014; (iii) foreign currency translation, which affects revenues from our Canadian operations; and (iv) revenue declines resulting from lower recyclable commodity prices.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revenues increased $334 million, or 2.4%, for the year ended December 31, 2013. Our revenue fluctuation in the prior period was driven by</w:t>
      </w:r>
    </w:p>
    <w:p>
      <w:pPr>
        <w:spacing w:after="0" w:line="27" w:lineRule="exact"/>
        <w:rPr>
          <w:sz w:val="20"/>
          <w:szCs w:val="20"/>
          <w:color w:val="auto"/>
        </w:rPr>
      </w:pPr>
    </w:p>
    <w:p>
      <w:pPr>
        <w:ind w:right="240" w:firstLine="8"/>
        <w:spacing w:after="0" w:line="261" w:lineRule="auto"/>
        <w:tabs>
          <w:tab w:leader="none" w:pos="21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acquired operations, particularly Greenstar acquired in January 2013 and RCI, which increased revenues by $138 million and $80 million, respectively; (ii) increased revenue growth from our collection and disposal average yield; (iii) higher revenues provided 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fuel surcharge program; and (iv) fluctuations in electricity prices at our merchant waste-to-energy facilities. Offsetting these revenue increases were</w:t>
      </w:r>
    </w:p>
    <w:p>
      <w:pPr>
        <w:spacing w:after="0" w:line="27" w:lineRule="exact"/>
        <w:rPr>
          <w:sz w:val="20"/>
          <w:szCs w:val="20"/>
          <w:color w:val="auto"/>
        </w:rPr>
      </w:pPr>
    </w:p>
    <w:p>
      <w:pPr>
        <w:ind w:right="680" w:firstLine="8"/>
        <w:spacing w:after="0" w:line="261" w:lineRule="auto"/>
        <w:tabs>
          <w:tab w:leader="none" w:pos="2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declines resulting from lower recyclable commodity prices; (ii) foreign currency translation, which negatively affected revenues from our Canadian operations; and (iii) revenue declines due to lower volumes.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provides further details associated with our period-to-period change in revenues.</w:t>
      </w:r>
    </w:p>
    <w:p>
      <w:pPr>
        <w:spacing w:after="0" w:line="3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Average yield</w:t>
      </w:r>
    </w:p>
    <w:p>
      <w:pPr>
        <w:spacing w:after="0" w:line="117"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Collection and disposal average yield </w:t>
      </w:r>
      <w:r>
        <w:rPr>
          <w:rFonts w:ascii="Times New Roman" w:cs="Times New Roman" w:eastAsia="Times New Roman" w:hAnsi="Times New Roman"/>
          <w:sz w:val="18"/>
          <w:szCs w:val="18"/>
          <w:color w:val="auto"/>
        </w:rPr>
        <w:t>— This measure reflects the effect on our revenue from the pricing activities of our collection, transfer,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waste-to-energy disposal 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18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Revenue growth from collection and disposal average yield was $262 million, or 2.3%, and $235 million, or 2.1%, for the years ended December 31, 2014 and 2013, respectively.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experienced growth in all three of our principal collection lines of business in both 2014 and 2013. The details are as follows (dollars in millions):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3"/>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3"/>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3"/>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2014 vs. 2013</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2013 vs. 2012</w:t>
            </w:r>
          </w:p>
        </w:tc>
        <w:tc>
          <w:tcPr>
            <w:tcW w:w="0" w:type="dxa"/>
            <w:vAlign w:val="bottom"/>
          </w:tcPr>
          <w:p>
            <w:pPr>
              <w:spacing w:after="0"/>
              <w:rPr>
                <w:sz w:val="1"/>
                <w:szCs w:val="1"/>
                <w:color w:val="auto"/>
              </w:rPr>
            </w:pPr>
          </w:p>
        </w:tc>
      </w:tr>
      <w:tr>
        <w:trPr>
          <w:trHeight w:val="117"/>
        </w:trPr>
        <w:tc>
          <w:tcPr>
            <w:tcW w:w="57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300" w:type="dxa"/>
            <w:vAlign w:val="bottom"/>
          </w:tcPr>
          <w:p>
            <w:pPr>
              <w:spacing w:after="0"/>
              <w:rPr>
                <w:sz w:val="12"/>
                <w:szCs w:val="12"/>
                <w:color w:val="auto"/>
              </w:rPr>
            </w:pP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0" w:type="dxa"/>
            <w:vAlign w:val="bottom"/>
          </w:tcPr>
          <w:p>
            <w:pPr>
              <w:spacing w:after="0"/>
              <w:rPr>
                <w:sz w:val="1"/>
                <w:szCs w:val="1"/>
                <w:color w:val="auto"/>
              </w:rPr>
            </w:pPr>
          </w:p>
        </w:tc>
      </w:tr>
      <w:tr>
        <w:trPr>
          <w:trHeight w:val="173"/>
        </w:trPr>
        <w:tc>
          <w:tcPr>
            <w:tcW w:w="57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4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82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w w:val="88"/>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82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88"/>
              </w:rPr>
              <w:t>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Our year-over-year yield growth in both 2014 and 2013 was driven largely by our pricing strategy that combines focused effort on price increases with lower rollbacks. Conversely, our revenue growth due to volume has been negatively affected by our pricing strategy, with more significant volume declines during 2014. However, our pricing strategy and our focus on controlling variable costs have consistently provided margin improvements in our collection line of business, although we have seen margin deterioration in our residential line of business throughout 2014. Other drivers affecting the current period average yield include:</w:t>
      </w:r>
    </w:p>
    <w:p>
      <w:pPr>
        <w:spacing w:after="0" w:line="89" w:lineRule="exact"/>
        <w:rPr>
          <w:sz w:val="20"/>
          <w:szCs w:val="20"/>
          <w:color w:val="auto"/>
        </w:rPr>
      </w:pPr>
    </w:p>
    <w:p>
      <w:pPr>
        <w:ind w:left="900" w:right="100" w:hanging="325"/>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instituted in April 2013 to help us recover a portion of the significant regulatory costs and fees, such as host fees and disposal taxes, which have not been recouped by our pricing programs. Revenues generated from this fee are approximately $97 million and $43 million for the years ended December 31, 2014 and 2013, respectively, principally in our collection business, with the most significant impact in our commercial line of business.</w:t>
      </w:r>
    </w:p>
    <w:p>
      <w:pPr>
        <w:spacing w:after="0" w:line="85" w:lineRule="exact"/>
        <w:rPr>
          <w:rFonts w:ascii="Times New Roman" w:cs="Times New Roman" w:eastAsia="Times New Roman" w:hAnsi="Times New Roman"/>
          <w:sz w:val="18"/>
          <w:szCs w:val="18"/>
          <w:color w:val="auto"/>
        </w:rPr>
      </w:pPr>
    </w:p>
    <w:p>
      <w:pPr>
        <w:jc w:val="both"/>
        <w:ind w:left="900" w:right="60" w:hanging="325"/>
        <w:spacing w:after="0" w:line="313"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growth from yield in our industrial line of business was aided by our Energy Services business, which typically has higher average rates due to extended transportation distances, special waste handling costs and higher disposal costs as compared with our typical industrial business.</w:t>
      </w:r>
    </w:p>
    <w:p>
      <w:pPr>
        <w:spacing w:after="0" w:line="43" w:lineRule="exact"/>
        <w:rPr>
          <w:rFonts w:ascii="Times New Roman" w:cs="Times New Roman" w:eastAsia="Times New Roman" w:hAnsi="Times New Roman"/>
          <w:sz w:val="17"/>
          <w:szCs w:val="17"/>
          <w:color w:val="auto"/>
        </w:rPr>
      </w:pPr>
    </w:p>
    <w:p>
      <w:pPr>
        <w:ind w:left="900" w:right="140" w:hanging="325"/>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bidding on residential contracts to improve our yield performance and increase our overall returns. Our effort to increase yield in our residential line of business is a challenge principally due to a very competitive environment. A high percentage of our residential business is in municipal franchise markets, and many municipalities are facing significant budget challenges, which results in increased competition on the basis of price as we rebid contracts and try to win new contracts.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Yield growth from our landfill and transfer station operations also improved slightly for both 2014 and 2013.</w:t>
      </w:r>
    </w:p>
    <w:p>
      <w:pPr>
        <w:spacing w:after="0" w:line="223"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Recycling commodities </w:t>
      </w:r>
      <w:r>
        <w:rPr>
          <w:rFonts w:ascii="Times New Roman" w:cs="Times New Roman" w:eastAsia="Times New Roman" w:hAnsi="Times New Roman"/>
          <w:sz w:val="18"/>
          <w:szCs w:val="18"/>
          <w:color w:val="auto"/>
        </w:rPr>
        <w:t>— Decreases in the prices of the recycling commodities we sell resulted in revenue declines of $53 million and $79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ended December 31, 2014 and 2013, respectively, compared with the same prior year period.</w:t>
      </w:r>
    </w:p>
    <w:p>
      <w:pPr>
        <w:spacing w:after="0" w:line="15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Fuel surcharges and mandated fees — </w:t>
      </w:r>
      <w:r>
        <w:rPr>
          <w:rFonts w:ascii="Times New Roman" w:cs="Times New Roman" w:eastAsia="Times New Roman" w:hAnsi="Times New Roman"/>
          <w:sz w:val="18"/>
          <w:szCs w:val="18"/>
          <w:color w:val="auto"/>
        </w:rPr>
        <w:t>These revenues, which are predominantly generated by our fuel surcharge program, decreased $2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$32 million for the years ended December 31, 2014 and 2013, respectively. These revenues fluctuate in response to changes in the national average prices for diesel fuel on which our surcharge is based. We experienced a fuel price decline of approximately 2.4% in 2014, which caused a slight decrease in our fuel surcharge revenues. These revenues increased in 2013 resulting from a revision of the surcharge calculation implemented to better capture price increases intended to be recovered by the surcharge. The mandated fees included in this line item are primarily related to pass-through fees and taxes assessed by various state, county and municipal government agencies at our landfills and transfer stations.</w:t>
      </w:r>
    </w:p>
    <w:p>
      <w:pPr>
        <w:spacing w:after="0" w:line="183"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Volume </w:t>
      </w:r>
      <w:r>
        <w:rPr>
          <w:rFonts w:ascii="Times New Roman" w:cs="Times New Roman" w:eastAsia="Times New Roman" w:hAnsi="Times New Roman"/>
          <w:sz w:val="18"/>
          <w:szCs w:val="18"/>
          <w:color w:val="auto"/>
        </w:rPr>
        <w:t>— Declines in our volume caused our revenue to decrease $188 million, or 1.4%, and $133 million, or 1.0%, for the years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and 2013, respectively, as compared with prior year periods, driven primarily by declines in our collection business. Our volume fluctuations are generally attributable to economic conditions, pricing changes, competition and diversion of waste by customers. Our revenue growth due to volume has been negatively affected by our pricing strategy. We are experiencing volume declines due to the loss of low margin customers that we are not willing to keep at current rates. Additionally, we are experiencing losses of certain municipal contracts that are up for bid. As a result of both the very competitive environment and our focus on reasonable returns, we continue to face challenges to keep existing contracts and to win new contracts. Finally, we experienced revenue declines associated with the loss of certain large accounts in our WMSBS organization.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drivers affecting the comparability of volumes for the periods presented include:</w:t>
      </w:r>
    </w:p>
    <w:p>
      <w:pPr>
        <w:spacing w:after="0" w:line="131" w:lineRule="exact"/>
        <w:rPr>
          <w:sz w:val="20"/>
          <w:szCs w:val="20"/>
          <w:color w:val="auto"/>
        </w:rPr>
      </w:pPr>
    </w:p>
    <w:p>
      <w:pPr>
        <w:ind w:left="900" w:right="20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revenue declines due to lower volumes in our material recovery facilities in 2014 primarily driven by the rationalization of our underperforming assets. Revenue increased due to higher volumes in 2013 driven by additional recycling capacity that we added in 2012.</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revenue declines of approximately $23 million associated with the severe winter weather conditions in the first quarter of 2014.</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higher landfill volumes in both comparable periods primarily driven by our municipal solid waste business. In addition, higher special waste volumes in the Southern U.S. also contributed to our higher landfill volumes in 2014.</w:t>
      </w:r>
    </w:p>
    <w:p>
      <w:pPr>
        <w:spacing w:after="0" w:line="67" w:lineRule="exact"/>
        <w:rPr>
          <w:rFonts w:ascii="Times New Roman" w:cs="Times New Roman" w:eastAsia="Times New Roman" w:hAnsi="Times New Roman"/>
          <w:sz w:val="18"/>
          <w:szCs w:val="18"/>
          <w:color w:val="auto"/>
        </w:rPr>
      </w:pPr>
    </w:p>
    <w:p>
      <w:pPr>
        <w:ind w:left="900" w:right="108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experienced revenue increases due to higher volumes in our ancillary services, primarily driven by increases in our Energy and Environmental Services, our WM Renewable Energy Program and our portable self-storage services in 2014.</w:t>
      </w:r>
    </w:p>
    <w:p>
      <w:pPr>
        <w:spacing w:after="0" w:line="160" w:lineRule="exact"/>
        <w:rPr>
          <w:sz w:val="20"/>
          <w:szCs w:val="20"/>
          <w:color w:val="auto"/>
        </w:rPr>
      </w:pPr>
    </w:p>
    <w:p>
      <w:pPr>
        <w:jc w:val="both"/>
        <w:ind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and Divestitures </w:t>
      </w:r>
      <w:r>
        <w:rPr>
          <w:rFonts w:ascii="Times New Roman" w:cs="Times New Roman" w:eastAsia="Times New Roman" w:hAnsi="Times New Roman"/>
          <w:sz w:val="18"/>
          <w:szCs w:val="18"/>
          <w:color w:val="auto"/>
        </w:rPr>
        <w:t>— Revenues increased $124 million and $292 million for the years ended December 31, 2014 and 2013, respectively,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acquisitions. The revenue increase due to acquisitions in both 2014 and 2013 was principally associated with the RCI operations acquired in July 2013. To a lesser extent, 2013 revenues increased due to the acquisition of Greenstar in January of that year, which is reported in our “Recycling” line of business.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These revenues were offset partially by revenue decreases of $90 million and $6 million due to divestitures for the years ended 2014 and 2013, respectively. The revenue decrease in 2014 is primarily due to (i) our divestiture of our Puerto Rico operations and certain other collection and landfill assets in the second quarter of 2014; (ii) the divestiture of certain landfill and collection operations in our Eastern Canada Area in the third quarter of 2014; and (iii) the divestiture of our Wheelabrator business in December 2014.</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456"/>
        <w:spacing w:after="0" w:line="269" w:lineRule="auto"/>
        <w:rPr>
          <w:sz w:val="20"/>
          <w:szCs w:val="20"/>
          <w:color w:val="auto"/>
        </w:rPr>
      </w:pPr>
      <w:r>
        <w:rPr>
          <w:rFonts w:ascii="Times New Roman" w:cs="Times New Roman" w:eastAsia="Times New Roman" w:hAnsi="Times New Roman"/>
          <w:sz w:val="17"/>
          <w:szCs w:val="17"/>
          <w:color w:val="auto"/>
        </w:rPr>
        <w:t>Our operating expenses are comprised of (i) labor and related benefits (excluding labor costs associated with maintenance and repairs discussed below), which include salaries and wages, bonuses, related payroll taxes, insurance and benefits costs and the costs associated with contract labor; (ii) transfer and disposal costs, which include tipping fees paid to third-party disposal facilities and transfer stations; (iii) maintenance and repairs relating to equipment, vehicles and facilities and related labor costs; (iv) subcontractor costs, which include the costs of independent haulers who transport waste collected by us to disposal facilities and are affected by variables such as volumes, distance and fuel prices; (v) costs of goods sold, which are primarily rebates paid to suppliers associated with recycling commodities; (vi) fuel costs, which represent the costs of fuel and oil to operate our truck fleet and landfill operating equipment;</w:t>
      </w:r>
    </w:p>
    <w:p>
      <w:pPr>
        <w:ind w:right="20" w:firstLine="8"/>
        <w:spacing w:after="0" w:line="253" w:lineRule="auto"/>
        <w:tabs>
          <w:tab w:leader="none" w:pos="3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disposal and franchise fees and taxes, which include landfill taxes, municipal franchise fees, host community fees, contingent landfill lease payments and royalties; (viii) landfill operating costs, which include interest accretion on landfill liabilities, interest accretion on and discount rate adjustments to environmental remediation liabilities and recovery assets, leachate and methane collection and treatment, landfill remediation costs and other landfill site costs; (ix) risk management costs, which include auto liability, workers’ compensation, general liability and insurance and claim costs and (x) other operating costs, which include telecommunications, equipment and facility rent, property taxes, utilities and supplies.</w:t>
      </w:r>
    </w:p>
    <w:p>
      <w:pPr>
        <w:spacing w:after="0" w:line="18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Our operating expenses decreased $110 million, or 1.2%, when comparing 2014 with 2013 and increased $233 million, or 2.6%, when comparing 2013 with 2012. Operating expenses as a percentage of revenues were 64.3% in 2014, 65.2% in 2013, and 65.1% in 2012.</w:t>
      </w:r>
    </w:p>
    <w:p>
      <w:pPr>
        <w:spacing w:after="0" w:line="160" w:lineRule="exact"/>
        <w:rPr>
          <w:sz w:val="20"/>
          <w:szCs w:val="20"/>
          <w:color w:val="auto"/>
        </w:rPr>
      </w:pPr>
    </w:p>
    <w:p>
      <w:pPr>
        <w:ind w:left="460" w:right="40" w:firstLine="43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Divestitures </w:t>
      </w:r>
      <w:r>
        <w:rPr>
          <w:rFonts w:ascii="Times New Roman" w:cs="Times New Roman" w:eastAsia="Times New Roman" w:hAnsi="Times New Roman"/>
          <w:sz w:val="18"/>
          <w:szCs w:val="18"/>
          <w:color w:val="auto"/>
        </w:rPr>
        <w:t>— During 2014, we divested our Wheelabrator business in the fourth quarter, our Puerto Rico operations and certain other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landfill assets in the second quarter, and certain landfill and collection operations in our Eastern Canada Area in the third quarter. As mentioned above, we estimate that divestitures reduced our annual revenues by $90 million. Commensurately, we estimate our operating expenses decreased by approximately $56 million due to divestitures when compared to the prior year period. The decreases in costs were primarily in (i) labor and related benefits and (ii) maintenance and repairs.</w:t>
      </w:r>
    </w:p>
    <w:p>
      <w:pPr>
        <w:spacing w:after="0" w:line="18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operating expenses, including the impact of foreign currency translation, for the years ended December 31 (dollars in millions), with significant changes in our operating expenses discussed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3"/>
                <w:szCs w:val="13"/>
                <w:color w:val="auto"/>
              </w:rPr>
            </w:pPr>
          </w:p>
        </w:tc>
        <w:tc>
          <w:tcPr>
            <w:tcW w:w="15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3"/>
                <w:szCs w:val="13"/>
                <w:color w:val="auto"/>
              </w:rPr>
            </w:pPr>
          </w:p>
        </w:tc>
        <w:tc>
          <w:tcPr>
            <w:tcW w:w="15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2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Maintenance and repairs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Subcontractor costs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(0.7)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Fuel</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(7.1)</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and franchise fees and taxes</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Landfill operating costs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14.7</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8"/>
                <w:szCs w:val="18"/>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2"/>
              </w:rPr>
              <w:t>(110)</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$ 9,112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233</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$ 8,879</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5620" w:right="1380" w:hanging="4720"/>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The following significant items affected the comparability of expenses for the periods presented.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labor and related benefits in 2014 as compared with 2013 was due to:</w:t>
      </w:r>
    </w:p>
    <w:p>
      <w:pPr>
        <w:spacing w:after="0" w:line="131" w:lineRule="exact"/>
        <w:rPr>
          <w:sz w:val="20"/>
          <w:szCs w:val="20"/>
          <w:color w:val="auto"/>
        </w:rPr>
      </w:pPr>
    </w:p>
    <w:p>
      <w:pPr>
        <w:ind w:left="900" w:right="30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headcount and contract labor due to lower volumes in our collection line of business and operating efficiencies in our recycling line of business;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costs resulting from recent divestitures, particularly the divestiture of our Puerto Rico operations, offset in part by;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wages due to merit increases effective in the second quarter of 2013 and 2014;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health and welfare costs.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labor and related benefits in 2013 as compared with 2012 was due to:</w:t>
      </w:r>
    </w:p>
    <w:p>
      <w:pPr>
        <w:spacing w:after="0" w:line="131"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wages due to merit increases effective in the second quarter of 2013;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incentive compensation expense in 2013;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contract labor principally attributed to the recycling line of business;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acquisitions, principally the Greenstar acquisition, offset in part by;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headcount resulting principally from the flexing of our costs in response to lower collection volumes.</w:t>
      </w:r>
    </w:p>
    <w:p>
      <w:pPr>
        <w:spacing w:after="0" w:line="223"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Maintenance and repairs </w:t>
      </w:r>
      <w:r>
        <w:rPr>
          <w:rFonts w:ascii="Times New Roman" w:cs="Times New Roman" w:eastAsia="Times New Roman" w:hAnsi="Times New Roman"/>
          <w:sz w:val="18"/>
          <w:szCs w:val="18"/>
          <w:color w:val="auto"/>
        </w:rPr>
        <w:t>— The increase in 2013 compared to 2012 was driven by (i) the Greenstar acquisition and (ii) higher internal shop labor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in part to higher incentive compensation and merit increases.</w:t>
      </w:r>
    </w:p>
    <w:p>
      <w:pPr>
        <w:spacing w:after="0" w:line="15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Subcontractor costs — </w:t>
      </w:r>
      <w:r>
        <w:rPr>
          <w:rFonts w:ascii="Times New Roman" w:cs="Times New Roman" w:eastAsia="Times New Roman" w:hAnsi="Times New Roman"/>
          <w:sz w:val="18"/>
          <w:szCs w:val="18"/>
          <w:color w:val="auto"/>
        </w:rPr>
        <w:t>The increase in 2014 was driven by (i) remediation services within our Energy and Environmental Services business and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RCI operations acquired in July 2013; offset in part by the volume decline related to the loss of certain large accounts in our WMSBS organization. The decrease in 2013 was driven primarily by the volume decline associated with the loss of certain large accounts in our WMSBS organization. These decreases were offset, in part, by higher costs associated with the acquired RCI operations.</w:t>
      </w:r>
    </w:p>
    <w:p>
      <w:pPr>
        <w:spacing w:after="0" w:line="18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Cost of goods sold — </w:t>
      </w:r>
      <w:r>
        <w:rPr>
          <w:rFonts w:ascii="Times New Roman" w:cs="Times New Roman" w:eastAsia="Times New Roman" w:hAnsi="Times New Roman"/>
          <w:sz w:val="18"/>
          <w:szCs w:val="18"/>
          <w:color w:val="auto"/>
        </w:rPr>
        <w:t>The decrease in cost of goods sold in 2014 is due to (i) increased efforts to reduce controllable recycling rebates paid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(ii) better alignment of rebate structures to commodity prices for new recycling contracts; (iii) ongoing recycling business improvement efforts around inbound quality control and (iv) lower commodity prices. These cost decreases were offset in part by our business in portable self-storage services and remediation services. The increase in cost of goods sold in 2013 is due in large part to higher customer rebates resulting from higher volumes in our recycling commodity business driven primarily by the acquired Greenstar operations.</w:t>
      </w:r>
    </w:p>
    <w:p>
      <w:pPr>
        <w:spacing w:after="0" w:line="180" w:lineRule="exact"/>
        <w:rPr>
          <w:sz w:val="20"/>
          <w:szCs w:val="20"/>
          <w:color w:val="auto"/>
        </w:rPr>
      </w:pPr>
    </w:p>
    <w:p>
      <w:pPr>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Fuel — </w:t>
      </w:r>
      <w:r>
        <w:rPr>
          <w:rFonts w:ascii="Times New Roman" w:cs="Times New Roman" w:eastAsia="Times New Roman" w:hAnsi="Times New Roman"/>
          <w:sz w:val="18"/>
          <w:szCs w:val="18"/>
          <w:color w:val="auto"/>
        </w:rPr>
        <w:t>The decrease in fuel expense in both 2014 and 2013 when compared to the prior year periods was driven by (i) lower fuel purchases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collection volumes; (ii) lower costs resulting from the conversion of our fleet to CNG vehicles; (iii) lower fuel prices and (iv) retroactive CNG fuel excise credits.</w:t>
      </w:r>
    </w:p>
    <w:p>
      <w:pPr>
        <w:spacing w:after="0" w:line="174" w:lineRule="exact"/>
        <w:rPr>
          <w:sz w:val="20"/>
          <w:szCs w:val="20"/>
          <w:color w:val="auto"/>
        </w:rPr>
      </w:pPr>
    </w:p>
    <w:p>
      <w:pPr>
        <w:ind w:right="1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Disposal and franchise fees and taxes— </w:t>
      </w:r>
      <w:r>
        <w:rPr>
          <w:rFonts w:ascii="Times New Roman" w:cs="Times New Roman" w:eastAsia="Times New Roman" w:hAnsi="Times New Roman"/>
          <w:sz w:val="18"/>
          <w:szCs w:val="18"/>
          <w:color w:val="auto"/>
        </w:rPr>
        <w:t>The increase in costs in both 2014 and 2013 can be attributable to (i) higher disposal fees and taxes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landfill volumes and (ii) higher municipal franchise fees relating to the collection line of business. A disposal surcharge at one of our waste-to-energy facilities in 2013 affected the comparability in both periods.</w:t>
      </w:r>
    </w:p>
    <w:p>
      <w:pPr>
        <w:spacing w:after="0" w:line="174"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Landfill operating costs — </w:t>
      </w:r>
      <w:r>
        <w:rPr>
          <w:rFonts w:ascii="Times New Roman" w:cs="Times New Roman" w:eastAsia="Times New Roman" w:hAnsi="Times New Roman"/>
          <w:sz w:val="18"/>
          <w:szCs w:val="18"/>
          <w:color w:val="auto"/>
        </w:rPr>
        <w:t>Significant items affecting the comparability of expenses for the periods presented include (i) unfavorable adjustments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and 2012 as well as favorable adjustments in 2013 related to changes in U.S. Treasury rates used to discount the present value of our environmental remediation obligations and recovery rates and (ii) higher leachate costs for all comparable periods.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Risk management — </w:t>
      </w:r>
      <w:r>
        <w:rPr>
          <w:rFonts w:ascii="Times New Roman" w:cs="Times New Roman" w:eastAsia="Times New Roman" w:hAnsi="Times New Roman"/>
          <w:sz w:val="18"/>
          <w:szCs w:val="18"/>
          <w:color w:val="auto"/>
        </w:rPr>
        <w:t>The decrease in costs in 2014 was primarily due to lower auto and general liability claims and, to a lesser extent,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workers’ compensation, claims and lower truck insurance expenses. The increase in costs in 2013 was driven principally by higher workers’ compensation claims.</w:t>
      </w:r>
    </w:p>
    <w:p>
      <w:pPr>
        <w:spacing w:after="0" w:line="174" w:lineRule="exact"/>
        <w:rPr>
          <w:sz w:val="20"/>
          <w:szCs w:val="20"/>
          <w:color w:val="auto"/>
        </w:rPr>
      </w:pPr>
    </w:p>
    <w:p>
      <w:pPr>
        <w:jc w:val="both"/>
        <w:ind w:right="4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 </w:t>
      </w:r>
      <w:r>
        <w:rPr>
          <w:rFonts w:ascii="Times New Roman" w:cs="Times New Roman" w:eastAsia="Times New Roman" w:hAnsi="Times New Roman"/>
          <w:sz w:val="18"/>
          <w:szCs w:val="18"/>
          <w:color w:val="auto"/>
        </w:rPr>
        <w:t>The decrease in 2014 is primarily due to the gain on the sale of a vacant facility and lower rental costs. The increased costs in 2013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2012 were due in part to (i) higher telecommunications costs driven by our initiative to equip our fleet with onboard computers; (ii) higher utilities; (iii) higher property taxes and (iv) lower gains on the sale of assets. These increases were offset, in part, by favorable adjustments to contingent consideration associated with acquisitions.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240" w:firstLine="456"/>
        <w:spacing w:after="0" w:line="276" w:lineRule="auto"/>
        <w:rPr>
          <w:sz w:val="20"/>
          <w:szCs w:val="20"/>
          <w:color w:val="auto"/>
        </w:rPr>
      </w:pPr>
      <w:r>
        <w:rPr>
          <w:rFonts w:ascii="Times New Roman" w:cs="Times New Roman" w:eastAsia="Times New Roman" w:hAnsi="Times New Roman"/>
          <w:sz w:val="17"/>
          <w:szCs w:val="17"/>
          <w:color w:val="auto"/>
        </w:rPr>
        <w:t>Our selling, general and administrative expenses consist of (i) labor and related benefit costs, which include salaries, bonuses, related insurance and benefits, contract labor, payroll taxes and equity-based compensation; (ii) professional fees, which include fees for consulting, legal, audit and tax services;</w:t>
      </w:r>
    </w:p>
    <w:p>
      <w:pPr>
        <w:spacing w:after="0" w:line="1" w:lineRule="exact"/>
        <w:rPr>
          <w:sz w:val="20"/>
          <w:szCs w:val="20"/>
          <w:color w:val="auto"/>
        </w:rPr>
      </w:pPr>
    </w:p>
    <w:p>
      <w:pPr>
        <w:ind w:right="20" w:firstLine="8"/>
        <w:spacing w:after="0" w:line="254" w:lineRule="auto"/>
        <w:tabs>
          <w:tab w:leader="none" w:pos="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bad debts, which includes allowances for uncollectible customer accounts and collection fees and (iv) other selling, general and administrative expenses, which include, among other costs, facility-related expenses, voice and data telecommunication, advertising, travel and entertainment, rentals, postage and printing. In addition, the financial impacts of litigation settlements generally are included in our “Other” selling, general and administrative expenses.</w:t>
      </w:r>
    </w:p>
    <w:p>
      <w:pPr>
        <w:spacing w:after="0" w:line="186"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expenses increased by $13 million, or 0.9%, and decreased by $4 million, or 0.3%, when comparing 2014 with 2013 and 2013 with 2012, respectively. Our selling, general and administrative expenses as a percentage of revenues were 10.6% in 2014, 10.5% in 2013 and 10.8% in 2012.</w:t>
      </w:r>
    </w:p>
    <w:p>
      <w:pPr>
        <w:spacing w:after="0" w:line="176" w:lineRule="exact"/>
        <w:rPr>
          <w:sz w:val="20"/>
          <w:szCs w:val="20"/>
          <w:color w:val="auto"/>
        </w:rPr>
      </w:pPr>
    </w:p>
    <w:p>
      <w:pPr>
        <w:jc w:val="both"/>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selling, general and administrative expenses for the years ended December 31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left="117"/>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4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(32)</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bad debts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(19)</w:t>
            </w:r>
          </w:p>
        </w:tc>
        <w:tc>
          <w:tcPr>
            <w:tcW w:w="9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(34)</w:t>
            </w: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8"/>
              </w:rPr>
              <w:t>1,468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Labor and related benefits </w:t>
      </w:r>
      <w:r>
        <w:rPr>
          <w:rFonts w:ascii="Times New Roman" w:cs="Times New Roman" w:eastAsia="Times New Roman" w:hAnsi="Times New Roman"/>
          <w:sz w:val="18"/>
          <w:szCs w:val="18"/>
          <w:color w:val="auto"/>
        </w:rPr>
        <w:t>— Factors affecting the year-over-year changes in our labor and related benefits costs include:</w:t>
      </w:r>
    </w:p>
    <w:p>
      <w:pPr>
        <w:spacing w:after="0" w:line="133"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Merit increases;</w:t>
      </w:r>
    </w:p>
    <w:p>
      <w:pPr>
        <w:spacing w:after="0" w:line="130" w:lineRule="exact"/>
        <w:rPr>
          <w:rFonts w:ascii="Times New Roman" w:cs="Times New Roman" w:eastAsia="Times New Roman" w:hAnsi="Times New Roman"/>
          <w:sz w:val="18"/>
          <w:szCs w:val="18"/>
          <w:color w:val="auto"/>
        </w:rPr>
      </w:pPr>
    </w:p>
    <w:p>
      <w:pPr>
        <w:ind w:left="900" w:right="82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incentive compensation cost, particularly in 2013, as compared with the prior year periods, including bonuses and equity-based compensation;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health and welfare costs in 2014 as compared to 2013; and</w:t>
      </w:r>
    </w:p>
    <w:p>
      <w:pPr>
        <w:spacing w:after="0" w:line="130"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Year-over-year labor and related benefits cost savings of approximately $40 million in 2014 and $45 million in 2013 from restructuring plans implemented in 2014 and 2012.</w:t>
      </w:r>
    </w:p>
    <w:p>
      <w:pPr>
        <w:spacing w:after="0" w:line="160" w:lineRule="exact"/>
        <w:rPr>
          <w:sz w:val="20"/>
          <w:szCs w:val="20"/>
          <w:color w:val="auto"/>
        </w:rPr>
      </w:pPr>
    </w:p>
    <w:p>
      <w:pPr>
        <w:jc w:val="both"/>
        <w:ind w:right="40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 Our professional fees continued to decline during 2014 as a result of our concerted effort to reduce consulting fees. Our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fees were lower as we incurred significant fees during 2012 resulting from company-wide initiatives. The lower consulting fees were partially offset by higher legal fees in 2014 as compared to 2013.</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100" w:firstLine="456"/>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Provision for bad debts </w:t>
      </w:r>
      <w:r>
        <w:rPr>
          <w:rFonts w:ascii="Times New Roman" w:cs="Times New Roman" w:eastAsia="Times New Roman" w:hAnsi="Times New Roman"/>
          <w:sz w:val="17"/>
          <w:szCs w:val="17"/>
          <w:color w:val="auto"/>
        </w:rPr>
        <w:t>— Our provision for bad debts decreased in 2013 as compared to 2012 primarily as a result of (i) the collection of certain fully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reserved receivables related to our Puerto Rico operations and (ii) resolution of billing delay issues experienced during 2012 in our WMSBS organization.</w:t>
      </w:r>
    </w:p>
    <w:p>
      <w:pPr>
        <w:spacing w:after="0" w:line="13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In 2014, increased costs resulting principally from litigation settlements were partially offset by a decline in controllable costs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and travel and entertainment costs. In 2013, controllable costs associated with (i) building and equipment; (ii) advertising; (iii) computer and telecommunication; (iv) travel and entertainment and (v) seminars and education declined primarily as a result of our July 2012 restructuring and focus on cost-control initiatives.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Depreciation and amortization includes (i) depreciation of property and equipment, including assets recorded for capital leases, on a straight-line basis from three to 50 years; (ii) amortization of landfill costs, including those incurred and all estimated future costs for landfill development, construction and asset retirement costs arising from closure and post-closure, on a units-of-consumption method as landfill airspace is consumed over the total estimated remaining capacity of a site, which includes both permitted capacity and expansion capacity that meets our Company-specific criteria for amortization purposes; (iii) amortization of landfill asset retirement costs arising from final capping obligations on a units-of-consumption method as airspace is consumed over the estimated capacity associated with each final capping event and (iv) amortization of intangible assets with a definite life, using either a 150% declining balance approach or a straight-line basis over the definitive terms of the related agreements, which are generally from two to 15 years depending on the type of asset.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components of our depreciation and amortization expenses for the years ended December 31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left="201"/>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40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3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$(19)</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1,292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(41</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1,333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decrease in depreciation and amortization expense during 2014 is primarily attributable to favorable adjustments resulting from changes in landfill estimates and fixed asset depreciation that was suspended when our Wheelabrator business was classified as held-for-sale in the third quarter of 2014 and subsequently sold in December 2014. The increase in amortization of intangible assets in 2013 that continued in 2014 is primarily related to the amortization of customer relationships acquired through our acquisition of RCI.</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August 2014, we announced a consolidation and realignment of several Corporate functions to better support achievement of the Company’s strategic goals, including cost reduction. Voluntary separation arrangements were offered to all salaried employees within these organizations. Approximately 650 employees have separated from our Corporate and recycling organizations in connection with this restructuring, but we do not anticipate that all of these positions will be permanently eliminated.</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 We do not expect to incur any material charges associated with our 2014 restructuring in future periods.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and RCI and our 2012 restructurings. The remaining charges were primarily related to operating lease obligations for property that will no longer be utilized.</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July 2012, we announced a reorganization of operations, designed to streamline management and staff support and reduce our 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employees.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2012, we recognized a total of $67 million of pre-tax restructuring charges, of which $56 million were primarily related to employee severance and benefit costs associated with these reorganizations. The remaining charges were primarily related to operating lease obligations for property that will no longer be utilized.</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 xml:space="preserve">During the year ended December 31, 2014, we recognized $10 million of goodwill impairment charges associated with our recycling operations. 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During the year ended December 31, 2012, we recognized goodwill impairment charges of $4 million related to certain of our non-Solid Waste operations. See Item 7. Management’s Discussion and Analysis of Financial Condition and Results of Operations — </w:t>
      </w:r>
      <w:r>
        <w:rPr>
          <w:rFonts w:ascii="Times New Roman" w:cs="Times New Roman" w:eastAsia="Times New Roman" w:hAnsi="Times New Roman"/>
          <w:sz w:val="18"/>
          <w:szCs w:val="18"/>
          <w:i w:val="1"/>
          <w:iCs w:val="1"/>
          <w:color w:val="auto"/>
        </w:rPr>
        <w:t>Critical Estimates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Assumptions — Asset Impairments </w:t>
      </w:r>
      <w:r>
        <w:rPr>
          <w:rFonts w:ascii="Times New Roman" w:cs="Times New Roman" w:eastAsia="Times New Roman" w:hAnsi="Times New Roman"/>
          <w:sz w:val="18"/>
          <w:szCs w:val="18"/>
          <w:color w:val="auto"/>
        </w:rPr>
        <w:t>and Notes 3 and 6 to the Consolidated Financial Statements for additional information related to these impairment charges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the accounting policy and analysis involved in identifying and calculating impairments.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Expense from Divestitures, Asset Impairments (Other than Goodwill) and Unusual Items</w:t>
      </w:r>
    </w:p>
    <w:p>
      <w:pPr>
        <w:spacing w:after="0" w:line="121"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“(Income) expense from divestitures, asset impairments and unusual items” for the year ended December 31 for the respective periods (in millions):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expense from divestitures</w:t>
            </w:r>
          </w:p>
        </w:tc>
        <w:tc>
          <w:tcPr>
            <w:tcW w:w="2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$(515)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w:t>
            </w:r>
          </w:p>
        </w:tc>
        <w:tc>
          <w:tcPr>
            <w:tcW w:w="2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79</w:t>
            </w:r>
          </w:p>
        </w:tc>
        <w:tc>
          <w:tcPr>
            <w:tcW w:w="100" w:type="dxa"/>
            <w:vAlign w:val="bottom"/>
          </w:tcPr>
          <w:p>
            <w:pPr>
              <w:spacing w:after="0"/>
              <w:rPr>
                <w:sz w:val="18"/>
                <w:szCs w:val="18"/>
                <w:color w:val="auto"/>
              </w:rPr>
            </w:pPr>
          </w:p>
        </w:tc>
      </w:tr>
      <w:tr>
        <w:trPr>
          <w:trHeight w:val="27"/>
        </w:trPr>
        <w:tc>
          <w:tcPr>
            <w:tcW w:w="4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4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79</w:t>
            </w:r>
          </w:p>
        </w:tc>
        <w:tc>
          <w:tcPr>
            <w:tcW w:w="10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2014, we recognized net income of $170 million, primarily related to the following:</w:t>
      </w:r>
    </w:p>
    <w:p>
      <w:pPr>
        <w:spacing w:after="0" w:line="129" w:lineRule="exact"/>
        <w:rPr>
          <w:sz w:val="20"/>
          <w:szCs w:val="20"/>
          <w:color w:val="auto"/>
        </w:rPr>
      </w:pPr>
    </w:p>
    <w:p>
      <w:pPr>
        <w:ind w:left="900" w:right="40" w:hanging="325"/>
        <w:spacing w:after="0" w:line="261"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expense from divestitures </w:t>
      </w:r>
      <w:r>
        <w:rPr>
          <w:rFonts w:ascii="Times New Roman" w:cs="Times New Roman" w:eastAsia="Times New Roman" w:hAnsi="Times New Roman"/>
          <w:sz w:val="18"/>
          <w:szCs w:val="18"/>
          <w:color w:val="auto"/>
        </w:rPr>
        <w:t>— We recognized net gains of $515 million, primarily as a result of a $519 million gain on the sale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Wheelabrator business and an $18 million gain on the sale of certain landfill and collection operations in our Eastern Canada Area. Partially offsetting these gains was a $25 million loss on the divestiture of our Puerto Rico operations and certain other collection and landfill assets. Refer to Note 19 for additional information related to our divestitures.</w:t>
      </w:r>
    </w:p>
    <w:p>
      <w:pPr>
        <w:spacing w:after="0" w:line="85" w:lineRule="exact"/>
        <w:rPr>
          <w:rFonts w:ascii="Times New Roman" w:cs="Times New Roman" w:eastAsia="Times New Roman" w:hAnsi="Times New Roman"/>
          <w:sz w:val="18"/>
          <w:szCs w:val="18"/>
          <w:color w:val="auto"/>
        </w:rPr>
      </w:pPr>
    </w:p>
    <w:p>
      <w:pPr>
        <w:ind w:left="900" w:right="20" w:hanging="325"/>
        <w:spacing w:after="0" w:line="284"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Oil and gas properties impairments </w:t>
      </w:r>
      <w:r>
        <w:rPr>
          <w:rFonts w:ascii="Times New Roman" w:cs="Times New Roman" w:eastAsia="Times New Roman" w:hAnsi="Times New Roman"/>
          <w:sz w:val="18"/>
          <w:szCs w:val="18"/>
          <w:color w:val="auto"/>
        </w:rPr>
        <w:t>— We recognized $272 million of charges to impair certain of our oil and gas producing properties,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pronounced decrease in oil and gas prices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the fourth quarter of 2014. We wrote down the carrying value of these properties to their estimated fair value using an income approach.</w:t>
      </w:r>
    </w:p>
    <w:p>
      <w:pPr>
        <w:spacing w:after="0" w:line="129" w:lineRule="exact"/>
        <w:rPr>
          <w:sz w:val="20"/>
          <w:szCs w:val="20"/>
          <w:color w:val="auto"/>
        </w:rPr>
      </w:pPr>
    </w:p>
    <w:p>
      <w:pPr>
        <w:ind w:left="900" w:right="480" w:hanging="325"/>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We recognized additional impairment charges of $73 million to write down assets in our waste diversion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recycling and medical waste operations.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2013, we recognized net charges of $464 million, primarily related to the following:</w:t>
      </w:r>
    </w:p>
    <w:p>
      <w:pPr>
        <w:spacing w:after="0" w:line="129" w:lineRule="exact"/>
        <w:rPr>
          <w:sz w:val="20"/>
          <w:szCs w:val="20"/>
          <w:color w:val="auto"/>
        </w:rPr>
      </w:pPr>
    </w:p>
    <w:p>
      <w:pPr>
        <w:ind w:left="900" w:hanging="325"/>
        <w:spacing w:after="0" w:line="25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Landfill impairments </w:t>
      </w:r>
      <w:r>
        <w:rPr>
          <w:rFonts w:ascii="Times New Roman" w:cs="Times New Roman" w:eastAsia="Times New Roman" w:hAnsi="Times New Roman"/>
          <w:sz w:val="18"/>
          <w:szCs w:val="18"/>
          <w:color w:val="auto"/>
        </w:rPr>
        <w:t>— We recognized $262 million of charges to impair certain of our landfills, primarily as a result of our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90"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Waste-to-energy impairments </w:t>
      </w:r>
      <w:r>
        <w:rPr>
          <w:rFonts w:ascii="Times New Roman" w:cs="Times New Roman" w:eastAsia="Times New Roman" w:hAnsi="Times New Roman"/>
          <w:sz w:val="18"/>
          <w:szCs w:val="18"/>
          <w:color w:val="auto"/>
        </w:rPr>
        <w:t>— We recognized $144 million of impairment charges relating to three waste-to-energy facilities, primarily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The remainder of our 2013 charges were attributable to (i) $31 million of charges to impair various recycling assets;</w:t>
      </w:r>
    </w:p>
    <w:p>
      <w:pPr>
        <w:spacing w:after="0" w:line="29" w:lineRule="exact"/>
        <w:rPr>
          <w:rFonts w:ascii="Times New Roman" w:cs="Times New Roman" w:eastAsia="Times New Roman" w:hAnsi="Times New Roman"/>
          <w:sz w:val="18"/>
          <w:szCs w:val="18"/>
          <w:color w:val="auto"/>
        </w:rPr>
      </w:pPr>
    </w:p>
    <w:p>
      <w:pPr>
        <w:ind w:left="9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$20 million of charges to write down assets related to a majority-owned waste diversion technology company and (iii) a $15 million charge to write down the carrying value of an oil and gas property to its estimated fair value.</w:t>
      </w:r>
    </w:p>
    <w:p>
      <w:pPr>
        <w:spacing w:after="0" w:line="8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Partially offsetting these charges were $8 million of net gains on divestitures.</w:t>
      </w:r>
    </w:p>
    <w:p>
      <w:pPr>
        <w:spacing w:after="0" w:line="22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2012, we recognized impairment charges of $79 million, attributable to (i) $45 million of charges related to three facilities in our medical waste services business as a result of projected operating losses at each of these facilities; (ii) $20 million of charges related to investments in waste diversion technology companies and (iii) other charges to write down the carrying value of assets to their estimated fair values, all of which are individually immaterial.</w:t>
      </w:r>
    </w:p>
    <w:p>
      <w:pPr>
        <w:spacing w:after="0" w:line="178" w:lineRule="exact"/>
        <w:rPr>
          <w:sz w:val="20"/>
          <w:szCs w:val="20"/>
          <w:color w:val="auto"/>
        </w:rPr>
      </w:pPr>
    </w:p>
    <w:p>
      <w:pPr>
        <w:jc w:val="both"/>
        <w:ind w:right="8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See Item 7. Management’s Discussion and Analysis of Financial Condition and Results of Operations — </w:t>
      </w:r>
      <w:r>
        <w:rPr>
          <w:rFonts w:ascii="Times New Roman" w:cs="Times New Roman" w:eastAsia="Times New Roman" w:hAnsi="Times New Roman"/>
          <w:sz w:val="18"/>
          <w:szCs w:val="18"/>
          <w:i w:val="1"/>
          <w:iCs w:val="1"/>
          <w:color w:val="auto"/>
        </w:rPr>
        <w:t>Critical Accounting Estimates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Assumptions — Asset Impairments </w:t>
      </w:r>
      <w:r>
        <w:rPr>
          <w:rFonts w:ascii="Times New Roman" w:cs="Times New Roman" w:eastAsia="Times New Roman" w:hAnsi="Times New Roman"/>
          <w:sz w:val="18"/>
          <w:szCs w:val="18"/>
          <w:color w:val="auto"/>
        </w:rPr>
        <w:t>for additional information related to the accounting policy and analysis involved in identifying and calculating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w:t>
      </w:r>
    </w:p>
    <w:p>
      <w:pPr>
        <w:spacing w:after="0" w:line="176"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In addition to the impairments discussed above, we are continuing to evaluate opportunities associated with the sale or discontinued use of assets that may no longer meet our strategic objectives or are underperforming. Accordingly, it is possible that additional charges may be recorded as assets are sold or become held-for-sale.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income from operations for the years ended December 31 (dollars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00" w:type="dxa"/>
            <w:vAlign w:val="bottom"/>
          </w:tcPr>
          <w:p>
            <w:pPr>
              <w:spacing w:after="0"/>
              <w:rPr>
                <w:sz w:val="13"/>
                <w:szCs w:val="13"/>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Period-to-</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Period Change</w:t>
            </w: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Period Change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2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Tier 1</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2</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1,318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1,291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1,270</w:t>
            </w:r>
          </w:p>
        </w:tc>
        <w:tc>
          <w:tcPr>
            <w:tcW w:w="0" w:type="dxa"/>
            <w:vAlign w:val="bottom"/>
          </w:tcPr>
          <w:p>
            <w:pPr>
              <w:spacing w:after="0"/>
              <w:rPr>
                <w:sz w:val="1"/>
                <w:szCs w:val="1"/>
                <w:color w:val="auto"/>
              </w:rPr>
            </w:pPr>
          </w:p>
        </w:tc>
      </w:tr>
      <w:tr>
        <w:trPr>
          <w:trHeight w:val="216"/>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Tier 3</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(213)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Solid Waste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2,799</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2,434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(191)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2,625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1,186</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(630)</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2,299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1,220</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1,079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(772)</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1,851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20" w:hanging="212"/>
        <w:spacing w:after="0"/>
        <w:tabs>
          <w:tab w:leader="none" w:pos="22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Percentage change does not provide a meaningful comparison.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Items affecting the comparability of our results of operations include (i) charges associated with our August 2014 and July 2012 restructurings;</w:t>
      </w:r>
    </w:p>
    <w:p>
      <w:pPr>
        <w:spacing w:after="0" w:line="27" w:lineRule="exact"/>
        <w:rPr>
          <w:sz w:val="20"/>
          <w:szCs w:val="20"/>
          <w:color w:val="auto"/>
        </w:rPr>
      </w:pPr>
    </w:p>
    <w:p>
      <w:pPr>
        <w:ind w:right="460" w:firstLine="8"/>
        <w:spacing w:after="0" w:line="261"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benefits realized as a result of these restructurings and ongoing cost containment efforts; (iii) increased labor costs due to merit increases effective in 2014 and 2013 and (iv) lower 2012 year-over-year incentive compensation costs.</w:t>
      </w:r>
    </w:p>
    <w:p>
      <w:pPr>
        <w:spacing w:after="0" w:line="178"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Solid Waste — </w:t>
      </w:r>
      <w:r>
        <w:rPr>
          <w:rFonts w:ascii="Times New Roman" w:cs="Times New Roman" w:eastAsia="Times New Roman" w:hAnsi="Times New Roman"/>
          <w:sz w:val="18"/>
          <w:szCs w:val="18"/>
          <w:color w:val="auto"/>
        </w:rPr>
        <w:t>The comparability of our income from operations for the periods presented is driven by $279 million of net charges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impairments recognized in 2013. The most significant impairment charges were in our Eastern Canada Area, which is included in Tier 3, and were associated with the impairment of certain landfills as discussed above in </w:t>
      </w:r>
      <w:r>
        <w:rPr>
          <w:rFonts w:ascii="Times New Roman" w:cs="Times New Roman" w:eastAsia="Times New Roman" w:hAnsi="Times New Roman"/>
          <w:sz w:val="18"/>
          <w:szCs w:val="18"/>
          <w:i w:val="1"/>
          <w:iCs w:val="1"/>
          <w:color w:val="auto"/>
        </w:rPr>
        <w:t>(Income) Expense from Divestitures, Asset Impairments (Other than Goodwill) and Unusual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Items</w:t>
      </w:r>
      <w:r>
        <w:rPr>
          <w:rFonts w:ascii="Times New Roman" w:cs="Times New Roman" w:eastAsia="Times New Roman" w:hAnsi="Times New Roman"/>
          <w:sz w:val="18"/>
          <w:szCs w:val="18"/>
          <w:color w:val="auto"/>
        </w:rPr>
        <w:t>. Other significant items affecting the results of operations of our Solid Waste business during the three years ended December 31, 2014 are summarized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w:t>
      </w:r>
    </w:p>
    <w:p>
      <w:pPr>
        <w:spacing w:after="0" w:line="87" w:lineRule="exact"/>
        <w:rPr>
          <w:sz w:val="20"/>
          <w:szCs w:val="20"/>
          <w:color w:val="auto"/>
        </w:rPr>
      </w:pPr>
    </w:p>
    <w:p>
      <w:pPr>
        <w:ind w:left="900" w:right="60" w:hanging="325"/>
        <w:spacing w:after="0" w:line="282"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base business benefited from (i) internal revenue growth, principally in our collection and disposal business; (ii) increased fuel cost recovery and (iii) decreased fuel costs. These favorable variances were offset, in part, by net cost increases driven by higher operating expenses in 2013;</w:t>
      </w:r>
    </w:p>
    <w:p>
      <w:pPr>
        <w:spacing w:after="0" w:line="67" w:lineRule="exact"/>
        <w:rPr>
          <w:rFonts w:ascii="Times New Roman" w:cs="Times New Roman" w:eastAsia="Times New Roman" w:hAnsi="Times New Roman"/>
          <w:sz w:val="18"/>
          <w:szCs w:val="18"/>
          <w:color w:val="auto"/>
        </w:rPr>
      </w:pPr>
    </w:p>
    <w:p>
      <w:pPr>
        <w:ind w:left="900" w:right="60" w:hanging="325"/>
        <w:spacing w:after="0" w:line="25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recycling business contributed favorably in 2014 when compared to the prior period principally due to (i) increased efforts to reduce controllable recycling rebates paid to customers; (ii) better alignment of rebate structures to commodity prices for new recycling contracts and (iii) ongoing business improvement efforts around inbound quality control. These favorable variances more than offset lower market prices for recyclable commodities and lower volumes. Results from our recycling business contributed unfavorably in 2013 when compared to the prior period primarily due to (i) lower prices for commodities; (ii) higher processing costs driven in part by increased outbound quality control in 2013 and (iii) operating losses related to the operations of Greenstar acquired in 2013.</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following items affected comparability of 2014 to 2013 within specific segments:</w:t>
      </w:r>
    </w:p>
    <w:p>
      <w:pPr>
        <w:spacing w:after="0" w:line="131" w:lineRule="exact"/>
        <w:rPr>
          <w:sz w:val="20"/>
          <w:szCs w:val="20"/>
          <w:color w:val="auto"/>
        </w:rPr>
      </w:pPr>
    </w:p>
    <w:p>
      <w:pPr>
        <w:ind w:left="900" w:right="10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on the sale of our Puerto Rico operations and certain other collection and landfill assets in 2014, which were included in Tier 3 and Tier 1, respectively;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in the first quarter of 2014 unfavorably affected income from operations primarily in Tier 2;</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on the sale of certain landfill and collection operations in our Eastern Canada Area in 2014, which were included in Tier 3;</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accretive benefits of the RCI operations acquired in July 2013, which are included in Tier 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on the sale of a vacant facility in 2014, which was included in Tier 3;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reversal of a reserve in 2014 due to a favorable litigation resolution, which was included in Tier 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following items affected comparability of 2013 to 2012 within specific segments:</w:t>
      </w:r>
    </w:p>
    <w:p>
      <w:pPr>
        <w:spacing w:after="0" w:line="131" w:lineRule="exact"/>
        <w:rPr>
          <w:sz w:val="20"/>
          <w:szCs w:val="20"/>
          <w:color w:val="auto"/>
        </w:rPr>
      </w:pPr>
    </w:p>
    <w:p>
      <w:pPr>
        <w:ind w:left="900" w:right="80" w:hanging="325"/>
        <w:spacing w:after="0" w:line="282"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bad debt expense during 2013 due primarily to the collection of receivables previously reserved during 2012, principally in Puerto Rico, which was included in Tier 3;</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accretive benefits of the RCI operations acquired, as discussed above;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for the withdrawal from an underfunded multiemployer pension plan in New England in 2012, which is included in Tier 2;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due to a labor union dispute in the Pacific Northwest Area in 2012, which is included in Tier 3.</w:t>
      </w:r>
    </w:p>
    <w:p>
      <w:pPr>
        <w:spacing w:after="0" w:line="22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Wheelabrator — </w:t>
      </w:r>
      <w:r>
        <w:rPr>
          <w:rFonts w:ascii="Times New Roman" w:cs="Times New Roman" w:eastAsia="Times New Roman" w:hAnsi="Times New Roman"/>
          <w:sz w:val="18"/>
          <w:szCs w:val="18"/>
          <w:color w:val="auto"/>
        </w:rPr>
        <w:t>The most significant items affecting the results of operations of our Wheelabrator business in 2014 and 2013 were (i) a $519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gain on sale of our Wheelabrator business in December 2014 and (ii) $627 million of pre-tax charges to impair goodwill and certain waste-to-energy facilities in 2013 as discussed above in </w:t>
      </w:r>
      <w:r>
        <w:rPr>
          <w:rFonts w:ascii="Times New Roman" w:cs="Times New Roman" w:eastAsia="Times New Roman" w:hAnsi="Times New Roman"/>
          <w:sz w:val="18"/>
          <w:szCs w:val="18"/>
          <w:i w:val="1"/>
          <w:iCs w:val="1"/>
          <w:color w:val="auto"/>
        </w:rPr>
        <w:t>Goodwill Impairments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(Income) Expense from Divestitures, Asset Impairments (Other than Goodwill) and Unusual Items.</w:t>
      </w:r>
      <w:r>
        <w:rPr>
          <w:rFonts w:ascii="Times New Roman" w:cs="Times New Roman" w:eastAsia="Times New Roman" w:hAnsi="Times New Roman"/>
          <w:sz w:val="18"/>
          <w:szCs w:val="18"/>
          <w:color w:val="auto"/>
        </w:rPr>
        <w:t xml:space="preserve"> Other items contributing to the variability included (i) higher year-over-year electricity prices at our merchant waste-to-energy facilities and (ii) impairment charges at a waste-to-energy facility as a result of projected operating losses in 2013.</w:t>
      </w:r>
    </w:p>
    <w:p>
      <w:pPr>
        <w:spacing w:after="0" w:line="180"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Our “Other” income from operations includes (i) those elements of our landfill gas-to-energy operations and third-party subcontract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revenues managed by our Energy and Environmental Services and Renewable Energy organizations, that are not included with the operations of our reportable segments; (ii) our recycling brokerage and electronic recycling services and (iii) the results of investments that we are making in expanded service offerings, such as portable self-storage and fluorescent lamp recycling, and in oil and gas producing properties. In addition, our “Other” income from operations reflects the results of non-operating entities that provide financial assurance and self-insurance support for our Solid Waste.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Significant items affecting the comparability of expenses for the periods presented include:</w:t>
      </w:r>
    </w:p>
    <w:p>
      <w:pPr>
        <w:spacing w:after="0" w:line="131"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of $339 million and $59 million primarily related to impairments recognized in 2014 and 2013, respectively;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results in our Strategic Business Solutions as a result of our system and process enhancements;</w:t>
      </w:r>
    </w:p>
    <w:p>
      <w:pPr>
        <w:spacing w:after="0" w:line="130"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adjustments in 2014 and 2013 to contingent consideration associated with the Greenstar acquisition, offset by higher administrative and restructuring costs associated with the acquired operations in 2013;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results in our organics and medical waste services in 2013.</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Corporate and Other — </w:t>
      </w:r>
      <w:r>
        <w:rPr>
          <w:rFonts w:ascii="Times New Roman" w:cs="Times New Roman" w:eastAsia="Times New Roman" w:hAnsi="Times New Roman"/>
          <w:sz w:val="18"/>
          <w:szCs w:val="18"/>
          <w:color w:val="auto"/>
        </w:rPr>
        <w:t>Significant items affecting the comparability of expenses for the periods presented include:</w:t>
      </w:r>
    </w:p>
    <w:p>
      <w:pPr>
        <w:spacing w:after="0" w:line="133"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recognized in 2014 and subsequent benefits realized as a result of the restructuring;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for the settlement of a legal dispute and related fees in 2014;</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health and welfare costs in 2014;</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60" w:hanging="325"/>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adjustments in both 2014 and 2012 as well as favorable adjustments in 2013 related to changes in U.S. Treasury rates used to discount the present value of our environmental remediation obligations and recovery assets;</w:t>
      </w:r>
    </w:p>
    <w:p>
      <w:pPr>
        <w:spacing w:after="0" w:line="67"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professional fees continued to decline during 2014 as a result of our concerted effort to reduce consulting fees. Our 2013 consulting fees were lower as we incurred significant fees during 2012 resulting from company-wide initiatives; and</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risk management allocation in 2014 and higher year-over-year risk management expense in 2013 primarily due to increased overall costs associated with auto and general liability insurance.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interest expense, net was $466 million in 2014, $477 million in 2013 and $484 million in 2012. During 2014, the decrease in interest expense was primarily attributable to (i) the impacts that lower market interest rates have had on certain of our tax-exempt debt; (ii) issuing new debt at lower fixed interest rates than debt repaid upon scheduled maturities and (iii) reduced costs associated with our letter of credit facilities due to improvements in the Company’s overall credit rating. These decreases were partially offset by increases in expense associated with our terminated interest rate swaps due to the maturity of the underlying senior notes. In December 2014, the Company decided to redeem $947 million of senior notes due in 2015, 2017 and 2019 with a weighted average coupon rate of 7.0%. The Company incurred a make-whole premium of $130 million to repay these notes with available cash in January 2015. We anticipate that a near-term refinancing of these debt balances will reduce interest expense in future years.</w:t>
      </w:r>
    </w:p>
    <w:p>
      <w:pPr>
        <w:spacing w:after="0" w:line="189"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During 2013, our debt balances increased by approximately $300 million, which can generally be attributed to the debt financing of our acquisition of RCI offset by debt repayments. In spite of this increase in debt, we reduced our interest costs by (i) reducing the interest rate periods of some of our tax-exempt bonds, allowing us to benefit from lower rates available for shorter-term remarketings; (ii) issuing new debt at lower fixed interest rates than debt repaid upon scheduled maturities and (iii) reducing the cost of our revolving credit facility by amending the credit agreement to provide for lower fees and rates.</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 xml:space="preserve">We recognized “Equity in net losses of unconsolidated entities” of $53 million, $34 million and $46 million in 2014, 2013 and 2012, respectively. These losses are primarily related to our noncontrolling interests in two limited liability companies established to invest in and manage low-income housing properties and a refined coal facility, as well as (i) noncontrolling investments made to support our strategic initiatives and (ii) unconsolidated trusts for final capping, closure, post-closure or environmental obligations. The tax impacts realized as a result of our investments in low-income housing properties and the refined coal facility are discussed below 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Refer to Notes 9 and 20 to the Consolidated Financial Statements for more information related to these investments. The expense in 2014 as compared to 2013 was impacted by charges of $11 million in 2014 primarily to write down equity method investments in waste diversion technology companies to their fair value. The expense in 2013 as compared to 2012 was impacted by a charge of $10 million in 2012 related to a payment we made under a guarantee on behalf of an equity method investment in an unconsolidated entity that went into liquidation.</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net</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recognized other, net expense of $29 million, $74 million and $18 million in 2014, 2013 and 2012, respectively. The expenses for 2014, 2013 and 2012 were impacted by impairment charges of $22 million, $71 million and $16 million, respectively, related to other-than-temporary declines in the value of investments in waste diversion technology companies which were accounted for under the cost method. We wrote down our investments to their fair value which was primarily determined using an income approach based on estimated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future cash flow projections and, to a lesser extent, third-party investors’ recent transactions in these securities. Partially offsetting the 2013 charges was a $4 million gain on the sale of a similar investment. The remaining expenses recognized during the reported periods are primarily related to the impact of foreign currency translation.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firstLine="456"/>
        <w:spacing w:after="0" w:line="277" w:lineRule="auto"/>
        <w:rPr>
          <w:sz w:val="20"/>
          <w:szCs w:val="20"/>
          <w:color w:val="auto"/>
        </w:rPr>
      </w:pPr>
      <w:r>
        <w:rPr>
          <w:rFonts w:ascii="Times New Roman" w:cs="Times New Roman" w:eastAsia="Times New Roman" w:hAnsi="Times New Roman"/>
          <w:sz w:val="17"/>
          <w:szCs w:val="17"/>
          <w:color w:val="auto"/>
        </w:rPr>
        <w:t>We recorded provisions for income taxes of $413 million in 2014, $364 million in 2013 and $443 million in 2012. These tax provisions resulted in an effective income tax rate of approximately 23.6%, 73.8% and 34.0% for the years ended 2014, 2013 and 2012, respectively. The comparability of our reported income taxes for the years ended December 31, 2014, 2013 and 2012 is primarily affected by (i) variations in our income before income taxes; (ii) the tax implications of divestitures; (iii) federal tax credits; (iv) adjustments to our accruals and related deferred taxes; (v) tax audit settlements; (vi) the realization of federal and state net operating loss and credit carry-forwards and (vii) the tax implications of impairments. The impacts of these items are summarized below:</w:t>
      </w:r>
    </w:p>
    <w:p>
      <w:pPr>
        <w:spacing w:after="0" w:line="72" w:lineRule="exact"/>
        <w:rPr>
          <w:sz w:val="20"/>
          <w:szCs w:val="20"/>
          <w:color w:val="auto"/>
        </w:rPr>
      </w:pPr>
    </w:p>
    <w:p>
      <w:pPr>
        <w:ind w:left="900" w:right="260" w:hanging="325"/>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Implications of Divestitures </w:t>
      </w:r>
      <w:r>
        <w:rPr>
          <w:rFonts w:ascii="Times New Roman" w:cs="Times New Roman" w:eastAsia="Times New Roman" w:hAnsi="Times New Roman"/>
          <w:sz w:val="18"/>
          <w:szCs w:val="18"/>
          <w:color w:val="auto"/>
        </w:rPr>
        <w:t>— During 2014, the Company recorded a net gain of $515 million primarily related to the divestiture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Wheelabrator business, our Puerto Rico operations and certain landfill and collection operations in our Eastern Canada Area. Had this net gain been fully taxable, our provision for income taxes would have increased by $138 million. Refer to Note 19 to the Consolidated Financial Statements for more information related to divestitures.</w:t>
      </w:r>
    </w:p>
    <w:p>
      <w:pPr>
        <w:spacing w:after="0" w:line="85" w:lineRule="exact"/>
        <w:rPr>
          <w:rFonts w:ascii="Times New Roman" w:cs="Times New Roman" w:eastAsia="Times New Roman" w:hAnsi="Times New Roman"/>
          <w:sz w:val="18"/>
          <w:szCs w:val="18"/>
          <w:color w:val="auto"/>
        </w:rPr>
      </w:pPr>
    </w:p>
    <w:p>
      <w:pPr>
        <w:ind w:left="900" w:right="8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in Refined Coal Facility </w:t>
      </w:r>
      <w:r>
        <w:rPr>
          <w:rFonts w:ascii="Times New Roman" w:cs="Times New Roman" w:eastAsia="Times New Roman" w:hAnsi="Times New Roman"/>
          <w:sz w:val="18"/>
          <w:szCs w:val="18"/>
          <w:color w:val="auto"/>
        </w:rPr>
        <w:t>— Our refined coal facility investment and the resulting federal tax credits reduced our provision for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by $21 million, $20 million and $21 million for the years ended December 31, 2014, 2013 and 2012, respectively. Refer to Note 9 to the Consolidated Financial Statements for more information related to our refined coal facility investment.</w:t>
      </w:r>
    </w:p>
    <w:p>
      <w:pPr>
        <w:spacing w:after="0" w:line="78"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in Low-Income Housing Properties </w:t>
      </w:r>
      <w:r>
        <w:rPr>
          <w:rFonts w:ascii="Times New Roman" w:cs="Times New Roman" w:eastAsia="Times New Roman" w:hAnsi="Times New Roman"/>
          <w:sz w:val="18"/>
          <w:szCs w:val="18"/>
          <w:color w:val="auto"/>
        </w:rPr>
        <w:t>— Our low-income housing properties investment and the resulting federal tax credits reduced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for income taxes by $37 million, $38 million and $38 million for the years ended December 31, 2014, 2013 and 2012, respectively. Refer to Note 9 to the Consolidated Financial Statements for more information related to our low-income housing properties investment.</w:t>
      </w:r>
    </w:p>
    <w:p>
      <w:pPr>
        <w:spacing w:after="0" w:line="78" w:lineRule="exact"/>
        <w:rPr>
          <w:rFonts w:ascii="Times New Roman" w:cs="Times New Roman" w:eastAsia="Times New Roman" w:hAnsi="Times New Roman"/>
          <w:sz w:val="18"/>
          <w:szCs w:val="18"/>
          <w:color w:val="auto"/>
        </w:rPr>
      </w:pPr>
    </w:p>
    <w:p>
      <w:pPr>
        <w:ind w:left="900" w:right="40" w:hanging="325"/>
        <w:spacing w:after="0" w:line="267"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Adjustments to our accruals and related deferred taxes due to the filing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and changes in state law resulted in a reduction of $24 million and increases of $4 million and $7 million to our provision for income taxes for the years ended December 31, 2014, 2013 and 2012, respectively.</w:t>
      </w:r>
    </w:p>
    <w:p>
      <w:pPr>
        <w:spacing w:after="0" w:line="78" w:lineRule="exact"/>
        <w:rPr>
          <w:rFonts w:ascii="Times New Roman" w:cs="Times New Roman" w:eastAsia="Times New Roman" w:hAnsi="Times New Roman"/>
          <w:sz w:val="18"/>
          <w:szCs w:val="18"/>
          <w:color w:val="auto"/>
        </w:rPr>
      </w:pPr>
    </w:p>
    <w:p>
      <w:pPr>
        <w:ind w:left="900" w:right="100" w:hanging="325"/>
        <w:spacing w:after="0" w:line="28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Audit Settlements </w:t>
      </w:r>
      <w:r>
        <w:rPr>
          <w:rFonts w:ascii="Times New Roman" w:cs="Times New Roman" w:eastAsia="Times New Roman" w:hAnsi="Times New Roman"/>
          <w:sz w:val="18"/>
          <w:szCs w:val="18"/>
          <w:color w:val="auto"/>
        </w:rPr>
        <w:t>— The settlement of various tax audits resulted in reductions to our provision for income taxes of $12 million, $11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$10 million for the years ended December 31, 2014, 2013 and 2012, respectively.</w:t>
      </w:r>
    </w:p>
    <w:p>
      <w:pPr>
        <w:spacing w:after="0" w:line="63" w:lineRule="exact"/>
        <w:rPr>
          <w:rFonts w:ascii="Times New Roman" w:cs="Times New Roman" w:eastAsia="Times New Roman" w:hAnsi="Times New Roman"/>
          <w:sz w:val="18"/>
          <w:szCs w:val="18"/>
          <w:color w:val="auto"/>
        </w:rPr>
      </w:pPr>
    </w:p>
    <w:p>
      <w:pPr>
        <w:ind w:left="900" w:right="320" w:hanging="325"/>
        <w:spacing w:after="0" w:line="28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State Net Operating Loss and Credit Carry-forwards </w:t>
      </w:r>
      <w:r>
        <w:rPr>
          <w:rFonts w:ascii="Times New Roman" w:cs="Times New Roman" w:eastAsia="Times New Roman" w:hAnsi="Times New Roman"/>
          <w:sz w:val="18"/>
          <w:szCs w:val="18"/>
          <w:color w:val="auto"/>
        </w:rPr>
        <w:t>— During 2014, 2013 and 2012, we recognized state net operating loss and credit carry-forwards resulting in a reduction to our provision for income taxes of $16 million, $16 million and $5 million, respectively.</w:t>
      </w:r>
    </w:p>
    <w:p>
      <w:pPr>
        <w:spacing w:after="0" w:line="63" w:lineRule="exact"/>
        <w:rPr>
          <w:rFonts w:ascii="Times New Roman" w:cs="Times New Roman" w:eastAsia="Times New Roman" w:hAnsi="Times New Roman"/>
          <w:sz w:val="18"/>
          <w:szCs w:val="18"/>
          <w:color w:val="auto"/>
        </w:rPr>
      </w:pPr>
    </w:p>
    <w:p>
      <w:pPr>
        <w:ind w:left="900" w:right="220" w:hanging="325"/>
        <w:spacing w:after="0" w:line="28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Federal Net Operating Loss Carry-Forwards </w:t>
      </w:r>
      <w:r>
        <w:rPr>
          <w:rFonts w:ascii="Times New Roman" w:cs="Times New Roman" w:eastAsia="Times New Roman" w:hAnsi="Times New Roman"/>
          <w:sz w:val="18"/>
          <w:szCs w:val="18"/>
          <w:color w:val="auto"/>
        </w:rPr>
        <w:t>— During 2012, we recognized additional federal net operating loss carry-forwards resulting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to our provision for income taxes of $8 million.</w:t>
      </w:r>
    </w:p>
    <w:p>
      <w:pPr>
        <w:spacing w:after="0" w:line="63" w:lineRule="exact"/>
        <w:rPr>
          <w:rFonts w:ascii="Times New Roman" w:cs="Times New Roman" w:eastAsia="Times New Roman" w:hAnsi="Times New Roman"/>
          <w:sz w:val="18"/>
          <w:szCs w:val="18"/>
          <w:color w:val="auto"/>
        </w:rPr>
      </w:pPr>
    </w:p>
    <w:p>
      <w:pPr>
        <w:ind w:left="900" w:right="240" w:hanging="325"/>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A portion of the impairment charges recognized are not deductible for tax purposes. Had the charges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deductible, our provision for income taxes would have been reduced by $8 million, $235 million and $7 million for the years ended December 31, 2014, 2013, and 2012 respectively. See Notes 6 and 13 to the Consolidated Financial Statements for more information related to asset impairments and unusual items.</w:t>
      </w:r>
    </w:p>
    <w:p>
      <w:pPr>
        <w:spacing w:after="0" w:line="182"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We expect our 2015 recurring effective tax rate will be approximately 36.0% based on projected income before income taxes, federal tax credits and other permanent items.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The Tax Increase Prevention Act of 2014 was signed into law on December 19, 2014 and included an extension for one year of the 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will reduce our future cash taxes by approximately $60 million. Taking accelerated deductions results in increased cash taxes in subsequent periods when the deductions related to the capital expenditures would have otherwise been taken.</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300" w:firstLine="456"/>
        <w:spacing w:after="0" w:line="256" w:lineRule="auto"/>
        <w:rPr>
          <w:sz w:val="20"/>
          <w:szCs w:val="20"/>
          <w:color w:val="auto"/>
        </w:rPr>
      </w:pPr>
      <w:r>
        <w:rPr>
          <w:rFonts w:ascii="Times New Roman" w:cs="Times New Roman" w:eastAsia="Times New Roman" w:hAnsi="Times New Roman"/>
          <w:sz w:val="18"/>
          <w:szCs w:val="18"/>
          <w:color w:val="auto"/>
        </w:rPr>
        <w:t>Net income attributable to noncontrolling interests was $40 million in 2014, $32 million in 2013 and $43 million in 2012. These amounts are principally related to third parties’ equity interests in two limited liability companies (“LLCs”) that own three waste-to-energy facilities operated by our Wheelabrator business. In December 2014, we purchased the noncontrolling interests in the LLCs from the third parties in anticipation of our sale of the Wheelabrator business. The LLCs were then subsequently sold as part of the divestment of our Wheelabrator business. Refer to Notes 19 and 20 to the Consolidated Financial Statements for information related to the sale of our Wheelabrator business and the consolidation of these variable interest entities, respectively.</w:t>
      </w:r>
    </w:p>
    <w:p>
      <w:pPr>
        <w:spacing w:after="0" w:line="188" w:lineRule="exact"/>
        <w:rPr>
          <w:sz w:val="20"/>
          <w:szCs w:val="20"/>
          <w:color w:val="auto"/>
        </w:rPr>
      </w:pPr>
    </w:p>
    <w:p>
      <w:pPr>
        <w:ind w:right="520" w:firstLine="456"/>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2013 is primarily due to the net loss of $10 million attributable to noncontrolling interest holders associated with the $20 million impairment charge related to a majority-owned waste diversion technology company discussed above in </w:t>
      </w:r>
      <w:r>
        <w:rPr>
          <w:rFonts w:ascii="Times New Roman" w:cs="Times New Roman" w:eastAsia="Times New Roman" w:hAnsi="Times New Roman"/>
          <w:sz w:val="18"/>
          <w:szCs w:val="18"/>
          <w:i w:val="1"/>
          <w:iCs w:val="1"/>
          <w:color w:val="auto"/>
        </w:rPr>
        <w:t>(Income) Expense from Divestitures,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Impairments (Other than Goodwill) and Unusual Items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Landfill and Environmental Remediation Discussion and Analysis</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We owned or operated 247 solid waste and five secure hazardous waste landfills at December 31, 2014 and 262 solid waste and five secure hazardous waste landfills at December 31, 2013. At December 31, 2014 and 2013, the expected remaining capacity, in cubic yards and tonnage of waste that can be accepted at our owned or operated landfills, is shown below (in millions):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54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40" w:type="dxa"/>
            <w:vAlign w:val="bottom"/>
          </w:tcPr>
          <w:p>
            <w:pPr>
              <w:spacing w:after="0"/>
              <w:rPr>
                <w:sz w:val="10"/>
                <w:szCs w:val="10"/>
                <w:color w:val="auto"/>
              </w:rPr>
            </w:pPr>
          </w:p>
        </w:tc>
        <w:tc>
          <w:tcPr>
            <w:tcW w:w="760" w:type="dxa"/>
            <w:vAlign w:val="bottom"/>
            <w:gridSpan w:val="2"/>
          </w:tcPr>
          <w:p>
            <w:pPr>
              <w:jc w:val="right"/>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400" w:type="dxa"/>
            <w:vAlign w:val="bottom"/>
          </w:tcPr>
          <w:p>
            <w:pPr>
              <w:spacing w:after="0"/>
              <w:rPr>
                <w:sz w:val="10"/>
                <w:szCs w:val="10"/>
                <w:color w:val="auto"/>
              </w:rPr>
            </w:pPr>
          </w:p>
        </w:tc>
        <w:tc>
          <w:tcPr>
            <w:tcW w:w="11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Expansion</w:t>
            </w:r>
          </w:p>
        </w:tc>
        <w:tc>
          <w:tcPr>
            <w:tcW w:w="104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400" w:type="dxa"/>
            <w:vAlign w:val="bottom"/>
          </w:tcPr>
          <w:p>
            <w:pPr>
              <w:spacing w:after="0"/>
              <w:rPr>
                <w:sz w:val="10"/>
                <w:szCs w:val="10"/>
                <w:color w:val="auto"/>
              </w:rPr>
            </w:pPr>
          </w:p>
        </w:tc>
        <w:tc>
          <w:tcPr>
            <w:tcW w:w="11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8"/>
              </w:rPr>
              <w:t>Expansion</w:t>
            </w: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0" w:type="dxa"/>
            <w:vAlign w:val="bottom"/>
          </w:tcPr>
          <w:p>
            <w:pPr>
              <w:spacing w:after="0"/>
              <w:rPr>
                <w:sz w:val="15"/>
                <w:szCs w:val="15"/>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10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4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6"/>
              </w:rPr>
              <w:t>Capacity</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cubic yards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275</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Remaining tonnage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4,660</w:t>
            </w:r>
          </w:p>
        </w:tc>
        <w:tc>
          <w:tcPr>
            <w:tcW w:w="1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275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5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4,769</w:t>
            </w: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282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56"/>
        <w:spacing w:after="0" w:line="273" w:lineRule="auto"/>
        <w:rPr>
          <w:sz w:val="20"/>
          <w:szCs w:val="20"/>
          <w:color w:val="auto"/>
        </w:rPr>
      </w:pPr>
      <w:r>
        <w:rPr>
          <w:rFonts w:ascii="Times New Roman" w:cs="Times New Roman" w:eastAsia="Times New Roman" w:hAnsi="Times New Roman"/>
          <w:sz w:val="17"/>
          <w:szCs w:val="17"/>
          <w:color w:val="auto"/>
        </w:rPr>
        <w:t xml:space="preserve">Based on remaining permitted airspace as of December 31, 2014 and projected annual disposal volumes, the weighted average remaining landfill life for all of our owned or operated landfills is approximately 46 years. Many of our landfills have the potential for expanded disposal capacity beyond what is currently permitted. We monitor the availability of permitted disposal capacity at each of our landfills and evaluate whether to pursue an expansion at a given landfill based on estimated future waste volumes and prices, remaining capacity and likelihood of obtaining an expansion permit. We are seeking expansion permits at 23 of our landfills that meet the expansion criteria outlined in the </w:t>
      </w:r>
      <w:r>
        <w:rPr>
          <w:rFonts w:ascii="Times New Roman" w:cs="Times New Roman" w:eastAsia="Times New Roman" w:hAnsi="Times New Roman"/>
          <w:sz w:val="17"/>
          <w:szCs w:val="17"/>
          <w:i w:val="1"/>
          <w:iCs w:val="1"/>
          <w:color w:val="auto"/>
        </w:rPr>
        <w:t>Critical Accounting Estimates and Assumptions</w:t>
      </w:r>
      <w:r>
        <w:rPr>
          <w:rFonts w:ascii="Times New Roman" w:cs="Times New Roman" w:eastAsia="Times New Roman" w:hAnsi="Times New Roman"/>
          <w:sz w:val="17"/>
          <w:szCs w:val="17"/>
          <w:color w:val="auto"/>
        </w:rPr>
        <w:t xml:space="preserve"> section above. Although no assurances can be made that all future expansions will be permitted or permitted as designed, the weighted average remaining landfill life for all owned or operated landfills is approximately 49 years when considering remaining permitted airspace, expansion airspace and projected annual disposal volume.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number of landfills we own or operate as of December 31, 2014, segregated by their estimated operating lives (in years), based on remaining permitted and expansion airspace and projected annual disposal volume,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0 to 5</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6 to 10</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11 to 20</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21 to 40</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w:t>
            </w:r>
          </w:p>
        </w:tc>
        <w:tc>
          <w:tcPr>
            <w:tcW w:w="30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74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Operated through lease(a)</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contracts(b)</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r>
      <w:tr>
        <w:trPr>
          <w:trHeight w:val="223"/>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landfills</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6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jc w:val="both"/>
        <w:ind w:left="460" w:right="480" w:hanging="452"/>
        <w:spacing w:after="0" w:line="257"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Landfills we operate through lease agreements are similar to landfills we own because we own the landfill’s operating permit and will operate the landfill for the entire lease term, which in many cases is the life of the landfill. We are usually responsible for the final capping, closure and post-closure obligations of the landfills we lease.</w:t>
      </w:r>
    </w:p>
    <w:p>
      <w:pPr>
        <w:spacing w:after="0" w:line="1" w:lineRule="exact"/>
        <w:rPr>
          <w:rFonts w:ascii="Times New Roman" w:cs="Times New Roman" w:eastAsia="Times New Roman" w:hAnsi="Times New Roman"/>
          <w:sz w:val="18"/>
          <w:szCs w:val="18"/>
          <w:color w:val="auto"/>
        </w:rPr>
      </w:pPr>
    </w:p>
    <w:p>
      <w:pPr>
        <w:ind w:left="460" w:right="400" w:hanging="452"/>
        <w:spacing w:after="0" w:line="261" w:lineRule="auto"/>
        <w:tabs>
          <w:tab w:leader="none" w:pos="4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operating contracts, the property owner owns the permit and we operate the landfill for a contracted term, which may be the life of the landfill. However, we are generally responsible for final capping, closure and post-closure obligations under the operating contracts.</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reflects landfill capacity and airspace changes, as measured in tons of waste, for landfills owned or operated by us during the years ended December 31, 2014 and 2013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7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34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Expansion</w:t>
            </w:r>
          </w:p>
        </w:tc>
        <w:tc>
          <w:tcPr>
            <w:tcW w:w="9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34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Expansion</w:t>
            </w: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Permitted</w:t>
            </w:r>
          </w:p>
        </w:tc>
        <w:tc>
          <w:tcPr>
            <w:tcW w:w="3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3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3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divestitures, newly permitted landfills and closures</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expansions pursued(a)</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90</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Expansion permits granted(b)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(94)</w:t>
            </w: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w:t>
            </w:r>
          </w:p>
        </w:tc>
        <w:tc>
          <w:tcPr>
            <w:tcW w:w="14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(364)</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Airspace consumed</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engineering estimates and other(c)</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275</w:t>
            </w: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4,935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282</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40" w:hanging="452"/>
        <w:spacing w:after="0" w:line="257"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reflected here relate to the combined impacts of (i) new expansions pursued; (ii) increases or decreases in the airspace being pursued for ongoing expansion efforts; (iii) adjustments for differences between the airspace being pursued and airspace granted and (iv) decreases due to decisions to no longer pursue expansion permits.</w:t>
      </w:r>
    </w:p>
    <w:p>
      <w:pPr>
        <w:spacing w:after="0" w:line="1" w:lineRule="exact"/>
        <w:rPr>
          <w:rFonts w:ascii="Times New Roman" w:cs="Times New Roman" w:eastAsia="Times New Roman" w:hAnsi="Times New Roman"/>
          <w:sz w:val="18"/>
          <w:szCs w:val="18"/>
          <w:color w:val="auto"/>
        </w:rPr>
      </w:pPr>
    </w:p>
    <w:p>
      <w:pPr>
        <w:ind w:left="460" w:right="600" w:hanging="452"/>
        <w:spacing w:after="0" w:line="250"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expansion permits at eight of our landfills during 2014 and 12 of our landfills during 2013, demonstrating our continued success in working with municipalities and regulatory agencies to expand the disposal capacity of our existing landfills.</w:t>
      </w:r>
    </w:p>
    <w:p>
      <w:pPr>
        <w:ind w:left="460" w:right="40" w:hanging="452"/>
        <w:spacing w:after="0" w:line="252" w:lineRule="auto"/>
        <w:tabs>
          <w:tab w:leader="none" w:pos="4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engineering estimates can result in changes to the estimated available remaining capacity of a landfill or changes in the utilization of such landfill capacity, affecting the number of tons that can be placed in the future. Estimates of the amount of waste that can be placed in the future are reviewed annually by our engineers and are based on a number of factors, including standard engineering techniques and site-specific factors such as current and projected mix of waste type; initial and projected waste density; estimated number of years of life remaining; depth of underlying waste; anticipated access to moisture through precipitation or recirculation of landfill leachate; and operating practices. We continually focus on improving the utilization of airspace through efforts that include recirculating landfill leachate where allowed by permit; optimizing the placement of daily cover materials; and increasing initial compaction through improved landfill equipment, operations and training.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tons received at our landfills in 2014 and 2013 are shown below (tons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6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800" w:type="dxa"/>
            <w:vAlign w:val="bottom"/>
            <w:gridSpan w:val="2"/>
          </w:tcPr>
          <w:p>
            <w:pPr>
              <w:jc w:val="right"/>
              <w:ind w:right="52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120" w:type="dxa"/>
            <w:vAlign w:val="bottom"/>
            <w:gridSpan w:val="2"/>
          </w:tcPr>
          <w:p>
            <w:pPr>
              <w:jc w:val="right"/>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400" w:type="dxa"/>
            <w:vAlign w:val="bottom"/>
          </w:tcPr>
          <w:p>
            <w:pPr>
              <w:spacing w:after="0"/>
              <w:rPr>
                <w:sz w:val="10"/>
                <w:szCs w:val="10"/>
                <w:color w:val="auto"/>
              </w:rPr>
            </w:pPr>
          </w:p>
        </w:tc>
        <w:tc>
          <w:tcPr>
            <w:tcW w:w="520" w:type="dxa"/>
            <w:vAlign w:val="bottom"/>
            <w:gridSpan w:val="2"/>
          </w:tcPr>
          <w:p>
            <w:pPr>
              <w:jc w:val="right"/>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12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Tons per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Sites</w:t>
            </w:r>
          </w:p>
        </w:tc>
        <w:tc>
          <w:tcPr>
            <w:tcW w:w="4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Tons</w:t>
            </w:r>
          </w:p>
        </w:tc>
        <w:tc>
          <w:tcPr>
            <w:tcW w:w="5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Day</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Sites</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Tons</w:t>
            </w:r>
          </w:p>
        </w:tc>
        <w:tc>
          <w:tcPr>
            <w:tcW w:w="5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Day</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 landfills</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247(a)</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92,847</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93,804</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waste landfills.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505</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568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93,352</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343</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267</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94,372</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Solid waste landfills closed, divested or contract expired during related year</w:t>
            </w:r>
          </w:p>
        </w:tc>
        <w:tc>
          <w:tcPr>
            <w:tcW w:w="8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3,768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390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97,120(b)</w:t>
            </w: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94,762(b)</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hanging="452"/>
        <w:spacing w:after="0"/>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2014, we divested 11 landfills, our contract expired at three landfills and we closed one landfill.</w:t>
      </w:r>
    </w:p>
    <w:p>
      <w:pPr>
        <w:spacing w:after="0" w:line="27" w:lineRule="exact"/>
        <w:rPr>
          <w:rFonts w:ascii="Times New Roman" w:cs="Times New Roman" w:eastAsia="Times New Roman" w:hAnsi="Times New Roman"/>
          <w:sz w:val="18"/>
          <w:szCs w:val="18"/>
          <w:color w:val="auto"/>
        </w:rPr>
      </w:pPr>
    </w:p>
    <w:p>
      <w:pPr>
        <w:ind w:left="460" w:right="200" w:hanging="452"/>
        <w:spacing w:after="0" w:line="255" w:lineRule="auto"/>
        <w:tabs>
          <w:tab w:leader="none" w:pos="4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1.2 million tons at December 31, 2014 and 1.5 million tons at December 31, 2013, that were received at our landfills but were used for beneficial purposes and generally were redirected from the permitted airspace to other areas of the landfill. Waste types that are frequently identified for beneficial use include green waste for composting and clean dirt for on-site construction projects.</w:t>
      </w:r>
    </w:p>
    <w:p>
      <w:pPr>
        <w:spacing w:after="0" w:line="18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When a landfill we own or operate receives certification of closure from the applicable regulatory agency, we generally transfer the management of the site, including any remediation activities, to our closed sites management group. As of December 31, 2014, our closed sites management group managed 210 closed landfills.</w:t>
      </w:r>
    </w:p>
    <w:p>
      <w:pPr>
        <w:spacing w:after="0" w:line="174" w:lineRule="exact"/>
        <w:rPr>
          <w:sz w:val="20"/>
          <w:szCs w:val="20"/>
          <w:color w:val="auto"/>
        </w:rPr>
      </w:pPr>
    </w:p>
    <w:p>
      <w:pPr>
        <w:ind w:right="3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Landfill Assets </w:t>
      </w:r>
      <w:r>
        <w:rPr>
          <w:rFonts w:ascii="Times New Roman" w:cs="Times New Roman" w:eastAsia="Times New Roman" w:hAnsi="Times New Roman"/>
          <w:sz w:val="18"/>
          <w:szCs w:val="18"/>
          <w:color w:val="auto"/>
        </w:rPr>
        <w:t>— We capitalize various costs that we incur to prepare a landfill to accept waste. These costs generally include expenditures for 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landfill footprint and required landfill buffer property), permitting, excavation, liner material and installation, landfill leachate collection systems, landfill gas collection systems, environmental monitoring equipment for groundwater and landfill gas, directly related engineering, capitalized interest, and on-site road construction and other capital infrastructure costs. The cost basis of our landfill assets also includes estimates of future costs associated with landfill final capping, closure and post-closure activities, which are discussed further below.</w:t>
      </w:r>
    </w:p>
    <w:p>
      <w:pPr>
        <w:spacing w:after="0" w:line="18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total cost basis of our landfill assets and accumulated landfill airspace amortization as of December 31, 2014 and 2013, and summarizes significant changes in these amounts during 2014 (in millions):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 Basis of</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Landfill Airspace</w:t>
            </w:r>
          </w:p>
        </w:tc>
        <w:tc>
          <w:tcPr>
            <w:tcW w:w="44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Landfill Assets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4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additions</w:t>
            </w:r>
          </w:p>
        </w:tc>
        <w:tc>
          <w:tcPr>
            <w:tcW w:w="2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407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98"/>
        </w:trPr>
        <w:tc>
          <w:tcPr>
            <w:tcW w:w="47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Asset retirement obligations incurred and</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capitalized</w:t>
            </w: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(380)</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 retirements and other adjustments</w:t>
            </w:r>
          </w:p>
        </w:tc>
        <w:tc>
          <w:tcPr>
            <w:tcW w:w="2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(308)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174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(7,690)</w:t>
            </w: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0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2014, we estimate that we will spend approximately $400 million in 2015, and approximately $800 million in 2016 and 2017 combined, for the construction and development of our landfill assets. The specific timing of landfill capital spending is dependent on future events, and spending estimates are subject to change due to fluctuations in landfill waste volumes, changes in environmental requirements and other factors impacting landfill operations.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and Environmental Remediation Liabilities </w:t>
      </w:r>
      <w:r>
        <w:rPr>
          <w:rFonts w:ascii="Times New Roman" w:cs="Times New Roman" w:eastAsia="Times New Roman" w:hAnsi="Times New Roman"/>
          <w:sz w:val="18"/>
          <w:szCs w:val="18"/>
          <w:color w:val="auto"/>
        </w:rPr>
        <w:t>— As we accept waste at our landfills, we incur significant asset retirement obligations,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liabilities associated with landfill final capping, closure and post-closure activities. These liabilities are accounted for in accordance with authoritative guidance associated with accounting for asset retirement obligations and are discussed in Note 3 of our Consolidated Financial Statements. We also have liabilities for the remediation of properties that have incurred environmental damage, which generally was caused by operations or for damage caused by conditions that existed before we acquired operations or a site. We recognize environmental remediation liabilities when we determine that the liability is probable and the estimated cost for the likely remedy can be reasonably estimated.</w:t>
      </w:r>
    </w:p>
    <w:p>
      <w:pPr>
        <w:spacing w:after="0" w:line="185"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landfill liabilities and our environmental remediation liabilities as of December 31, 2014 and 2013, and summarizes significant changes in these amounts during 2014 (in millions):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20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$1,421</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settled</w:t>
            </w:r>
          </w:p>
        </w:tc>
        <w:tc>
          <w:tcPr>
            <w:tcW w:w="2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accretion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Revisions in estimates and interest rate assumptions</w:t>
            </w:r>
          </w:p>
        </w:tc>
        <w:tc>
          <w:tcPr>
            <w:tcW w:w="20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0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1,443</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Landfill Costs and Expenses </w:t>
      </w:r>
      <w:r>
        <w:rPr>
          <w:rFonts w:ascii="Times New Roman" w:cs="Times New Roman" w:eastAsia="Times New Roman" w:hAnsi="Times New Roman"/>
          <w:sz w:val="18"/>
          <w:szCs w:val="18"/>
          <w:color w:val="auto"/>
        </w:rPr>
        <w:t>— As disclosed in the</w:t>
      </w:r>
      <w:r>
        <w:rPr>
          <w:rFonts w:ascii="Times New Roman" w:cs="Times New Roman" w:eastAsia="Times New Roman" w:hAnsi="Times New Roman"/>
          <w:sz w:val="18"/>
          <w:szCs w:val="18"/>
          <w:i w:val="1"/>
          <w:iCs w:val="1"/>
          <w:color w:val="auto"/>
        </w:rPr>
        <w:t xml:space="preserve"> Operating Expenses </w:t>
      </w:r>
      <w:r>
        <w:rPr>
          <w:rFonts w:ascii="Times New Roman" w:cs="Times New Roman" w:eastAsia="Times New Roman" w:hAnsi="Times New Roman"/>
          <w:sz w:val="18"/>
          <w:szCs w:val="18"/>
          <w:color w:val="auto"/>
        </w:rPr>
        <w:t>section above, our landfill operating costs include interest accretion on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obligations, interest accretion on and discount rate adjustments to environmental remediation liabilities and recovery assets, leachate and methane collection and treatment, landfill remediation costs, and other landfill site costs. The following table summarizes these costs for each of the three years indicated (in millions):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1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0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accretion on landfill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6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6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accretion on and discount rate adjustments to environmental remediation</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and recovery assets</w:t>
            </w:r>
          </w:p>
        </w:tc>
        <w:tc>
          <w:tcPr>
            <w:tcW w:w="12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Leachate and methane collection and treatment</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Landfill remediation costs</w:t>
            </w:r>
          </w:p>
        </w:tc>
        <w:tc>
          <w:tcPr>
            <w:tcW w:w="12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landfill site costs</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r>
      <w:tr>
        <w:trPr>
          <w:trHeight w:val="223"/>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landfill operating costs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comparison of these costs for the reported periods has been significantly affected by accounting for changes in the risk-free discount rate that we use to estimate the present value of our environmental remediation liabilities and environmental remediation recovery assets, which is based on the rate for U.S. Treasury bonds with a term approximating the weighted-average period until settlement of the underlying obligations.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of landfill airspace, which is included as a component of “Depreciation and amortization” expense, includes the following:</w:t>
      </w:r>
    </w:p>
    <w:p>
      <w:pPr>
        <w:spacing w:after="0" w:line="131" w:lineRule="exact"/>
        <w:rPr>
          <w:sz w:val="20"/>
          <w:szCs w:val="20"/>
          <w:color w:val="auto"/>
        </w:rPr>
      </w:pPr>
    </w:p>
    <w:p>
      <w:pPr>
        <w:ind w:left="900" w:right="360" w:hanging="325"/>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landfill capital costs, including (i) costs that have been incurred and capitalized and (ii) estimated future costs for landfill development and construction required to develop our landfills to their remaining permitted and expansion airspace;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asset retirement costs arising from landfill final capping, closure and post-closure obligations, including (i) costs that have been incurred and capitalized and (ii) projected asset retirement costs.</w:t>
      </w:r>
    </w:p>
    <w:p>
      <w:pPr>
        <w:spacing w:after="0" w:line="16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Amortization expense is recorded on a units-of-consumption basis, applying cost as a rate per ton. The rate per ton is calculated by dividing each component of the amortizable basis of a landfill by the number of tons needed to fill the corresponding asset’s airspace. Landfill capital costs and closure and post-closure asset retirement costs are generally incurred to support the operation of the landfill over its entire operating life and are, therefore, amortized on a per-ton basis using a landfill’s total airspace capacity. Final capping asset retirement costs are related to a specific final capping event and are, therefore, amortized on a per-ton basis using each discrete final capping event’s estimated airspace capacity. Accordingly, each landfill has multiple per-ton amortization rates.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landfill airspace amortization expense on a per-ton basis: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6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5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1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2"/>
                <w:szCs w:val="12"/>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landfill airspace (in millions)</w:t>
            </w:r>
          </w:p>
        </w:tc>
        <w:tc>
          <w:tcPr>
            <w:tcW w:w="1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$ 380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$ 400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Tons received, net of redirected waste (in millions)</w:t>
            </w:r>
          </w:p>
        </w:tc>
        <w:tc>
          <w:tcPr>
            <w:tcW w:w="2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96</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landfill airspace amortization expense per ton</w:t>
            </w:r>
          </w:p>
        </w:tc>
        <w:tc>
          <w:tcPr>
            <w:tcW w:w="2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$3.96</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$4.29</w:t>
            </w:r>
          </w:p>
        </w:tc>
        <w:tc>
          <w:tcPr>
            <w:tcW w:w="780" w:type="dxa"/>
            <w:vAlign w:val="bottom"/>
            <w:gridSpan w:val="3"/>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rPr>
              <w:t>$4.30</w:t>
            </w:r>
          </w:p>
        </w:tc>
      </w:tr>
    </w:tbl>
    <w:p>
      <w:pPr>
        <w:spacing w:after="0" w:line="198"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Different per-ton amortization rates are applied at each of our 252 landfills, and per-ton amortization rates vary significantly from one landfill to another due to (i) inconsistencies that often exist in construction costs and provincial, state and local regulatory requirements for landfill development and landfill final capping, closure and post-closure activities and (ii) differences in the cost basis of landfills that we develop versus those that we acquire. Accordingly, our landfill airspace amortization expense measured on a per-ton basis can fluctuate due to changes in the mix of volumes we receive across the Company year-over-year.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and landfill equipment; (iii) construction, refurbishments and improvements at materials recovery facilities; (iv) the container and equipment needs of our operations; (v) final capping, closure and post-closure activities at our landfills; (vi) the repayment of debt and discharging of other obligations and (vii) capital expenditures, acquisitions and investments in support of our strategic growth plans. We also are committed to providing our shareholders with a return on their investment through dividend payments, and we have also returned value to our shareholders through share repurchases.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and Cash Equivalents, Restricted Trust and Escrow Accounts and Debt Obligations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our cash and cash equivalents, restricted trust and escrow accounts and debt balances as of December 31, 2014 and 2013 (in millions):</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1,307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Restricted trust and escrow accounts:</w:t>
            </w: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Final capping, closure, post-closure and environmental remediation funds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Tax-exempt bond funds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restricted trust and escrow accounts</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portion</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8,345</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9,435</w:t>
            </w:r>
          </w:p>
        </w:tc>
        <w:tc>
          <w:tcPr>
            <w:tcW w:w="6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carrying value of debt due to hedge accounting for interest rate swaps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Cash and cash equivalents consist primarily of short-term interest-bearing instruments with maturities of three months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at date of purchase. The increase at December 31, 2014 is primarily related to the December 2014 sale of our Wheelabrator business.</w:t>
      </w:r>
    </w:p>
    <w:p>
      <w:pPr>
        <w:spacing w:after="0" w:line="158"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trust and escrow accounts </w:t>
      </w:r>
      <w:r>
        <w:rPr>
          <w:rFonts w:ascii="Times New Roman" w:cs="Times New Roman" w:eastAsia="Times New Roman" w:hAnsi="Times New Roman"/>
          <w:sz w:val="18"/>
          <w:szCs w:val="18"/>
          <w:color w:val="auto"/>
        </w:rPr>
        <w:t>— Restricted trust and escrow accounts consist primarily of funds deposited for purposes of settling landfill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capping, closure, post-closure and environmental remediation obligations. These balances are primarily included within “Other assets” in our Consolidated Balance Sheets. The “Other” balance at December 31, 2014 includes the $29.2 million funding of a legal settlement pending final court approval for disbursement.</w:t>
      </w:r>
    </w:p>
    <w:p>
      <w:pPr>
        <w:spacing w:after="0" w:line="180"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We use long-term borrowings in addition to the cash we generate from operations as part of our overall financial strategy to support and 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business. We primarily use senior notes and tax-exempt bonds to borrow on a long-term basis, but we also use other instruments and facilities when appropriate. The components of our long-term borrowings as of December 31, 2014 are described in Note 7 to the Consolidated Financial Statements.</w:t>
      </w:r>
    </w:p>
    <w:p>
      <w:pPr>
        <w:spacing w:after="0" w:line="17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Changes in our outstanding debt balances from December 31, 2014 to December 31, 2013 were primarily attributable to (i) the use of cash proceeds from the sale of our Wheelabrator business to temporarily repay outstanding borrowings under our $2.25 billion revolving credit facility; (ii) the use of cash generated from our Canadian operations to reduce the balance of our Canadian term loan and (iii) the impacts of other non-cash changes in our debt balances due to hedge accounting for interest rate swaps, foreign currency translation, interest accretion and capital leases and other debt obligations.</w:t>
      </w:r>
    </w:p>
    <w:p>
      <w:pPr>
        <w:spacing w:after="0" w:line="180"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Our current debt balances as of December 31, 2014, are primarily related to $947 million of senior notes that the Company decided to redeem in advance of their scheduled maturity, including $350 million of 6.375% senior notes that were scheduled to mature in March 2015, $147 million of 7.125% senior notes that were scheduled to mature in December 2017 and $450 million of 7.375% senior notes that were scheduled to mature in March 2019. We repaid these notes and the related make-whole premium and accrued interest with available cash in January 2015. We anticipate that a near-term refinancing of these debt balances will reduce interest expense in future years.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We have credit facilities in place to support our liquidity and financial assurance needs. The following table summarizes our outstanding letters of credit (in millions) at December 31, categorized by type of facility:</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9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Letter of credit facilities(b)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1,463</w:t>
            </w:r>
          </w:p>
        </w:tc>
        <w:tc>
          <w:tcPr>
            <w:tcW w:w="6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1,539</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right="120" w:hanging="452"/>
        <w:spacing w:after="0" w:line="257"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2013, we amended and restated our revolving credit facility, increasing our total credit capacity to $2.25 billion and extending the term through July 2018. At December 31, 2014, we had no outstanding borrowings and $785 million of letters of credit issued and supported by the facility, leaving an unused and available credit capacity of $1,465 million.</w:t>
      </w:r>
    </w:p>
    <w:p>
      <w:pPr>
        <w:spacing w:after="0" w:line="1" w:lineRule="exact"/>
        <w:rPr>
          <w:rFonts w:ascii="Times New Roman" w:cs="Times New Roman" w:eastAsia="Times New Roman" w:hAnsi="Times New Roman"/>
          <w:sz w:val="18"/>
          <w:szCs w:val="18"/>
          <w:color w:val="auto"/>
        </w:rPr>
      </w:pPr>
    </w:p>
    <w:p>
      <w:pPr>
        <w:ind w:left="460" w:right="560" w:hanging="452"/>
        <w:spacing w:after="0" w:line="250" w:lineRule="auto"/>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we had an aggregate committed capacity of $400 million under letter of credit facilities with terms extending through December 2018. This letter of credit capacity was fully utilized as of December 31, 2014.</w:t>
      </w:r>
    </w:p>
    <w:p>
      <w:pPr>
        <w:ind w:left="460" w:hanging="452"/>
        <w:spacing w:after="0"/>
        <w:tabs>
          <w:tab w:leader="none" w:pos="4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letters of credit are outstanding under various arrangements that do not obligate the counterparty to provide a committed capacity.</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cash flows for the years ended December 31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12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vMerge w:val="restart"/>
          </w:tcPr>
          <w:p>
            <w:pPr>
              <w:jc w:val="right"/>
              <w:ind w:right="4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512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5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(1,900</w:t>
            </w:r>
          </w:p>
        </w:tc>
        <w:tc>
          <w:tcPr>
            <w:tcW w:w="5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(1,830</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(2,072)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 The most significant items affecting the comparisons of our operating cash flows in 2014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are summarized below:</w:t>
      </w:r>
    </w:p>
    <w:p>
      <w:pPr>
        <w:spacing w:after="0" w:line="64" w:lineRule="exact"/>
        <w:rPr>
          <w:sz w:val="20"/>
          <w:szCs w:val="20"/>
          <w:color w:val="auto"/>
        </w:rPr>
      </w:pPr>
    </w:p>
    <w:p>
      <w:pPr>
        <w:ind w:left="900" w:right="460" w:hanging="325"/>
        <w:spacing w:after="0" w:line="284"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 in earnings </w:t>
      </w:r>
      <w:r>
        <w:rPr>
          <w:rFonts w:ascii="Times New Roman" w:cs="Times New Roman" w:eastAsia="Times New Roman" w:hAnsi="Times New Roman"/>
          <w:sz w:val="18"/>
          <w:szCs w:val="18"/>
          <w:color w:val="auto"/>
        </w:rPr>
        <w:t>– Our income from operations, excluding depreciation and amortization, increased by $1.2 billion, on a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Certain of the more significant drivers of our earnings improvement include:</w:t>
      </w:r>
    </w:p>
    <w:p>
      <w:pPr>
        <w:spacing w:after="0" w:line="65"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non-cash impairment charges of $652 million in 2014 as compared to 2013;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gain on the sale of our Wheelabrator business of $519 million in 2014.</w:t>
      </w:r>
    </w:p>
    <w:p>
      <w:pPr>
        <w:spacing w:after="0" w:line="117" w:lineRule="exact"/>
        <w:rPr>
          <w:sz w:val="20"/>
          <w:szCs w:val="20"/>
          <w:color w:val="auto"/>
        </w:rPr>
      </w:pPr>
    </w:p>
    <w:p>
      <w:pPr>
        <w:ind w:left="920" w:right="240"/>
        <w:spacing w:after="0" w:line="282" w:lineRule="auto"/>
        <w:rPr>
          <w:sz w:val="20"/>
          <w:szCs w:val="20"/>
          <w:color w:val="auto"/>
        </w:rPr>
      </w:pPr>
      <w:r>
        <w:rPr>
          <w:rFonts w:ascii="Times New Roman" w:cs="Times New Roman" w:eastAsia="Times New Roman" w:hAnsi="Times New Roman"/>
          <w:sz w:val="18"/>
          <w:szCs w:val="18"/>
          <w:color w:val="auto"/>
        </w:rPr>
        <w:t>After considering these items, and certain other non-cash items included in our comparative results, our earnings drove an improvement in our cash flows from operating activities of approximately $100 million.</w:t>
      </w:r>
    </w:p>
    <w:p>
      <w:pPr>
        <w:spacing w:after="0" w:line="65" w:lineRule="exact"/>
        <w:rPr>
          <w:sz w:val="20"/>
          <w:szCs w:val="20"/>
          <w:color w:val="auto"/>
        </w:rPr>
      </w:pPr>
    </w:p>
    <w:p>
      <w:pPr>
        <w:ind w:left="900" w:hanging="325"/>
        <w:spacing w:after="0" w:line="290"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Increase in tax payments </w:t>
      </w:r>
      <w:r>
        <w:rPr>
          <w:rFonts w:ascii="Times New Roman" w:cs="Times New Roman" w:eastAsia="Times New Roman" w:hAnsi="Times New Roman"/>
          <w:sz w:val="17"/>
          <w:szCs w:val="17"/>
          <w:color w:val="auto"/>
        </w:rPr>
        <w:t>— Cash paid for income taxes was approximately $247 million higher on a year-over-year basis due to (i) higher pre-tax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earnings; (ii) approximately $210 million anticipated overpayment during 2014, when comparing our year-end tax provisions to payments made throughout the year; and (iii) taxes associated with the divestiture of our Puerto Rico operations and certain other collection and landfill assets.</w:t>
      </w:r>
    </w:p>
    <w:p>
      <w:pPr>
        <w:spacing w:after="0" w:line="61" w:lineRule="exact"/>
        <w:rPr>
          <w:rFonts w:ascii="Times New Roman" w:cs="Times New Roman" w:eastAsia="Times New Roman" w:hAnsi="Times New Roman"/>
          <w:sz w:val="17"/>
          <w:szCs w:val="17"/>
          <w:color w:val="auto"/>
        </w:rPr>
      </w:pPr>
    </w:p>
    <w:p>
      <w:pPr>
        <w:ind w:left="900" w:right="140" w:hanging="325"/>
        <w:spacing w:after="0" w:line="261"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starting swaps </w:t>
      </w:r>
      <w:r>
        <w:rPr>
          <w:rFonts w:ascii="Times New Roman" w:cs="Times New Roman" w:eastAsia="Times New Roman" w:hAnsi="Times New Roman"/>
          <w:sz w:val="18"/>
          <w:szCs w:val="18"/>
          <w:color w:val="auto"/>
        </w:rPr>
        <w:t>— During the first quarter of 2014, the forward-starting interest rate swaps associated with the anticipated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in 2014 matured, and we paid cash of $36 million to settle the liabilities related to the swaps. This cash payment has been classified as a change in “Accounts payable and accrued liabilities” within “Net cash provided by operating activities” in the Consolidated Statement of Cash Flows.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455" w:right="2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180" w:hanging="325"/>
        <w:spacing w:after="0" w:line="261"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assets and liabilities, net of effects from business acquisitions and divestitures </w:t>
      </w:r>
      <w:r>
        <w:rPr>
          <w:rFonts w:ascii="Times New Roman" w:cs="Times New Roman" w:eastAsia="Times New Roman" w:hAnsi="Times New Roman"/>
          <w:sz w:val="18"/>
          <w:szCs w:val="18"/>
          <w:color w:val="auto"/>
        </w:rPr>
        <w:t>— Our cash flow from operations was favorably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on a year-over-year basis by changes in our 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most significant items affecting the comparison of our operating cash flows in 2013 as compared with 2012 are summarized below:</w:t>
      </w:r>
    </w:p>
    <w:p>
      <w:pPr>
        <w:spacing w:after="0" w:line="129" w:lineRule="exact"/>
        <w:rPr>
          <w:sz w:val="20"/>
          <w:szCs w:val="20"/>
          <w:color w:val="auto"/>
        </w:rPr>
      </w:pPr>
    </w:p>
    <w:p>
      <w:pPr>
        <w:ind w:left="900" w:hanging="325"/>
        <w:spacing w:after="0" w:line="261"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Earnings change </w:t>
      </w:r>
      <w:r>
        <w:rPr>
          <w:rFonts w:ascii="Times New Roman" w:cs="Times New Roman" w:eastAsia="Times New Roman" w:hAnsi="Times New Roman"/>
          <w:sz w:val="18"/>
          <w:szCs w:val="18"/>
          <w:color w:val="auto"/>
        </w:rPr>
        <w:t>— Our 2013 earnings drove our improved net cash provided by operating activities in spite of a year-over-year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from operations, of $772 million. Our income from operations decline resulted from higher non-cash charges during 2013 of $945 million, associated principally with higher impairment charges. Absent these non-cash charges, we experienced higher earnings, which resulted in cash flow expansion.</w:t>
      </w:r>
    </w:p>
    <w:p>
      <w:pPr>
        <w:spacing w:after="0" w:line="85"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income tax payments </w:t>
      </w:r>
      <w:r>
        <w:rPr>
          <w:rFonts w:ascii="Times New Roman" w:cs="Times New Roman" w:eastAsia="Times New Roman" w:hAnsi="Times New Roman"/>
          <w:sz w:val="18"/>
          <w:szCs w:val="18"/>
          <w:color w:val="auto"/>
        </w:rPr>
        <w:t>— Cash paid for income taxes, net of excess tax benefits associated with equity-based transactions,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approximately $144 million higher on a year-over-year basis. Note that, while pre-tax income on a year-over-year basis has declined $809 million, a significant portion of the 2013 impairments discussed above do not qualify for a tax benefit. See </w:t>
      </w:r>
      <w:r>
        <w:rPr>
          <w:rFonts w:ascii="Times New Roman" w:cs="Times New Roman" w:eastAsia="Times New Roman" w:hAnsi="Times New Roman"/>
          <w:sz w:val="18"/>
          <w:szCs w:val="18"/>
          <w:i w:val="1"/>
          <w:iCs w:val="1"/>
          <w:color w:val="auto"/>
        </w:rPr>
        <w:t>Liquidity Impacts of Income Tax Items</w:t>
      </w:r>
      <w:r>
        <w:rPr>
          <w:rFonts w:ascii="Times New Roman" w:cs="Times New Roman" w:eastAsia="Times New Roman" w:hAnsi="Times New Roman"/>
          <w:sz w:val="18"/>
          <w:szCs w:val="18"/>
          <w:color w:val="auto"/>
        </w:rPr>
        <w:t xml:space="preserve"> below for additional information.</w:t>
      </w:r>
    </w:p>
    <w:p>
      <w:pPr>
        <w:spacing w:after="0" w:line="85"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 starting swaps </w:t>
      </w:r>
      <w:r>
        <w:rPr>
          <w:rFonts w:ascii="Times New Roman" w:cs="Times New Roman" w:eastAsia="Times New Roman" w:hAnsi="Times New Roman"/>
          <w:sz w:val="18"/>
          <w:szCs w:val="18"/>
          <w:color w:val="auto"/>
        </w:rPr>
        <w:t>— During the third quarter of 2012, the forward-starting interest rate swaps associated with anticipated fixed-rate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issuances were terminated contemporaneously with the actual issuance of senior notes requiring a cash payment of $59 million. This cash payment has been classified as a change in “Other liabilities” within “Net cash provided by operating activities” in the Consolidated Statement of Cash Flows.</w:t>
      </w:r>
    </w:p>
    <w:p>
      <w:pPr>
        <w:spacing w:after="0" w:line="85"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interest rate swaps </w:t>
      </w:r>
      <w:r>
        <w:rPr>
          <w:rFonts w:ascii="Times New Roman" w:cs="Times New Roman" w:eastAsia="Times New Roman" w:hAnsi="Times New Roman"/>
          <w:sz w:val="18"/>
          <w:szCs w:val="18"/>
          <w:color w:val="auto"/>
        </w:rPr>
        <w:t>— In April 2012, we elected to terminate our $1 billion interest rate swap portfolio associated with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that were scheduled to mature from November 2012 through March 2018. Upon termination of the swaps, we received $72 million in cash for their fair value. The cash proceeds received from the termination of interest rate swap agreements have been classified as a change in “Other assets” within “Net cash provided by operating activities” in the Consolidated Statement of Cash Flows.</w:t>
      </w:r>
    </w:p>
    <w:p>
      <w:pPr>
        <w:spacing w:after="0" w:line="85" w:lineRule="exact"/>
        <w:rPr>
          <w:rFonts w:ascii="Times New Roman" w:cs="Times New Roman" w:eastAsia="Times New Roman" w:hAnsi="Times New Roman"/>
          <w:sz w:val="18"/>
          <w:szCs w:val="18"/>
          <w:color w:val="auto"/>
        </w:rPr>
      </w:pPr>
    </w:p>
    <w:p>
      <w:pPr>
        <w:ind w:left="900" w:right="100" w:hanging="325"/>
        <w:spacing w:after="0" w:line="25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assets and liabilities, net of effects from business acquisitions and divestitures </w:t>
      </w:r>
      <w:r>
        <w:rPr>
          <w:rFonts w:ascii="Times New Roman" w:cs="Times New Roman" w:eastAsia="Times New Roman" w:hAnsi="Times New Roman"/>
          <w:sz w:val="18"/>
          <w:szCs w:val="18"/>
          <w:color w:val="auto"/>
        </w:rPr>
        <w:t>— Our cash flow from operations was favorably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in 2013 by changes in our working capital accounts. Although our working capital changes may vary from year to year, they are typically driven by changes in accounts receivable, which are affected by both revenue changes and timing of payments received, and accounts payable, which are affected by both cost changes and timing of payments. Additionally, accruals for our annual incentive plan favorably affected our working capital comparison, driven by both higher incentive plan expense accruals in 2013 compared to 2012 and lower incentive plan payments in 2013 as compared to 2012.</w:t>
      </w:r>
    </w:p>
    <w:p>
      <w:pPr>
        <w:spacing w:after="0" w:line="183" w:lineRule="exact"/>
        <w:rPr>
          <w:sz w:val="20"/>
          <w:szCs w:val="20"/>
          <w:color w:val="auto"/>
        </w:rPr>
      </w:pPr>
    </w:p>
    <w:p>
      <w:pPr>
        <w:ind w:right="1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Investing Activities </w:t>
      </w:r>
      <w:r>
        <w:rPr>
          <w:rFonts w:ascii="Times New Roman" w:cs="Times New Roman" w:eastAsia="Times New Roman" w:hAnsi="Times New Roman"/>
          <w:sz w:val="18"/>
          <w:szCs w:val="18"/>
          <w:color w:val="auto"/>
        </w:rPr>
        <w:t>— The most significant items affecting the comparison of our investing cash flows for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are summarized below:</w:t>
      </w:r>
    </w:p>
    <w:p>
      <w:pPr>
        <w:spacing w:after="0" w:line="64" w:lineRule="exact"/>
        <w:rPr>
          <w:sz w:val="20"/>
          <w:szCs w:val="20"/>
          <w:color w:val="auto"/>
        </w:rPr>
      </w:pPr>
    </w:p>
    <w:p>
      <w:pPr>
        <w:ind w:left="900" w:right="120" w:hanging="325"/>
        <w:spacing w:after="0" w:line="261"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 expenditures — </w:t>
      </w:r>
      <w:r>
        <w:rPr>
          <w:rFonts w:ascii="Times New Roman" w:cs="Times New Roman" w:eastAsia="Times New Roman" w:hAnsi="Times New Roman"/>
          <w:sz w:val="18"/>
          <w:szCs w:val="18"/>
          <w:color w:val="auto"/>
        </w:rPr>
        <w:t>We used $1,151 million during 2014 for capital expenditures, compared with $1,271 million in 2013 and $1,510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2012. The decrease can generally be attributed to increased focus on capital spending management. Capital expenditures in 2012 included increased spending on compressed natural gas vehicles, related fueling infrastructure, and information technology infrastructure and growth initiatives, as well as our taking advantage of the bonus depreciation legislation.</w:t>
      </w:r>
    </w:p>
    <w:p>
      <w:pPr>
        <w:spacing w:after="0" w:line="85" w:lineRule="exact"/>
        <w:rPr>
          <w:rFonts w:ascii="Times New Roman" w:cs="Times New Roman" w:eastAsia="Times New Roman" w:hAnsi="Times New Roman"/>
          <w:sz w:val="18"/>
          <w:szCs w:val="18"/>
          <w:color w:val="auto"/>
        </w:rPr>
      </w:pPr>
    </w:p>
    <w:p>
      <w:pPr>
        <w:ind w:left="900" w:right="380" w:hanging="325"/>
        <w:spacing w:after="0" w:line="284"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Proceeds from divestitures — </w:t>
      </w:r>
      <w:r>
        <w:rPr>
          <w:rFonts w:ascii="Times New Roman" w:cs="Times New Roman" w:eastAsia="Times New Roman" w:hAnsi="Times New Roman"/>
          <w:sz w:val="18"/>
          <w:szCs w:val="18"/>
          <w:color w:val="auto"/>
        </w:rPr>
        <w:t>Proceeds from divestitures and other assets (net of cash divested) were $2,253 million in 2014, $138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and $44 million in 2012. These divestitures were made as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56" w:lineRule="auto"/>
        <w:rPr>
          <w:sz w:val="20"/>
          <w:szCs w:val="20"/>
          <w:color w:val="auto"/>
        </w:rPr>
      </w:pPr>
      <w:r>
        <w:rPr>
          <w:rFonts w:ascii="Times New Roman" w:cs="Times New Roman" w:eastAsia="Times New Roman" w:hAnsi="Times New Roman"/>
          <w:sz w:val="18"/>
          <w:szCs w:val="18"/>
          <w:color w:val="auto"/>
        </w:rPr>
        <w:t>part of our initiative to improve or divest certain non-strategic or underperforming operations. In 2014, our proceeds from divestitures were primarily related to the sale of our Wheelabrator business for $1.95 billion and, to a lesser extent, the sale of our Puerto Rico operations and certain other collection and landfill assets and certain landfill and collection operations in our Eastern Canada Area. In 2013, our proceeds from divestitures included approximately $41 million related to oil and gas producing properties and $14 million related to certain of our medical waste service operations and a transfer station in our Greater Mid-Atlantic Area. The remaining amount reported for 2013, as well as the proceeds in 2012 generally relate to the sale of fixed assets.</w:t>
      </w:r>
    </w:p>
    <w:p>
      <w:pPr>
        <w:spacing w:after="0" w:line="91" w:lineRule="exact"/>
        <w:rPr>
          <w:sz w:val="20"/>
          <w:szCs w:val="20"/>
          <w:color w:val="auto"/>
        </w:rPr>
      </w:pPr>
    </w:p>
    <w:p>
      <w:pPr>
        <w:ind w:left="900" w:right="20" w:hanging="325"/>
        <w:spacing w:after="0" w:line="256"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 Our spending on acquisitions was $35 million in 2014 compared with $724 million in 2013 and $250 million in 2012. All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2014 acquisitions related to our Solid Waste business. In 2013, our acquisitions consisted primarily of the recycling operations of Greenstar, for which we paid $170 million, and substantially all of the assets of RCI, for which we paid $481 million. The remainder of our 2013 acquisitions related to our Solid Waste business and energy services operations. In 2012, our acquisitions consisted primarily of interests in oil and gas producing properties acquired through two transactions, for which we paid $94 million. See Note 19 to the Consolidated Financial Statements for additional information related to our acquisitions. We continue to focus on accretive acquisitions and growth opportunities that will enhance and expand our existing service offerings.</w:t>
      </w:r>
    </w:p>
    <w:p>
      <w:pPr>
        <w:spacing w:after="0" w:line="88" w:lineRule="exact"/>
        <w:rPr>
          <w:rFonts w:ascii="Times New Roman" w:cs="Times New Roman" w:eastAsia="Times New Roman" w:hAnsi="Times New Roman"/>
          <w:sz w:val="18"/>
          <w:szCs w:val="18"/>
          <w:color w:val="auto"/>
        </w:rPr>
      </w:pPr>
    </w:p>
    <w:p>
      <w:pPr>
        <w:ind w:left="900" w:right="60" w:hanging="325"/>
        <w:spacing w:after="0" w:line="261"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Investments in unconsolidated entities </w:t>
      </w:r>
      <w:r>
        <w:rPr>
          <w:rFonts w:ascii="Times New Roman" w:cs="Times New Roman" w:eastAsia="Times New Roman" w:hAnsi="Times New Roman"/>
          <w:sz w:val="18"/>
          <w:szCs w:val="18"/>
          <w:color w:val="auto"/>
        </w:rPr>
        <w:t>— We made $33 million, $33 million and $77 million of cash investments in unconsolidated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2014, 2013 and 2012, respectively. In 2014 and 2013, our investments primarily related to additional capital contributions associated with our investment in a refined coal facility and waste diversion technology companies. In 2012, our investments primarily related to furthering our goal of expanding our service offerings and developing waste diversion technologies.</w:t>
      </w:r>
    </w:p>
    <w:p>
      <w:pPr>
        <w:spacing w:after="0" w:line="85"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receipts from restricted funds </w:t>
      </w:r>
      <w:r>
        <w:rPr>
          <w:rFonts w:ascii="Times New Roman" w:cs="Times New Roman" w:eastAsia="Times New Roman" w:hAnsi="Times New Roman"/>
          <w:sz w:val="18"/>
          <w:szCs w:val="18"/>
          <w:color w:val="auto"/>
        </w:rPr>
        <w:t>— Net cash received from our restricted trust and escrow accounts, which are largely generated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tax-exempt bonds for our capital needs, contributed $19 million to our investing activities in 2014 compared with $71 million in 2013 and $14 million in 2012. The significant increase in cash received from our restricted trust and escrow accounts during 2013 was due to an increase in tax-exempt borrowings.</w:t>
      </w:r>
    </w:p>
    <w:p>
      <w:pPr>
        <w:spacing w:after="0" w:line="85" w:lineRule="exact"/>
        <w:rPr>
          <w:rFonts w:ascii="Times New Roman" w:cs="Times New Roman" w:eastAsia="Times New Roman" w:hAnsi="Times New Roman"/>
          <w:sz w:val="18"/>
          <w:szCs w:val="18"/>
          <w:color w:val="auto"/>
        </w:rPr>
      </w:pPr>
    </w:p>
    <w:p>
      <w:pPr>
        <w:ind w:left="900" w:right="220" w:hanging="325"/>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 Net cash used by our other investing activities of $58 million, $81 million and $51 million during 2014, 2013 and 2012,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associated with the funding of notes receivable associated with Wheelabrator’s investments in the U.K., prior to the sale of our Wheelabrator business in December 2014.</w:t>
      </w:r>
    </w:p>
    <w:p>
      <w:pPr>
        <w:spacing w:after="0" w:line="174"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 The most significant items affecting the comparison of our financing cash flows for the periods presented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summarized below:</w:t>
      </w:r>
    </w:p>
    <w:p>
      <w:pPr>
        <w:spacing w:after="0" w:line="64" w:lineRule="exact"/>
        <w:rPr>
          <w:sz w:val="20"/>
          <w:szCs w:val="20"/>
          <w:color w:val="auto"/>
        </w:rPr>
      </w:pPr>
    </w:p>
    <w:p>
      <w:pPr>
        <w:ind w:left="900" w:right="100" w:hanging="325"/>
        <w:spacing w:after="0" w:line="28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Share repurchases — </w:t>
      </w:r>
      <w:r>
        <w:rPr>
          <w:rFonts w:ascii="Times New Roman" w:cs="Times New Roman" w:eastAsia="Times New Roman" w:hAnsi="Times New Roman"/>
          <w:sz w:val="18"/>
          <w:szCs w:val="18"/>
          <w:color w:val="auto"/>
        </w:rPr>
        <w:t>For the periods presented, all share repurchases have been made in accordance with financial plans approved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w:t>
      </w:r>
    </w:p>
    <w:p>
      <w:pPr>
        <w:spacing w:after="0" w:line="52" w:lineRule="exact"/>
        <w:rPr>
          <w:sz w:val="20"/>
          <w:szCs w:val="20"/>
          <w:color w:val="auto"/>
        </w:rPr>
      </w:pPr>
    </w:p>
    <w:p>
      <w:pPr>
        <w:ind w:left="920" w:right="40"/>
        <w:spacing w:after="0" w:line="258" w:lineRule="auto"/>
        <w:rPr>
          <w:sz w:val="20"/>
          <w:szCs w:val="20"/>
          <w:color w:val="auto"/>
        </w:rPr>
      </w:pPr>
      <w:r>
        <w:rPr>
          <w:rFonts w:ascii="Times New Roman" w:cs="Times New Roman" w:eastAsia="Times New Roman" w:hAnsi="Times New Roman"/>
          <w:sz w:val="18"/>
          <w:szCs w:val="18"/>
          <w:color w:val="auto"/>
        </w:rPr>
        <w:t>During the third quarter of 2014, we entered into accelerated share repurchase (“ASR”) agreements with two financial institutions to repurchase an aggregate of $600 million of our common stock. At the beginning of the ASR repurchase periods, we delivered the $600 million in cash and received 9.6 million shares, which represented 70% of the shares expected to be repurchased based on then-current market prices. These agreements were completed in February 2015 and we received approximately 2.8 million additional shares. The final weighted average per share purchase price for the completed ASR agreements was $48.58.</w:t>
      </w:r>
    </w:p>
    <w:p>
      <w:pPr>
        <w:spacing w:after="0" w:line="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We paid $239 million to repurchase 5.4 million shares of our common stock in 2013. We did not repurchase any shares during 2012.</w:t>
      </w:r>
    </w:p>
    <w:p>
      <w:pPr>
        <w:spacing w:after="0" w:line="117" w:lineRule="exact"/>
        <w:rPr>
          <w:sz w:val="20"/>
          <w:szCs w:val="20"/>
          <w:color w:val="auto"/>
        </w:rPr>
      </w:pPr>
    </w:p>
    <w:p>
      <w:pPr>
        <w:ind w:left="920" w:right="160"/>
        <w:spacing w:after="0" w:line="282" w:lineRule="auto"/>
        <w:rPr>
          <w:sz w:val="20"/>
          <w:szCs w:val="20"/>
          <w:color w:val="auto"/>
        </w:rPr>
      </w:pPr>
      <w:r>
        <w:rPr>
          <w:rFonts w:ascii="Times New Roman" w:cs="Times New Roman" w:eastAsia="Times New Roman" w:hAnsi="Times New Roman"/>
          <w:sz w:val="18"/>
          <w:szCs w:val="18"/>
          <w:color w:val="auto"/>
        </w:rPr>
        <w:t>We announced in February 2015 that the Board of Directors has authorized up to $1 billion in future share repurchases; this authorization is the only currently outstanding authorization for share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80"/>
        <w:spacing w:after="0" w:line="282" w:lineRule="auto"/>
        <w:rPr>
          <w:sz w:val="20"/>
          <w:szCs w:val="20"/>
          <w:color w:val="auto"/>
        </w:rPr>
      </w:pPr>
      <w:r>
        <w:rPr>
          <w:rFonts w:ascii="Times New Roman" w:cs="Times New Roman" w:eastAsia="Times New Roman" w:hAnsi="Times New Roman"/>
          <w:sz w:val="18"/>
          <w:szCs w:val="18"/>
          <w:color w:val="auto"/>
        </w:rPr>
        <w:t>repurchases. Any future share repurchases will be made at the discretion of management and will depend on factors similar to those considered by the Board of Directors in making dividend declarations.</w:t>
      </w:r>
    </w:p>
    <w:p>
      <w:pPr>
        <w:spacing w:after="0" w:line="65" w:lineRule="exact"/>
        <w:rPr>
          <w:sz w:val="20"/>
          <w:szCs w:val="20"/>
          <w:color w:val="auto"/>
        </w:rPr>
      </w:pPr>
    </w:p>
    <w:p>
      <w:pPr>
        <w:ind w:left="900" w:right="840" w:hanging="325"/>
        <w:spacing w:after="0" w:line="284"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payments — </w:t>
      </w:r>
      <w:r>
        <w:rPr>
          <w:rFonts w:ascii="Times New Roman" w:cs="Times New Roman" w:eastAsia="Times New Roman" w:hAnsi="Times New Roman"/>
          <w:sz w:val="18"/>
          <w:szCs w:val="18"/>
          <w:color w:val="auto"/>
        </w:rPr>
        <w:t>For the periods presented, all dividends have been declared and approved by our Board of Directors and paid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our financial plans.</w:t>
      </w:r>
    </w:p>
    <w:p>
      <w:pPr>
        <w:spacing w:after="0" w:line="52" w:lineRule="exact"/>
        <w:rPr>
          <w:sz w:val="20"/>
          <w:szCs w:val="20"/>
          <w:color w:val="auto"/>
        </w:rPr>
      </w:pPr>
    </w:p>
    <w:p>
      <w:pPr>
        <w:ind w:left="920" w:right="360"/>
        <w:spacing w:after="0" w:line="261" w:lineRule="auto"/>
        <w:rPr>
          <w:sz w:val="20"/>
          <w:szCs w:val="20"/>
          <w:color w:val="auto"/>
        </w:rPr>
      </w:pPr>
      <w:r>
        <w:rPr>
          <w:rFonts w:ascii="Times New Roman" w:cs="Times New Roman" w:eastAsia="Times New Roman" w:hAnsi="Times New Roman"/>
          <w:sz w:val="18"/>
          <w:szCs w:val="18"/>
          <w:color w:val="auto"/>
        </w:rPr>
        <w:t>We paid an aggregate of $693 million in cash dividends during 2014, compared with $683 million in 2013, and $658 million in 2012. The increase in dividend payments is due to our quarterly per share dividend increasing from $0.355 in 2012, to $0.365 in 2013, and to $0.375 in 2014 and has been offset, in part, by a reduction in our common stock outstanding during 2013 and 2014 as a result of our share repurchase programs.</w:t>
      </w:r>
    </w:p>
    <w:p>
      <w:pPr>
        <w:spacing w:after="0" w:line="72"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In February 2015, we announced that our Board of Directors expects to increase the quarterly dividend from $0.375 to $0.385 per share for dividends declared in 2015. However, all future dividend declarations are at the discretion of the Board of Directors, and depend on various factors, including our net earnings, financial condition, cash required for future business plans and other factors the Board of Directors may deem relevant.</w:t>
      </w:r>
    </w:p>
    <w:p>
      <w:pPr>
        <w:spacing w:after="0" w:line="84" w:lineRule="exact"/>
        <w:rPr>
          <w:sz w:val="20"/>
          <w:szCs w:val="20"/>
          <w:color w:val="auto"/>
        </w:rPr>
      </w:pPr>
    </w:p>
    <w:p>
      <w:pPr>
        <w:ind w:left="900" w:right="20" w:hanging="325"/>
        <w:spacing w:after="0" w:line="261"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Proceeds from the exercise of common stock options — </w:t>
      </w:r>
      <w:r>
        <w:rPr>
          <w:rFonts w:ascii="Times New Roman" w:cs="Times New Roman" w:eastAsia="Times New Roman" w:hAnsi="Times New Roman"/>
          <w:sz w:val="18"/>
          <w:szCs w:val="18"/>
          <w:color w:val="auto"/>
        </w:rPr>
        <w:t>The exercise of common stock options and the related excess tax benefits generated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of $93 million of financing cash inflows during 2014 compared with $132 million during 2013 and $43 million during 2012. The increase in exercised stock options during 2013 and, to a lesser extent, during 2014 is primarily due to the increase in the Company’s stock price combined with exercises in advance of stock option expiration dates.</w:t>
      </w:r>
    </w:p>
    <w:p>
      <w:pPr>
        <w:spacing w:after="0" w:line="85" w:lineRule="exact"/>
        <w:rPr>
          <w:rFonts w:ascii="Times New Roman" w:cs="Times New Roman" w:eastAsia="Times New Roman" w:hAnsi="Times New Roman"/>
          <w:sz w:val="18"/>
          <w:szCs w:val="18"/>
          <w:color w:val="auto"/>
        </w:rPr>
      </w:pPr>
    </w:p>
    <w:p>
      <w:pPr>
        <w:ind w:left="900" w:hanging="325"/>
        <w:spacing w:after="0" w:line="315" w:lineRule="auto"/>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Debt borrowings (repayments) — </w:t>
      </w:r>
      <w:r>
        <w:rPr>
          <w:rFonts w:ascii="Times New Roman" w:cs="Times New Roman" w:eastAsia="Times New Roman" w:hAnsi="Times New Roman"/>
          <w:sz w:val="17"/>
          <w:szCs w:val="17"/>
          <w:color w:val="auto"/>
        </w:rPr>
        <w:t>Net debt repayments were $751 million in 2014 compared to net debt borrowings of $155 million and $122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in 2013 and 2012, respectively. The following summarizes our cash borrowings and debt repayments made during each year (in millions):</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6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revolving credit facility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Canadian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leases and other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6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Repayments</w:t>
            </w: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revolving credit facility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w w:val="95"/>
              </w:rPr>
              <w:t>(2,645)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8"/>
              </w:rPr>
              <w:t>(1,120)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Canadian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(447)</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Tax-exempt bonds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leases and 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448"/>
              <w:spacing w:after="0"/>
              <w:rPr>
                <w:sz w:val="20"/>
                <w:szCs w:val="20"/>
                <w:color w:val="auto"/>
              </w:rPr>
            </w:pPr>
            <w:r>
              <w:rPr>
                <w:rFonts w:ascii="Times New Roman" w:cs="Times New Roman" w:eastAsia="Times New Roman" w:hAnsi="Times New Roman"/>
                <w:sz w:val="18"/>
                <w:szCs w:val="18"/>
                <w:color w:val="auto"/>
              </w:rPr>
              <w:t>(207)</w:t>
            </w:r>
          </w:p>
        </w:tc>
        <w:tc>
          <w:tcPr>
            <w:tcW w:w="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6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color w:val="auto"/>
                <w:w w:val="95"/>
              </w:rPr>
              <w:t>(3,568)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8"/>
              </w:rPr>
              <w:t>(2,077)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(1,498)</w:t>
            </w:r>
          </w:p>
        </w:tc>
      </w:tr>
      <w:tr>
        <w:trPr>
          <w:trHeight w:val="223"/>
        </w:trPr>
        <w:tc>
          <w:tcPr>
            <w:tcW w:w="6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borrowings (repayments)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58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5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920" w:right="60"/>
        <w:spacing w:after="0" w:line="266" w:lineRule="auto"/>
        <w:rPr>
          <w:sz w:val="20"/>
          <w:szCs w:val="20"/>
          <w:color w:val="auto"/>
        </w:rPr>
      </w:pPr>
      <w:r>
        <w:rPr>
          <w:rFonts w:ascii="Times New Roman" w:cs="Times New Roman" w:eastAsia="Times New Roman" w:hAnsi="Times New Roman"/>
          <w:sz w:val="18"/>
          <w:szCs w:val="18"/>
          <w:color w:val="auto"/>
        </w:rPr>
        <w:t>During 2014 and 2012, we did not have any significant non-cash investing and financing activities. For the year ended December 31, 2013, non-cash investing and financing activities included proceeds from tax-exempt borrowings, net of principal payments made directly from trust funds, of $99 million.</w:t>
      </w:r>
    </w:p>
    <w:p>
      <w:pPr>
        <w:spacing w:after="0" w:line="80" w:lineRule="exact"/>
        <w:rPr>
          <w:sz w:val="20"/>
          <w:szCs w:val="20"/>
          <w:color w:val="auto"/>
        </w:rPr>
      </w:pPr>
    </w:p>
    <w:p>
      <w:pPr>
        <w:ind w:left="900" w:right="140" w:hanging="325"/>
        <w:spacing w:after="0" w:line="267"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Acquisitions of and distributions paid to noncontrolling interests </w:t>
      </w:r>
      <w:r>
        <w:rPr>
          <w:rFonts w:ascii="Times New Roman" w:cs="Times New Roman" w:eastAsia="Times New Roman" w:hAnsi="Times New Roman"/>
          <w:sz w:val="18"/>
          <w:szCs w:val="18"/>
          <w:color w:val="auto"/>
        </w:rPr>
        <w:t>— The purchases of and distributions paid to our noncontrolling interests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$125 million, $59 million and $46 million in 2014, 2013 and 2012, respectively. The increase during 2014 compared to 2013 is primarily attributable to the purchase of the noncontrolling interests in the LLCs related to our waste-to-energy facilities in December 2014</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82" w:lineRule="auto"/>
        <w:rPr>
          <w:sz w:val="20"/>
          <w:szCs w:val="20"/>
          <w:color w:val="auto"/>
        </w:rPr>
      </w:pPr>
      <w:r>
        <w:rPr>
          <w:rFonts w:ascii="Times New Roman" w:cs="Times New Roman" w:eastAsia="Times New Roman" w:hAnsi="Times New Roman"/>
          <w:sz w:val="18"/>
          <w:szCs w:val="18"/>
          <w:color w:val="auto"/>
        </w:rPr>
        <w:t>for $91 million, in anticipation of our sale of our Wheelabrator business. The LLCs were then subsequently sold as part of the divestment of our Wheelabrator business. See Note 20 to the Consolidated Financial Statements for further discussion of these LLCs.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Contractual Obligations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2014 and the anticipated effect of these obligations on our liquidity in future years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3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9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Recorded Obligations</w:t>
            </w: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environmental liabilities:(a)</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Final capping, closure and post-closure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$116</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remediation</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116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payments(b),(c),(d)</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1,075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801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9,476</w:t>
            </w: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Unrecorded Obligations:(e)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Non-cancelable operating lease obligations</w:t>
            </w: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unconditional purchase obligations(f)</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Anticipated liquidity impact as of December 31, 2014</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1,514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1,118</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782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1,113</w:t>
            </w: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398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9,297</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14,222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right="160" w:hanging="452"/>
        <w:spacing w:after="0" w:line="255"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include final capping, closure, post-closure and environmental remediation costs. The amounts included here reflect environmental liabilities recorded in our Consolidated Balance Sheet as of December 31, 2014 without the impact of discounting and inflation. Our recorded environmental liabilities for final capping, closure and post-closure will increase as we continue to place additional tons within the permitted airspace at our landfills.</w:t>
      </w:r>
    </w:p>
    <w:p>
      <w:pPr>
        <w:spacing w:after="0" w:line="2"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 represent the scheduled principal payments related to our long-term debt, excluding related interest. Refer to Note 7 to the Consolidated Financial Statements for information regarding interest rates.</w:t>
      </w:r>
    </w:p>
    <w:p>
      <w:pPr>
        <w:ind w:left="460" w:hanging="452"/>
        <w:spacing w:after="0" w:line="250"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obligations as of December 31, 2014 include $638 million of tax-exempt bonds subject to repricing within the next 12 months, which is prior to their scheduled maturities. If the re-offerings of the bonds are unsuccessful, then the bonds can be put to us, requiring immediate repayment. We have classified the anticipated cash flows for these contractual obligations based on the scheduled maturity of the borrowing for purposes of this disclosure. For additional information regarding the classification of these borrowings in our Consolidated Balance Sheet as of December 31, 2014, refer to Note 7 to the Consolidated Financial Statements.</w:t>
      </w:r>
    </w:p>
    <w:p>
      <w:pPr>
        <w:spacing w:after="0" w:line="2" w:lineRule="exact"/>
        <w:rPr>
          <w:rFonts w:ascii="Times New Roman" w:cs="Times New Roman" w:eastAsia="Times New Roman" w:hAnsi="Times New Roman"/>
          <w:sz w:val="18"/>
          <w:szCs w:val="18"/>
          <w:color w:val="auto"/>
        </w:rPr>
      </w:pPr>
    </w:p>
    <w:p>
      <w:pPr>
        <w:ind w:left="460" w:right="240" w:hanging="452"/>
        <w:spacing w:after="0" w:line="250"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recorded debt obligations include non-cash adjustments associated with discounts, premiums and fair value adjustments for interest rate hedging activities. These amounts have been excluded here because they will not result in an impact to our liquidity in future periods.</w:t>
      </w:r>
    </w:p>
    <w:p>
      <w:pPr>
        <w:ind w:left="460" w:right="240" w:hanging="452"/>
        <w:spacing w:after="0" w:line="250"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unrecorded obligations represent operating lease obligations and purchase commitments from which we expect to realize an economic benefit in future periods. We have also made certain guarantees, as discussed in Note 11 to the Consolidated Financial Statements, that we do not expect to materially affect our current or future financial position, results of operations or liquidity.</w:t>
      </w:r>
    </w:p>
    <w:p>
      <w:pPr>
        <w:spacing w:after="0" w:line="1" w:lineRule="exact"/>
        <w:rPr>
          <w:rFonts w:ascii="Times New Roman" w:cs="Times New Roman" w:eastAsia="Times New Roman" w:hAnsi="Times New Roman"/>
          <w:sz w:val="18"/>
          <w:szCs w:val="18"/>
          <w:color w:val="auto"/>
        </w:rPr>
      </w:pPr>
    </w:p>
    <w:p>
      <w:pPr>
        <w:ind w:left="460" w:right="60" w:hanging="452"/>
        <w:spacing w:after="0" w:line="253" w:lineRule="auto"/>
        <w:tabs>
          <w:tab w:leader="none" w:pos="4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unconditional purchase obligations are for various contractual obligations that we generally incur in the ordinary course of our business. Certain of our obligations are quantity driven. For contracts that require us to purchase minimum quantities of goods or services, we have estimated our future minimum obligations based on the current market values of the underlying products or services. Accordingly, the amounts reported in the table are not necessarily indicative of our actual cash flow obligations. See Note 11 to the Consolidated Financial Statements for discussion of the nature and terms of our unconditional purchase obligations.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Liquidity Impacts of Income Tax Items</w:t>
      </w:r>
    </w:p>
    <w:p>
      <w:pPr>
        <w:spacing w:after="0" w:line="11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Bonus Depreciation </w:t>
      </w:r>
      <w:r>
        <w:rPr>
          <w:rFonts w:ascii="Times New Roman" w:cs="Times New Roman" w:eastAsia="Times New Roman" w:hAnsi="Times New Roman"/>
          <w:sz w:val="18"/>
          <w:szCs w:val="18"/>
          <w:color w:val="auto"/>
        </w:rPr>
        <w:t>— The Tax Increase Prevention Act of 2014 was signed into law on December 19, 2014 and included an extension for one year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will reduce our cash taxes by approximately $60 million.</w:t>
      </w:r>
    </w:p>
    <w:p>
      <w:pPr>
        <w:spacing w:after="0" w:line="18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Taking accelerated deductions results in increased cash taxes in subsequent periods when the deductions related to the capital expenditures would have otherwise been taken. Overall, the effect of all applicable years’ bonus depreciation programs resulted in increased cash taxes of $30 million in 2014. Separately, our tax payments in 2014 were $247 million higher than the tax payments made in 2013 primarily due to (i) higher pre-tax earnings, (ii) an anticipated overpayment of taxes, and (iii) divestiture of our Puerto Rico operations and certain other collection and landfill assets.</w:t>
      </w:r>
    </w:p>
    <w:p>
      <w:pPr>
        <w:spacing w:after="0" w:line="17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Uncertain Tax Positions </w:t>
      </w:r>
      <w:r>
        <w:rPr>
          <w:rFonts w:ascii="Times New Roman" w:cs="Times New Roman" w:eastAsia="Times New Roman" w:hAnsi="Times New Roman"/>
          <w:sz w:val="18"/>
          <w:szCs w:val="18"/>
          <w:color w:val="auto"/>
        </w:rPr>
        <w:t>— We have liabilities associated with unrecognized tax benefits and related interest. These liabilities are included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 of long-term “Other liabilities” in our Consolidated Balance Sheets because the Company does not anticipate that settlement of the liabilities will require payment of cash within the next 12 months. We are not able to reasonably estimate when we would make any cash payments required to settle these liabilities, but we do not believe that the ultimate settlement of our obligations will materially affect our liquidity. We anticipate that approximately $12 million of liabilities for unrecognized tax benefits, including accrued interest, and $3 million of related tax assets may be reversed within the next 12 months. The anticipated reversals primarily relate to state tax items, none of which are material, and are expected to result from audit settlements or the expiration of the applicable statute of limitations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 xml:space="preserve">We have financial interests in unconsolidated variable interest entities as discussed in Note 20 to the Consolidated Financial Statements. Additionally, we are party to guarantee arrangements with unconsolidated entities as discussed in the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xml:space="preserve"> section of Note 11 to the Consolidated Financial Statements. These arrangements have not materially affected our financial position, results of operations or liquidity during the year ended December 31, 2014, nor are they expected to have a material impact on our future financial position, results of operations or liquidity.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 Pending Adoption</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While inflationary increases in costs, including the cost of diesel fuel, have affected our income from operations margins in recent years, we believe that inflation generally has not had, and in the near future is not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80"/>
          </w:cols>
          <w:pgMar w:left="240" w:top="455" w:right="27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expected to have, any material adverse effect on our results of operations. However, as of December 31, 2014, approximately 30%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3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interest rates, Canadian currency rates and certain commodity prices. From time to time, we use derivatives to manage some portion of these risks. Our derivatives are agreements with independent counterparties that provide for payments based on a notional amount. As of December 31, 2014, all of our derivative transactions were related to actual or anticipated economic exposures. We are exposed to credit risk in the event of non-performance by our derivative counterparties. However, we monitor our derivative positions by regularly evaluating our positions and the creditworthiness of the counterparties.</w:t>
      </w:r>
    </w:p>
    <w:p>
      <w:pPr>
        <w:spacing w:after="0" w:line="182"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w:t>
      </w:r>
      <w:r>
        <w:rPr>
          <w:rFonts w:ascii="Times New Roman" w:cs="Times New Roman" w:eastAsia="Times New Roman" w:hAnsi="Times New Roman"/>
          <w:sz w:val="18"/>
          <w:szCs w:val="18"/>
          <w:color w:val="auto"/>
        </w:rPr>
        <w:t>— Our exposure to market risk for changes in interest rates relates primarily to our financing activities, although our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costs can also be significantly affected by our on-going financial assurance needs, which are discussed in the </w:t>
      </w:r>
      <w:r>
        <w:rPr>
          <w:rFonts w:ascii="Times New Roman" w:cs="Times New Roman" w:eastAsia="Times New Roman" w:hAnsi="Times New Roman"/>
          <w:sz w:val="18"/>
          <w:szCs w:val="18"/>
          <w:i w:val="1"/>
          <w:iCs w:val="1"/>
          <w:color w:val="auto"/>
        </w:rPr>
        <w:t>Financial Assurance and Insurance Obligations</w:t>
      </w:r>
      <w:r>
        <w:rPr>
          <w:rFonts w:ascii="Times New Roman" w:cs="Times New Roman" w:eastAsia="Times New Roman" w:hAnsi="Times New Roman"/>
          <w:sz w:val="18"/>
          <w:szCs w:val="18"/>
          <w:color w:val="auto"/>
        </w:rPr>
        <w:t xml:space="preserve"> section of Item 1.</w:t>
      </w:r>
    </w:p>
    <w:p>
      <w:pPr>
        <w:spacing w:after="0" w:line="176"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As of December 31, 2014, we had $9.4 billion of long-term debt when excluding the impacts of accounting for fair value adjustments attributable to interest rate derivatives, discounts and premiums. The effective interest rates of approximately $1.4 billion of our outstanding debt obligations are subject to change during 2015. The most significant components of our variable-rate debt obligations are (i) $501 million of tax-exempt bonds that are subject to repricing on either a daily or weekly basis through a remarketing process; (ii) $638 million of tax-exempt bonds with term interest rate periods that are subject to repricing within 12 months and (iii) $232 million of outstanding advances under our Canadian credit facility. We currently estimate that a 100 basis point increase in the interest rates of our outstanding variable-rate debt obligations would increase our 2015 interest expense by approximately $11.2 million. As of December 31, 2013, the effective interest rates of approximately $2.4 billion of our outstanding debt obligations were subject to change within 12 months.</w:t>
      </w:r>
    </w:p>
    <w:p>
      <w:pPr>
        <w:spacing w:after="0" w:line="17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remaining outstanding debt obligations have fixed interest rates through either the scheduled maturity of the debt or, for certain of our “fixed-rate” tax exempt bonds, through the end of a term interest rate period that exceeds twelve months. The fair value of our fixed-rate debt obligations and various interest rate derivative instruments, if any, can increase or decrease significantly if market interest rates change.</w:t>
      </w:r>
    </w:p>
    <w:p>
      <w:pPr>
        <w:spacing w:after="0" w:line="176"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We have performed sensitivity analyses to determine how market rate changes might affect the fair value of our market risk-sensitive derivatives and related positions. These analyses are inherently limited because they reflect a singular, hypothetical set of assumptions. Actual market movements may vary significantly from our assumptions. An instantaneous, one percentage point increase in interest rates across all maturities and applicable yield curves attributable to these instruments would have decreased the fair value of our combined debt and interest rate derivative positions by approximately $650 million at December 31, 2014.</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are also exposed to interest rate market risk because we have significant cash and cash equivalent balances as well as assets held in restricted trust funds and escrow accounts. These assets are generally invested in high quality, liquid instruments including money market funds that invest in U.S. government obligations with original maturities of three months or less. Because of the short terms to maturity of these investments, we believe that our exposure to changes in fair value due to interest rate fluctuations is insignificant.</w:t>
      </w:r>
    </w:p>
    <w:p>
      <w:pPr>
        <w:spacing w:after="0" w:line="178" w:lineRule="exact"/>
        <w:rPr>
          <w:sz w:val="20"/>
          <w:szCs w:val="20"/>
          <w:color w:val="auto"/>
        </w:rPr>
      </w:pPr>
    </w:p>
    <w:p>
      <w:pPr>
        <w:jc w:val="both"/>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Commodity Price Exposure </w:t>
      </w:r>
      <w:r>
        <w:rPr>
          <w:rFonts w:ascii="Times New Roman" w:cs="Times New Roman" w:eastAsia="Times New Roman" w:hAnsi="Times New Roman"/>
          <w:sz w:val="18"/>
          <w:szCs w:val="18"/>
          <w:color w:val="auto"/>
        </w:rPr>
        <w:t>— In the normal course of our business, we are subject to operating agreements that expose us to market risks arising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prices for commodities such as diesel fuel; recyclable materials, including old corrugated cardboard, old newsprint and plastics; and electricity, which generally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correlates with natural gas prices in many of the markets in which we operate. During the three years ended December 31, 2014, we generally have not entered into derivatives to hedge the risks associated with changes in the market prices of these commodities, with the exception of electricity commodity derivatives divested in conjunction with the sale of our Wheelabrator business in December 2014. Alternatively, we attempt to manage these risks through operational strategies that focus on capturing our costs in the prices we charge our customers for the services provided. Accordingly, as the market prices for these commodities increase or decrease, our revenues also increase or decrease.</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Currency Rate Exposure </w:t>
      </w:r>
      <w:r>
        <w:rPr>
          <w:rFonts w:ascii="Times New Roman" w:cs="Times New Roman" w:eastAsia="Times New Roman" w:hAnsi="Times New Roman"/>
          <w:sz w:val="18"/>
          <w:szCs w:val="18"/>
          <w:color w:val="auto"/>
        </w:rPr>
        <w:t>— We have operations in Canada as well as a cost center in India and investments in Hong Kong. From time to time, we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derivatives to mitigate the impact of currency translation on cash flows of intercompany Canadian-currency denominated debt transactions. Our foreign currency derivatives have not materially affected our financial position or results of operations for the periods presented. In addition, while changes in foreign currency exchange rates could significantly affect the fair value of our foreign currency derivatives, we believe these changes in fair value would not have a material impact to the Company. The foreign currency exposure associated with these investments has not been material. Refer to Notes 8 and 14 of the Consolidated Financial Statements for additional information regarding our foreign currency derivatives.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80"/>
          </w:cols>
          <w:pgMar w:left="240" w:top="455" w:right="2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20" w:type="dxa"/>
            <w:vAlign w:val="bottom"/>
            <w:gridSpan w:val="9"/>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00" w:type="dxa"/>
            <w:vAlign w:val="bottom"/>
            <w:gridSpan w:val="5"/>
          </w:tcPr>
          <w:p>
            <w:pPr>
              <w:jc w:val="center"/>
              <w:ind w:right="4500"/>
              <w:spacing w:after="0"/>
              <w:rPr>
                <w:sz w:val="20"/>
                <w:szCs w:val="20"/>
                <w:color w:val="auto"/>
              </w:rPr>
            </w:pPr>
            <w:r>
              <w:rPr>
                <w:rFonts w:ascii="Times New Roman" w:cs="Times New Roman" w:eastAsia="Times New Roman" w:hAnsi="Times New Roman"/>
                <w:sz w:val="18"/>
                <w:szCs w:val="18"/>
                <w:b w:val="1"/>
                <w:bCs w:val="1"/>
                <w:color w:val="auto"/>
                <w:w w:val="99"/>
              </w:rPr>
              <w:t>INDEX TO</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860" w:type="dxa"/>
            <w:vAlign w:val="bottom"/>
            <w:gridSpan w:val="8"/>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20" w:type="dxa"/>
            <w:vAlign w:val="bottom"/>
            <w:gridSpan w:val="5"/>
            <w:vMerge w:val="restart"/>
          </w:tcPr>
          <w:p>
            <w:pPr>
              <w:spacing w:after="0"/>
              <w:rPr>
                <w:rFonts w:ascii="Times New Roman" w:cs="Times New Roman" w:eastAsia="Times New Roman" w:hAnsi="Times New Roman"/>
                <w:sz w:val="18"/>
                <w:szCs w:val="18"/>
                <w:color w:val="0000EE"/>
                <w:w w:val="99"/>
              </w:rPr>
            </w:pPr>
            <w:hyperlink w:anchor="page73">
              <w:r>
                <w:rPr>
                  <w:rFonts w:ascii="Times New Roman" w:cs="Times New Roman" w:eastAsia="Times New Roman" w:hAnsi="Times New Roman"/>
                  <w:sz w:val="18"/>
                  <w:szCs w:val="18"/>
                  <w:color w:val="0000EE"/>
                  <w:w w:val="99"/>
                </w:rPr>
                <w:t>Management’s Report on Internal Control Over Financial Reporting</w:t>
              </w:r>
            </w:hyperlink>
          </w:p>
        </w:tc>
        <w:tc>
          <w:tcPr>
            <w:tcW w:w="6100" w:type="dxa"/>
            <w:vAlign w:val="bottom"/>
            <w:gridSpan w:val="5"/>
            <w:vMerge w:val="restart"/>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4920" w:type="dxa"/>
            <w:vAlign w:val="bottom"/>
            <w:tcBorders>
              <w:bottom w:val="single" w:sz="8" w:color="0000EE"/>
            </w:tcBorders>
            <w:gridSpan w:val="5"/>
            <w:vMerge w:val="continue"/>
          </w:tcPr>
          <w:p>
            <w:pPr>
              <w:spacing w:after="0"/>
              <w:rPr>
                <w:sz w:val="13"/>
                <w:szCs w:val="13"/>
                <w:color w:val="auto"/>
              </w:rPr>
            </w:pPr>
          </w:p>
        </w:tc>
        <w:tc>
          <w:tcPr>
            <w:tcW w:w="6100" w:type="dxa"/>
            <w:vAlign w:val="bottom"/>
            <w:gridSpan w:val="5"/>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430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Reports of Independent Registered Public Accounting Firm</w:t>
              </w:r>
            </w:hyperlink>
          </w:p>
        </w:tc>
        <w:tc>
          <w:tcPr>
            <w:tcW w:w="6720" w:type="dxa"/>
            <w:vAlign w:val="bottom"/>
            <w:gridSpan w:val="7"/>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76">
              <w:r>
                <w:rPr>
                  <w:rFonts w:ascii="Times New Roman" w:cs="Times New Roman" w:eastAsia="Times New Roman" w:hAnsi="Times New Roman"/>
                  <w:sz w:val="18"/>
                  <w:szCs w:val="18"/>
                  <w:color w:val="0000EE"/>
                  <w:w w:val="99"/>
                </w:rPr>
                <w:t>Consolidated Balance Sheets as of December 31, 2014 and 2013</w:t>
              </w:r>
            </w:hyperlink>
          </w:p>
        </w:tc>
        <w:tc>
          <w:tcPr>
            <w:tcW w:w="63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Consolidated Statements of Operations for the Years Ended December 31, 2014, 2013 and 2012</w:t>
              </w:r>
            </w:hyperlink>
          </w:p>
        </w:tc>
        <w:tc>
          <w:tcPr>
            <w:tcW w:w="41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77">
              <w:r>
                <w:rPr>
                  <w:rFonts w:ascii="Times New Roman" w:cs="Times New Roman" w:eastAsia="Times New Roman" w:hAnsi="Times New Roman"/>
                  <w:sz w:val="18"/>
                  <w:szCs w:val="18"/>
                  <w:color w:val="0000EE"/>
                  <w:w w:val="99"/>
                </w:rPr>
                <w:t>Consolidated Statements of Comprehensive Income for the Years Ended December 31, 2014, 2013 and 2012</w:t>
              </w:r>
            </w:hyperlink>
          </w:p>
        </w:tc>
        <w:tc>
          <w:tcPr>
            <w:tcW w:w="31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6"/>
        </w:trPr>
        <w:tc>
          <w:tcPr>
            <w:tcW w:w="11020" w:type="dxa"/>
            <w:vAlign w:val="bottom"/>
            <w:gridSpan w:val="10"/>
          </w:tcPr>
          <w:p>
            <w:pPr>
              <w:spacing w:after="0" w:line="196"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Consolidated Statements of Cash Flows for the Years Ended December 31, 2014, 2013 and 2012</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800" w:type="dxa"/>
            <w:vAlign w:val="bottom"/>
            <w:gridSpan w:val="5"/>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79">
              <w:r>
                <w:rPr>
                  <w:rFonts w:ascii="Times New Roman" w:cs="Times New Roman" w:eastAsia="Times New Roman" w:hAnsi="Times New Roman"/>
                  <w:sz w:val="18"/>
                  <w:szCs w:val="18"/>
                  <w:color w:val="0000EE"/>
                  <w:w w:val="99"/>
                </w:rPr>
                <w:t>Consolidated Statements of Changes in Equity for the Years Ended December 31, 2014, 2013 and 2012</w:t>
              </w:r>
            </w:hyperlink>
          </w:p>
        </w:tc>
        <w:tc>
          <w:tcPr>
            <w:tcW w:w="356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80">
              <w:r>
                <w:rPr>
                  <w:rFonts w:ascii="Times New Roman" w:cs="Times New Roman" w:eastAsia="Times New Roman" w:hAnsi="Times New Roman"/>
                  <w:sz w:val="18"/>
                  <w:szCs w:val="18"/>
                  <w:color w:val="0000EE"/>
                  <w:w w:val="99"/>
                </w:rPr>
                <w:t>Notes to Consolidated Financial Statements</w:t>
              </w:r>
            </w:hyperlink>
          </w:p>
        </w:tc>
        <w:tc>
          <w:tcPr>
            <w:tcW w:w="78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6120" w:type="dxa"/>
            <w:vAlign w:val="bottom"/>
            <w:gridSpan w:val="5"/>
          </w:tcPr>
          <w:p>
            <w:pPr>
              <w:jc w:val="center"/>
              <w:ind w:left="3610"/>
              <w:spacing w:after="0"/>
              <w:rPr>
                <w:sz w:val="20"/>
                <w:szCs w:val="20"/>
                <w:color w:val="auto"/>
              </w:rPr>
            </w:pPr>
            <w:r>
              <w:rPr>
                <w:rFonts w:ascii="Times New Roman" w:cs="Times New Roman" w:eastAsia="Times New Roman" w:hAnsi="Times New Roman"/>
                <w:sz w:val="18"/>
                <w:szCs w:val="18"/>
                <w:color w:val="auto"/>
                <w:w w:val="99"/>
              </w:rPr>
              <w:t>72</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OVER FINANCIAL REPORTING</w:t>
      </w:r>
    </w:p>
    <w:p>
      <w:pPr>
        <w:spacing w:after="0" w:line="207" w:lineRule="exact"/>
        <w:rPr>
          <w:sz w:val="20"/>
          <w:szCs w:val="20"/>
          <w:color w:val="auto"/>
        </w:rPr>
      </w:pPr>
    </w:p>
    <w:p>
      <w:pPr>
        <w:ind w:right="20" w:firstLine="456"/>
        <w:spacing w:after="0" w:line="281" w:lineRule="auto"/>
        <w:rPr>
          <w:sz w:val="20"/>
          <w:szCs w:val="20"/>
          <w:color w:val="auto"/>
        </w:rPr>
      </w:pPr>
      <w:r>
        <w:rPr>
          <w:rFonts w:ascii="Times New Roman" w:cs="Times New Roman" w:eastAsia="Times New Roman" w:hAnsi="Times New Roman"/>
          <w:sz w:val="17"/>
          <w:szCs w:val="17"/>
          <w:color w:val="auto"/>
        </w:rPr>
        <w:t>Management of the Company, including the principal executive and financial officers, is responsible for establishing and maintaining adequate internal control over financial reporting, as defined in Rules 13a-15(f) and 15d-15(f) of the Securities Exchange Act of 1934, as amended. Our internal controls are designed to provide reasonable assurance as to the reliability of our financial reporting and the preparation of the consolidated financial statements for external purposes in accordance with accounting principles generally accepted in the United States and includes those policies and procedures that:</w:t>
      </w:r>
    </w:p>
    <w:p>
      <w:pPr>
        <w:spacing w:after="0" w:line="70" w:lineRule="exact"/>
        <w:rPr>
          <w:sz w:val="20"/>
          <w:szCs w:val="20"/>
          <w:color w:val="auto"/>
        </w:rPr>
      </w:pPr>
    </w:p>
    <w:p>
      <w:pPr>
        <w:ind w:left="900" w:right="240" w:hanging="446"/>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67" w:lineRule="exact"/>
        <w:rPr>
          <w:rFonts w:ascii="Times New Roman" w:cs="Times New Roman" w:eastAsia="Times New Roman" w:hAnsi="Times New Roman"/>
          <w:sz w:val="18"/>
          <w:szCs w:val="18"/>
          <w:color w:val="auto"/>
        </w:rPr>
      </w:pPr>
    </w:p>
    <w:p>
      <w:pPr>
        <w:ind w:left="900" w:right="600" w:hanging="446"/>
        <w:spacing w:after="0" w:line="266"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1"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Management of the Company assessed the effectiveness of our internal control over financial reporting as of December 31, 2014 based on the Internal Control — Integrated Framework issued by the Committee of Sponsoring Organizations of the Treadway Commission (2013 framework). Based on its assessment, management has concluded that our internal control over financial reporting was effective as of December 31, 2014.</w:t>
      </w:r>
    </w:p>
    <w:p>
      <w:pPr>
        <w:spacing w:after="0" w:line="17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has been audited by Ernst &amp; Young LLP, the independent registered public accounting firm that audited our consolidated financial statements, as stated in their report, which is included herein.</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60"/>
          </w:cols>
          <w:pgMar w:left="240" w:top="455" w:right="2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Waste Management, Inc.</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have audited Waste Management, Inc.’s internal control over financial reporting as of December 31, 2014, based on criteria established in Internal Control-Integrated Framework issued by the Committee of Sponsoring Organizations of the Treadway Commission (2013 framework) (the COSO criteria). Waste Management,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4"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our opinion, Waste Management, Inc. maintained, in all material respects, effective internal control over financial reporting as of December 31, 2014, based on the COSO criteria.</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Waste Management, Inc. as of December 31, 2014 and 2013, and the related consolidated statements of operations, comprehensive income, cash flows, and changes in equity for each of the three years in the period ended December 31, 2014, and our report dated February 17, 2015 expressed an unqualified opinion thereon.</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Waste Management, Inc.</w:t>
      </w:r>
    </w:p>
    <w:p>
      <w:pPr>
        <w:spacing w:after="0" w:line="225"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Waste Management, Inc. (the “Company”) as of December 31, 2014 and 2013, and the related consolidated statements of operations, comprehensive income, cash flows, and changes in equity for each of the three years in the period ended December 31, 2014.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consolidated financial position of Waste Management, Inc. at December 31, 2014 and 2013, and the consolidated results of its operations and its cash flows for each of the three years in the period ended December 31, 2014, in conformity with U.S. generally accepted accounting principles.</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Waste Management, Inc.’s internal control over financial reporting as of December 31, 2014, based on criteria established in Internal Control-Integrated Framework issued by the Committee of Sponsoring Organizations of the Treadway Commission (2013 framework) and our report dated February 17, 2015 expressed an unqualified opinion thereon.</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Par Value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7"/>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780" w:type="dxa"/>
            <w:vAlign w:val="bottom"/>
            <w:shd w:val="clear" w:color="auto" w:fill="CCEEFF"/>
          </w:tcPr>
          <w:p>
            <w:pPr>
              <w:ind w:left="4440"/>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$30 and $33, respectively</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unconsolidated entity</w:t>
            </w:r>
          </w:p>
        </w:tc>
        <w:tc>
          <w:tcPr>
            <w:tcW w:w="100" w:type="dxa"/>
            <w:vAlign w:val="bottom"/>
          </w:tcPr>
          <w:p>
            <w:pPr>
              <w:spacing w:after="0"/>
              <w:rPr>
                <w:sz w:val="18"/>
                <w:szCs w:val="18"/>
                <w:color w:val="auto"/>
              </w:rPr>
            </w:pPr>
          </w:p>
        </w:tc>
        <w:tc>
          <w:tcPr>
            <w:tcW w:w="6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Parts and supplies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 of $15,968 and $16,723, respectively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10,657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12,344</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3,014</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1,842</w:t>
            </w: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15,523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16,601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Common stock, $0.01 par value; 1,500,000,000 shares authorized; 630,282,461 shares issued</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4,596</w:t>
            </w:r>
          </w:p>
        </w:tc>
      </w:tr>
      <w:tr>
        <w:trPr>
          <w:trHeight w:val="216"/>
        </w:trPr>
        <w:tc>
          <w:tcPr>
            <w:tcW w:w="2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Treasury stock at cost, 171,745,077 and 165,961,646 shares, respectively</w:t>
            </w:r>
          </w:p>
        </w:tc>
        <w:tc>
          <w:tcPr>
            <w:tcW w:w="100" w:type="dxa"/>
            <w:vAlign w:val="bottom"/>
          </w:tcPr>
          <w:p>
            <w:pPr>
              <w:spacing w:after="0"/>
              <w:rPr>
                <w:sz w:val="19"/>
                <w:szCs w:val="19"/>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(5,636)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(5,338)</w:t>
            </w: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Waste Management, Inc. 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6,002</w:t>
            </w:r>
          </w:p>
        </w:tc>
      </w:tr>
      <w:tr>
        <w:trPr>
          <w:trHeight w:val="223"/>
        </w:trPr>
        <w:tc>
          <w:tcPr>
            <w:tcW w:w="2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21,412</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22,603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revenues: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12,646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12,566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Tangible product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13,996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Cost of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Cost of tangible products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operating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expense from divestitures, asset impairments (other than goodwill) and unusual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11,697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12,904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11,798</w:t>
            </w:r>
          </w:p>
        </w:tc>
        <w:tc>
          <w:tcPr>
            <w:tcW w:w="0" w:type="dxa"/>
            <w:vAlign w:val="bottom"/>
          </w:tcPr>
          <w:p>
            <w:pPr>
              <w:spacing w:after="0"/>
              <w:rPr>
                <w:sz w:val="1"/>
                <w:szCs w:val="1"/>
                <w:color w:val="auto"/>
              </w:rPr>
            </w:pP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vMerge w:val="restart"/>
          </w:tcPr>
          <w:p>
            <w:pPr>
              <w:ind w:left="29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20" w:type="dxa"/>
            <w:vAlign w:val="bottom"/>
          </w:tcPr>
          <w:p>
            <w:pPr>
              <w:spacing w:after="0"/>
              <w:rPr>
                <w:sz w:val="24"/>
                <w:szCs w:val="24"/>
                <w:color w:val="auto"/>
              </w:rPr>
            </w:pPr>
          </w:p>
        </w:tc>
        <w:tc>
          <w:tcPr>
            <w:tcW w:w="90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080" w:type="dxa"/>
            <w:vAlign w:val="bottom"/>
          </w:tcPr>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gridSpan w:val="10"/>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Years Ended 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instruments,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Post-retirement benefit obligation,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8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7"/>
                <w:szCs w:val="17"/>
                <w:color w:val="auto"/>
              </w:rPr>
              <w:t>Consolidated net income</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$ 1,338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4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consolidated net income to net cash provided by operating activities: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1,292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1,333</w:t>
            </w: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income tax (benefit) provision</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(149)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accretion on landfill liabilities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88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accretion on and discount rate adjustments to environmental remediation liabilities and recovery assets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Provision for bad debts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65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Excess tax benefits associated with equity-based transactions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gain on disposal of assets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goodwill impairments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 of (income) expense from divestitures, asset impairments (other than goodwill) and unusual items and other</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Equity in net losses of unconsolidated entities, net of dividends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 in operating assets and liabilities, net of effects of acquisitions and divestitures:</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Receivables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Other current assets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Other assets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Deferred revenues and other liabilities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4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(724)</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6"/>
              </w:rPr>
              <w:t>(1,510)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divestitures of businesses and other assets (net of cash divested)</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2,253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receipts from restricted trust and escrow accounts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(81)</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(1,900)</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6"/>
              </w:rPr>
              <w:t>(1,830)</w:t>
            </w:r>
          </w:p>
        </w:tc>
        <w:tc>
          <w:tcPr>
            <w:tcW w:w="0" w:type="dxa"/>
            <w:vAlign w:val="bottom"/>
          </w:tcPr>
          <w:p>
            <w:pPr>
              <w:spacing w:after="0"/>
              <w:rPr>
                <w:sz w:val="1"/>
                <w:szCs w:val="1"/>
                <w:color w:val="auto"/>
              </w:rPr>
            </w:pPr>
          </w:p>
        </w:tc>
      </w:tr>
      <w:tr>
        <w:trPr>
          <w:trHeight w:val="209"/>
        </w:trPr>
        <w:tc>
          <w:tcPr>
            <w:tcW w:w="8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New borrowings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2,817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2,232</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Debt repayments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(2,077)</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96"/>
              </w:rPr>
              <w:t>(1,498)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(239)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dividends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(693)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(683)</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Exercise of common stock options</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93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Excess tax benefits associated with equity-based transactions</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Acquisitions of and distributions paid to noncontrolling interests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(59)</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7"/>
                <w:szCs w:val="17"/>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(2,072)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(687)</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4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$ 1,307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3"/>
                <w:szCs w:val="13"/>
                <w:b w:val="1"/>
                <w:bCs w:val="1"/>
                <w:color w:val="auto"/>
              </w:rPr>
              <w:t>Waste Management, Inc. Stockholders’ Equity</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w w:val="93"/>
              </w:rPr>
              <w:t>Common Stock</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40" w:type="dxa"/>
            <w:vAlign w:val="bottom"/>
            <w:gridSpan w:val="3"/>
          </w:tcPr>
          <w:p>
            <w:pPr>
              <w:jc w:val="center"/>
              <w:ind w:right="28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40" w:type="dxa"/>
            <w:vAlign w:val="bottom"/>
            <w:gridSpan w:val="5"/>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20" w:type="dxa"/>
            <w:vAlign w:val="bottom"/>
          </w:tcPr>
          <w:p>
            <w:pPr>
              <w:spacing w:after="0"/>
              <w:rPr>
                <w:sz w:val="9"/>
                <w:szCs w:val="9"/>
                <w:color w:val="auto"/>
              </w:rPr>
            </w:pPr>
          </w:p>
        </w:tc>
        <w:tc>
          <w:tcPr>
            <w:tcW w:w="7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14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5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3"/>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2011</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$6,390</w:t>
            </w: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630,282</w:t>
            </w:r>
          </w:p>
        </w:tc>
        <w:tc>
          <w:tcPr>
            <w:tcW w:w="2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4,561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6,721</w:t>
            </w: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w w:val="95"/>
              </w:rPr>
              <w:t>172</w:t>
            </w:r>
          </w:p>
        </w:tc>
        <w:tc>
          <w:tcPr>
            <w:tcW w:w="2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(169,750)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(5,390)</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Times New Roman" w:cs="Times New Roman" w:eastAsia="Times New Roman" w:hAnsi="Times New Roman"/>
                <w:sz w:val="14"/>
                <w:szCs w:val="14"/>
                <w:color w:val="auto"/>
                <w:w w:val="95"/>
              </w:rPr>
              <w:t>320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8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860</w:t>
            </w: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8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(658)</w:t>
            </w:r>
          </w:p>
        </w:tc>
        <w:tc>
          <w:tcPr>
            <w:tcW w:w="18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 including dividend</w:t>
            </w:r>
          </w:p>
        </w:tc>
        <w:tc>
          <w:tcPr>
            <w:tcW w:w="880" w:type="dxa"/>
            <w:vAlign w:val="bottom"/>
            <w:gridSpan w:val="3"/>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101</w:t>
            </w:r>
          </w:p>
        </w:tc>
        <w:tc>
          <w:tcPr>
            <w:tcW w:w="7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3,680</w:t>
            </w:r>
          </w:p>
        </w:tc>
        <w:tc>
          <w:tcPr>
            <w:tcW w:w="900" w:type="dxa"/>
            <w:vAlign w:val="bottom"/>
            <w:gridSpan w:val="3"/>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equivalents, net of taxes</w:t>
            </w:r>
          </w:p>
        </w:tc>
        <w:tc>
          <w:tcPr>
            <w:tcW w:w="8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 to noncontrolling interests</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2012</w:t>
            </w:r>
          </w:p>
        </w:tc>
        <w:tc>
          <w:tcPr>
            <w:tcW w:w="20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$6,675</w:t>
            </w:r>
          </w:p>
        </w:tc>
        <w:tc>
          <w:tcPr>
            <w:tcW w:w="280" w:type="dxa"/>
            <w:vAlign w:val="bottom"/>
          </w:tcPr>
          <w:p>
            <w:pPr>
              <w:spacing w:after="0"/>
              <w:rPr>
                <w:sz w:val="13"/>
                <w:szCs w:val="13"/>
                <w:color w:val="auto"/>
              </w:rPr>
            </w:pPr>
          </w:p>
        </w:tc>
        <w:tc>
          <w:tcPr>
            <w:tcW w:w="5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630,282</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1"/>
              </w:rPr>
              <w:t>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6,879</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193</w:t>
            </w:r>
          </w:p>
        </w:tc>
        <w:tc>
          <w:tcPr>
            <w:tcW w:w="2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(166,062)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 (5,273)</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321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 including dividend</w:t>
            </w: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216</w:t>
            </w: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9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5,461</w:t>
            </w:r>
          </w:p>
        </w:tc>
        <w:tc>
          <w:tcPr>
            <w:tcW w:w="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equivalents, net of taxes</w:t>
            </w:r>
          </w:p>
        </w:tc>
        <w:tc>
          <w:tcPr>
            <w:tcW w:w="8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(5,368)</w:t>
            </w:r>
          </w:p>
        </w:tc>
        <w:tc>
          <w:tcPr>
            <w:tcW w:w="9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 to noncontrolling interests</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Balance, December 31, 2013</w:t>
            </w:r>
          </w:p>
        </w:tc>
        <w:tc>
          <w:tcPr>
            <w:tcW w:w="20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$6,002</w:t>
            </w:r>
          </w:p>
        </w:tc>
        <w:tc>
          <w:tcPr>
            <w:tcW w:w="280" w:type="dxa"/>
            <w:vAlign w:val="bottom"/>
          </w:tcPr>
          <w:p>
            <w:pPr>
              <w:spacing w:after="0"/>
              <w:rPr>
                <w:sz w:val="13"/>
                <w:szCs w:val="13"/>
                <w:color w:val="auto"/>
              </w:rPr>
            </w:pPr>
          </w:p>
        </w:tc>
        <w:tc>
          <w:tcPr>
            <w:tcW w:w="5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630,282</w:t>
            </w:r>
          </w:p>
        </w:tc>
        <w:tc>
          <w:tcPr>
            <w:tcW w:w="260" w:type="dxa"/>
            <w:vAlign w:val="bottom"/>
          </w:tcPr>
          <w:p>
            <w:pPr>
              <w:spacing w:after="0"/>
              <w:rPr>
                <w:sz w:val="13"/>
                <w:szCs w:val="13"/>
                <w:color w:val="auto"/>
              </w:rPr>
            </w:pPr>
          </w:p>
        </w:tc>
        <w:tc>
          <w:tcPr>
            <w:tcW w:w="2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w w:val="71"/>
              </w:rPr>
              <w:t>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4,596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6,289</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154</w:t>
            </w:r>
          </w:p>
        </w:tc>
        <w:tc>
          <w:tcPr>
            <w:tcW w:w="2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(165,962)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3"/>
              </w:rPr>
              <w:t>$ (5,338)</w:t>
            </w:r>
          </w:p>
        </w:tc>
        <w:tc>
          <w:tcPr>
            <w:tcW w:w="28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ind w:left="460"/>
              <w:spacing w:after="0" w:line="155" w:lineRule="exact"/>
              <w:rPr>
                <w:sz w:val="20"/>
                <w:szCs w:val="20"/>
                <w:color w:val="auto"/>
              </w:rPr>
            </w:pPr>
            <w:r>
              <w:rPr>
                <w:rFonts w:ascii="Times New Roman" w:cs="Times New Roman" w:eastAsia="Times New Roman" w:hAnsi="Times New Roman"/>
                <w:sz w:val="14"/>
                <w:szCs w:val="14"/>
                <w:color w:val="auto"/>
                <w:w w:val="95"/>
              </w:rPr>
              <w:t>295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Consolidated net income</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1,338</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1,298</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 of taxes</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declared</w:t>
            </w: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Equity-based compensation transactions, including dividend</w:t>
            </w:r>
          </w:p>
        </w:tc>
        <w:tc>
          <w:tcPr>
            <w:tcW w:w="8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195</w:t>
            </w:r>
          </w:p>
        </w:tc>
        <w:tc>
          <w:tcPr>
            <w:tcW w:w="7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0"/>
                <w:szCs w:val="10"/>
                <w:color w:val="auto"/>
              </w:rPr>
            </w:pPr>
          </w:p>
        </w:tc>
        <w:tc>
          <w:tcPr>
            <w:tcW w:w="9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3,779</w:t>
            </w:r>
          </w:p>
        </w:tc>
        <w:tc>
          <w:tcPr>
            <w:tcW w:w="9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color w:val="auto"/>
              </w:rPr>
              <w:t>122</w:t>
            </w:r>
          </w:p>
        </w:tc>
        <w:tc>
          <w:tcPr>
            <w:tcW w:w="120" w:type="dxa"/>
            <w:vAlign w:val="bottom"/>
          </w:tcPr>
          <w:p>
            <w:pPr>
              <w:spacing w:after="0"/>
              <w:rPr>
                <w:sz w:val="10"/>
                <w:szCs w:val="10"/>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equivalents, net of taxes</w:t>
            </w:r>
          </w:p>
        </w:tc>
        <w:tc>
          <w:tcPr>
            <w:tcW w:w="8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88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78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(9,569)</w:t>
            </w:r>
          </w:p>
        </w:tc>
        <w:tc>
          <w:tcPr>
            <w:tcW w:w="9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paid to noncontrolling interests</w:t>
            </w: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78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Acquisitions of noncontrolling interests and divestiture of</w:t>
            </w:r>
          </w:p>
        </w:tc>
        <w:tc>
          <w:tcPr>
            <w:tcW w:w="8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(188)</w:t>
            </w:r>
          </w:p>
        </w:tc>
        <w:tc>
          <w:tcPr>
            <w:tcW w:w="7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Wheelabrator business</w:t>
            </w:r>
          </w:p>
        </w:tc>
        <w:tc>
          <w:tcPr>
            <w:tcW w:w="8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52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2"/>
                <w:szCs w:val="12"/>
                <w:color w:val="auto"/>
              </w:rPr>
            </w:pPr>
          </w:p>
        </w:tc>
        <w:tc>
          <w:tcPr>
            <w:tcW w:w="7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December 31, 2014</w:t>
            </w:r>
          </w:p>
        </w:tc>
        <w:tc>
          <w:tcPr>
            <w:tcW w:w="88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5,889</w:t>
            </w:r>
          </w:p>
        </w:tc>
        <w:tc>
          <w:tcPr>
            <w:tcW w:w="780" w:type="dxa"/>
            <w:vAlign w:val="bottom"/>
            <w:gridSpan w:val="2"/>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630,282</w:t>
            </w:r>
          </w:p>
        </w:tc>
        <w:tc>
          <w:tcPr>
            <w:tcW w:w="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4,585</w:t>
            </w:r>
          </w:p>
        </w:tc>
        <w:tc>
          <w:tcPr>
            <w:tcW w:w="2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6,888</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7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(171,745)</w:t>
            </w:r>
          </w:p>
        </w:tc>
        <w:tc>
          <w:tcPr>
            <w:tcW w:w="900" w:type="dxa"/>
            <w:vAlign w:val="bottom"/>
            <w:gridSpan w:val="3"/>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(5,636)</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2014, 2013 and 2012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beneficiaries as described in Note 20.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 In December 2014, we completed the previously announced sale of our Wheelabrator business, which provided waste-to-energy services and managed waste-to-energy facilities and independent power production plants. Refer to Note 19 for additional information related to our divestitures.</w:t>
      </w:r>
    </w:p>
    <w:p>
      <w:pPr>
        <w:spacing w:after="0" w:line="18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evaluate, oversee and manage the financial performance of our Solid Waste business subsidiaries through our 17 geographic Areas. We also provide additional services that are not managed through our Solid Waste business, which are presented in this report as “Other.” Additional information related to our segments can be found in Note 21.</w:t>
      </w:r>
    </w:p>
    <w:p>
      <w:pPr>
        <w:spacing w:after="0" w:line="280" w:lineRule="exact"/>
        <w:rPr>
          <w:sz w:val="20"/>
          <w:szCs w:val="20"/>
          <w:color w:val="auto"/>
        </w:rPr>
      </w:pPr>
    </w:p>
    <w:p>
      <w:pPr>
        <w:ind w:left="240" w:right="7980" w:hanging="232"/>
        <w:spacing w:after="0" w:line="376" w:lineRule="auto"/>
        <w:tabs>
          <w:tab w:leader="none" w:pos="192"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Accounting Changes and Reclassifications </w:t>
      </w:r>
      <w:r>
        <w:rPr>
          <w:rFonts w:ascii="Times New Roman" w:cs="Times New Roman" w:eastAsia="Times New Roman" w:hAnsi="Times New Roman"/>
          <w:sz w:val="18"/>
          <w:szCs w:val="18"/>
          <w:b w:val="1"/>
          <w:bCs w:val="1"/>
          <w:i w:val="1"/>
          <w:iCs w:val="1"/>
          <w:color w:val="auto"/>
        </w:rPr>
        <w:t>Accounting Changes</w:t>
      </w:r>
    </w:p>
    <w:p>
      <w:pPr>
        <w:spacing w:after="0" w:line="2"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Comprehensive Income </w:t>
      </w:r>
      <w:r>
        <w:rPr>
          <w:rFonts w:ascii="Times New Roman" w:cs="Times New Roman" w:eastAsia="Times New Roman" w:hAnsi="Times New Roman"/>
          <w:sz w:val="18"/>
          <w:szCs w:val="18"/>
          <w:color w:val="auto"/>
        </w:rPr>
        <w:t>— In February 2013, the Financial Accounting Standards Board (“FASB”) issued amended authoritative guidance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comprehensive income, which requires companies to provide information about the amounts that are reclassified out of accumulated other comprehensive income by component. Additionally, companies are required to present significant amounts reclassified out of accumulated other comprehensive income by the respective line items of net income. The amendment to authoritative guidance associated with comprehensive income was effective for the Company on January 1, 2013. The adoption of this guidance did not have a material impact on our consolidated financial statements. We have presented the information required by this amendment in Note 14.</w:t>
      </w:r>
    </w:p>
    <w:p>
      <w:pPr>
        <w:spacing w:after="0" w:line="183"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Impairment Testing </w:t>
      </w:r>
      <w:r>
        <w:rPr>
          <w:rFonts w:ascii="Times New Roman" w:cs="Times New Roman" w:eastAsia="Times New Roman" w:hAnsi="Times New Roman"/>
          <w:sz w:val="18"/>
          <w:szCs w:val="18"/>
          <w:color w:val="auto"/>
        </w:rPr>
        <w:t>— In July 2012, the FASB amended authoritative guidance associated with indefinite-lived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intangible assets impairment testing. The amended guidance provides companies the option to first assess qualitative factors to determine whether the existence of events or circumstances leads to a determination that it is more likely than not that the indefinite-lived intangible asset is impaired. If, after assessing the totality of events or circumstances, an entity determines it is not more likely than not that the indefinite-lived intangible asset is impaired, then the entity is not required to take further action. The amendments are effective for indefinite-lived intangible impairment tests performed for fiscal years beginning after September 15, 2012; however, early adoption was permitted. The Company’s early adoption of this guidance in 2012 did not have an impact on our consolidated financial statements. Additional information on impairment testing can be found in Note 3.</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21"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When necessary, reclassifications have been made to our prior period consolidated financial information in order to conform to the current year presentation.</w:t>
      </w:r>
    </w:p>
    <w:p>
      <w:pPr>
        <w:spacing w:after="0" w:line="266" w:lineRule="exact"/>
        <w:rPr>
          <w:sz w:val="20"/>
          <w:szCs w:val="20"/>
          <w:color w:val="auto"/>
        </w:rPr>
      </w:pPr>
    </w:p>
    <w:p>
      <w:pPr>
        <w:ind w:left="240" w:right="7840" w:hanging="232"/>
        <w:spacing w:after="0" w:line="378" w:lineRule="auto"/>
        <w:tabs>
          <w:tab w:leader="none" w:pos="192"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WM, its wholly-owned and majority-owned subsidiaries and certain variable interest entities for which we have determined that we are the primary beneficiary. All material intercompany balances and transactions have been eliminated. Investments in entities in which we do not have a controlling financial interest are accounted for under either the equity method or cost method of accounting, as appropriate.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Each of these items is discussed in additional detail below. Actual results could differ materially from the estimates and assumptions that we use in the preparation of our financial statements.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Cash in excess of current operating requirements is invested in short-term interest-bearing instruments with maturities of three months or less at the date of purchase and is stated at cost, which approximates market value.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and cash equivalents, investments held within our trust funds and escrow accounts, accounts receivable and derivative instruments. We make efforts to control our exposure to credit risk associated with these instruments by (i) placing our assets and other financial interests with a diverse group of credit-worthy financial institutions; (ii) holding high-quality financial instruments while limiting investments in any one instrument and (iii) maintaining strict policies over credit extension that include credit evaluations, credit limits and monitoring procedures, although generally we do not have collateral requirements for credit extensions. We also control our exposure associated with trade receivables by discontinuing service, to the extent allowable, to non-paying customers. However, our overall credit risk associated with trade receivables is limited due to the large number of diverse customers we serve. At December 31, 2014 and 2013, no single customer represented greater than 5% of total accounts receivable.</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Receivables</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Our receivables, which are recorded when billed, when services are performed or when cash is advanced, are claims against third parties that will generally be settled in cash. The carrying value of our receivables, net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 Also, we recognize interest income on long-term interest-bearing notes receivable as the interest accrues under the terms of the notes. We no longer accrue interest once the notes are deemed uncollectible.</w:t>
      </w:r>
    </w:p>
    <w:p>
      <w:pPr>
        <w:spacing w:after="0" w:line="188"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Other receivables at December 31, 2014 and 2013 include receivables related to tax payments in excess of the provision of $255 million and $23 million, respectively.</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Parts and Supplies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Parts and supplies consist primarily of spare parts, fuel, tires, lubricants and processed recycling materials. Our parts and supplies are stated at the lower of cost, using the average cost method, or market.</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Landfill Accounting</w:t>
      </w:r>
    </w:p>
    <w:p>
      <w:pPr>
        <w:spacing w:after="0" w:line="119"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Basis of Landfill Assets </w:t>
      </w:r>
      <w:r>
        <w:rPr>
          <w:rFonts w:ascii="Times New Roman" w:cs="Times New Roman" w:eastAsia="Times New Roman" w:hAnsi="Times New Roman"/>
          <w:sz w:val="18"/>
          <w:szCs w:val="18"/>
          <w:color w:val="auto"/>
        </w:rPr>
        <w:t>— We capitalize various costs that we incur to make a landfill ready to accept waste. These costs generally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land (including the landfill footprint and required landfill buffer property); permitting; excavation; liner material and installation; landfill leachate collection systems; landfill gas collection systems; environmental monitoring equipment for groundwater and landfill gas; and directly related engineering, capitalized interest, on-site road construction and other capital infrastructure costs. The cost basis of our landfill assets also includes asset retirement costs, which represent estimates of future costs associated with landfill final capping, closure and post-closure activities. These costs are discussed below.</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Final Capping, Closure and Post-Closure Costs </w:t>
      </w:r>
      <w:r>
        <w:rPr>
          <w:rFonts w:ascii="Times New Roman" w:cs="Times New Roman" w:eastAsia="Times New Roman" w:hAnsi="Times New Roman"/>
          <w:sz w:val="18"/>
          <w:szCs w:val="18"/>
          <w:color w:val="auto"/>
        </w:rPr>
        <w:t>— Following is a description of our asset retirement activities and our related accounting:</w:t>
      </w:r>
    </w:p>
    <w:p>
      <w:pPr>
        <w:spacing w:after="0" w:line="131" w:lineRule="exact"/>
        <w:rPr>
          <w:sz w:val="20"/>
          <w:szCs w:val="20"/>
          <w:color w:val="auto"/>
        </w:rPr>
      </w:pPr>
    </w:p>
    <w:p>
      <w:pPr>
        <w:ind w:left="900" w:right="120" w:hanging="325"/>
        <w:spacing w:after="0" w:line="259"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Final Capping </w:t>
      </w:r>
      <w:r>
        <w:rPr>
          <w:rFonts w:ascii="Times New Roman" w:cs="Times New Roman" w:eastAsia="Times New Roman" w:hAnsi="Times New Roman"/>
          <w:sz w:val="18"/>
          <w:szCs w:val="18"/>
          <w:color w:val="auto"/>
        </w:rPr>
        <w:t>— Involves the installation of flexible membrane liners and geosynthetic clay liners, drainage and compacted soil layers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topsoil over areas of a landfill where 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and recorded as an asset and a liability based on estimates of the discounted cash flows and capacity associated with each final capping event.</w:t>
      </w:r>
    </w:p>
    <w:p>
      <w:pPr>
        <w:spacing w:after="0" w:line="85"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Closure </w:t>
      </w:r>
      <w:r>
        <w:rPr>
          <w:rFonts w:ascii="Times New Roman" w:cs="Times New Roman" w:eastAsia="Times New Roman" w:hAnsi="Times New Roman"/>
          <w:sz w:val="18"/>
          <w:szCs w:val="18"/>
          <w:color w:val="auto"/>
        </w:rPr>
        <w:t>— Includes the construction of the final portion of methane gas collection systems (when required), demobilization and routine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costs. These are costs incurred after the site ceases to accept waste, but before the landfill is certified as closed by the applicable state regulatory agency. These costs are recorded as an asset retirement obligation as airspace is consumed over the life of the landfill with a corresponding increase in the landfill asset. Closure obligations are recorded over the life of the landfill based on estimates of the discounted cash flows associated with performing closure activities.</w:t>
      </w:r>
    </w:p>
    <w:p>
      <w:pPr>
        <w:spacing w:after="0" w:line="85" w:lineRule="exact"/>
        <w:rPr>
          <w:rFonts w:ascii="Times New Roman" w:cs="Times New Roman" w:eastAsia="Times New Roman" w:hAnsi="Times New Roman"/>
          <w:sz w:val="18"/>
          <w:szCs w:val="18"/>
          <w:color w:val="auto"/>
        </w:rPr>
      </w:pPr>
    </w:p>
    <w:p>
      <w:pPr>
        <w:ind w:left="900" w:right="40" w:hanging="325"/>
        <w:spacing w:after="0" w:line="259"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Post-Closure </w:t>
      </w:r>
      <w:r>
        <w:rPr>
          <w:rFonts w:ascii="Times New Roman" w:cs="Times New Roman" w:eastAsia="Times New Roman" w:hAnsi="Times New Roman"/>
          <w:sz w:val="18"/>
          <w:szCs w:val="18"/>
          <w:color w:val="auto"/>
        </w:rPr>
        <w:t>— Involves the maintenance and monitoring of a landfill site that has been certified closed by the applicable regulatory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we are required to maintain and monitor landfill sites for a 30-year period. These maintenance and monitoring costs are recorded as an asset retirement obligation as airspace is consumed over the life of the landfill with a corresponding increase in the landfill asset. Post-closure obligations are recorded over the life of the landfill based on estimates of the discounted cash flows associated with performing post-closure activities.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develop our estimates of these obligations using input from our operations personnel, engineers and accountants. Our estimates are based on our interpretation of current requirements and proposed regulatory changes and are intended to approximate fair value. Absent quoted market prices, the estimate of fair value is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Once we have determined the final capping, closure and post-closure costs, we inflate those costs to the expected time of payment and discount those expected future costs back to present value. During the years ended December 31, 2014, 2013 and 2012, we inflated these costs in current dollars until the expected time of payment using an inflation rate of 2.5%. We discounted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rate applicable to our asset retirement obligations at December 31, 2014 is between 4.00% and 7.75%. We expect to apply a credit-adjusted, risk-free discount rate of 4.00% to liabilities incurred in the first quarter of 2015.</w:t>
      </w:r>
    </w:p>
    <w:p>
      <w:pPr>
        <w:spacing w:after="0" w:line="18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Changes in inflation rates or the estimated costs, timing or extent of future final capping, closure and post-closure activities typically result in both (i) a current adjustment to the recorded liability and landfill asset and (ii) a change in liability and asset amounts to be recorded prospectively over either the remaining capacity of the related discrete final capping event or the remaining permitted and expansion airspace (as defined below) of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remaining permitted and expansion airspace of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18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Landfill Assets </w:t>
      </w:r>
      <w:r>
        <w:rPr>
          <w:rFonts w:ascii="Times New Roman" w:cs="Times New Roman" w:eastAsia="Times New Roman" w:hAnsi="Times New Roman"/>
          <w:sz w:val="18"/>
          <w:szCs w:val="18"/>
          <w:color w:val="auto"/>
        </w:rPr>
        <w:t>— The amortizable basis of a landfill includes (i) amounts previously expended and capitalized; (ii) capitalized landfill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capping, closure and post-closure costs; (iii) projections of future purchase and development costs required to develop the landfill site to its remaining permitted and expansion capacity and (iv) projected asset retirement costs related to landfill final capping, closure and post-closure activities.</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Amortization is recorded on a units-of-consumption basis, applying expense as a rate per ton. The rate per ton is calculated by dividing each component of the amortizable basis of a landfill by the number of tons needed to fill the corresponding asset’s airspace. For landfills that we do not own, but operate through operating or lease arrangements, the rate per ton is calculated based on expected capacity to be utilized over the lesser of the contractual term of the underlying agreement or the life of the landfill.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apply the following guidelines in determining a landfill’s remaining permitted and expansion airspace:</w:t>
      </w:r>
    </w:p>
    <w:p>
      <w:pPr>
        <w:spacing w:after="0" w:line="250" w:lineRule="exact"/>
        <w:rPr>
          <w:sz w:val="20"/>
          <w:szCs w:val="20"/>
          <w:color w:val="auto"/>
        </w:rPr>
      </w:pPr>
    </w:p>
    <w:p>
      <w:pPr>
        <w:ind w:left="900" w:right="120" w:hanging="325"/>
        <w:spacing w:after="0" w:line="267"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Remaining Permitted Airspace </w:t>
      </w:r>
      <w:r>
        <w:rPr>
          <w:rFonts w:ascii="Times New Roman" w:cs="Times New Roman" w:eastAsia="Times New Roman" w:hAnsi="Times New Roman"/>
          <w:sz w:val="18"/>
          <w:szCs w:val="18"/>
          <w:color w:val="auto"/>
        </w:rPr>
        <w:t>— Our engineers, in consultation with third-party engineering consultants and surveyors, are responsible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remaining permitted airspace at our landfills. The remaining permitted airspace is determined by an annual survey, which is used to compare the existing landfill topography to the expected final landfill topography.</w:t>
      </w:r>
    </w:p>
    <w:p>
      <w:pPr>
        <w:spacing w:after="0" w:line="78" w:lineRule="exact"/>
        <w:rPr>
          <w:rFonts w:ascii="Times New Roman" w:cs="Times New Roman" w:eastAsia="Times New Roman" w:hAnsi="Times New Roman"/>
          <w:sz w:val="18"/>
          <w:szCs w:val="18"/>
          <w:color w:val="auto"/>
        </w:rPr>
      </w:pPr>
    </w:p>
    <w:p>
      <w:pPr>
        <w:ind w:left="900" w:right="80" w:hanging="325"/>
        <w:spacing w:after="0" w:line="261"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Expansion Airspace </w:t>
      </w:r>
      <w:r>
        <w:rPr>
          <w:rFonts w:ascii="Times New Roman" w:cs="Times New Roman" w:eastAsia="Times New Roman" w:hAnsi="Times New Roman"/>
          <w:sz w:val="18"/>
          <w:szCs w:val="18"/>
          <w:color w:val="auto"/>
        </w:rPr>
        <w:t>— We also include currently unpermitted expansion airspace in our estimate of remaining permitted and expansion airspace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certain circumstances. First, to include airspace associated with an expansion effort, we must generally expect the initial expansion permit application to be submitted within one year and the final expansion permit to be received within five years. Second, we must believe that obtaining the expansion permit is likely, considering the following criteria:</w:t>
      </w:r>
    </w:p>
    <w:p>
      <w:pPr>
        <w:spacing w:after="0" w:line="87" w:lineRule="exact"/>
        <w:rPr>
          <w:rFonts w:ascii="Times New Roman" w:cs="Times New Roman" w:eastAsia="Times New Roman" w:hAnsi="Times New Roman"/>
          <w:sz w:val="18"/>
          <w:szCs w:val="18"/>
          <w:color w:val="auto"/>
        </w:rPr>
      </w:pPr>
    </w:p>
    <w:p>
      <w:pPr>
        <w:ind w:left="1480" w:right="140" w:hanging="446"/>
        <w:spacing w:after="0" w:line="282" w:lineRule="auto"/>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are actively working on the expansion of an existing landfill, including efforts to obtain land use and local, state or provincial approvals;</w:t>
      </w:r>
    </w:p>
    <w:p>
      <w:pPr>
        <w:spacing w:after="0" w:line="67" w:lineRule="exact"/>
        <w:rPr>
          <w:rFonts w:ascii="Times New Roman" w:cs="Times New Roman" w:eastAsia="Times New Roman" w:hAnsi="Times New Roman"/>
          <w:sz w:val="18"/>
          <w:szCs w:val="18"/>
          <w:color w:val="auto"/>
        </w:rPr>
      </w:pPr>
    </w:p>
    <w:p>
      <w:pPr>
        <w:ind w:left="1480" w:right="120" w:hanging="446"/>
        <w:spacing w:after="0" w:line="282" w:lineRule="auto"/>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likely that the approvals will be received within the normal application and processing time periods for approvals in the jurisdiction in which the landfill is located;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legal right to use or obtain land to be included in the expansion plan;</w:t>
      </w:r>
    </w:p>
    <w:p>
      <w:pPr>
        <w:spacing w:after="0" w:line="130" w:lineRule="exact"/>
        <w:rPr>
          <w:rFonts w:ascii="Times New Roman" w:cs="Times New Roman" w:eastAsia="Times New Roman" w:hAnsi="Times New Roman"/>
          <w:sz w:val="18"/>
          <w:szCs w:val="18"/>
          <w:color w:val="auto"/>
        </w:rPr>
      </w:pPr>
    </w:p>
    <w:p>
      <w:pPr>
        <w:ind w:left="1480" w:hanging="446"/>
        <w:spacing w:after="0" w:line="282" w:lineRule="auto"/>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significant known technical, legal, community, business, or political restrictions or similar issues that could negatively affect the success of such expansion; and</w:t>
      </w:r>
    </w:p>
    <w:p>
      <w:pPr>
        <w:spacing w:after="0" w:line="67" w:lineRule="exact"/>
        <w:rPr>
          <w:rFonts w:ascii="Times New Roman" w:cs="Times New Roman" w:eastAsia="Times New Roman" w:hAnsi="Times New Roman"/>
          <w:sz w:val="18"/>
          <w:szCs w:val="18"/>
          <w:color w:val="auto"/>
        </w:rPr>
      </w:pPr>
    </w:p>
    <w:p>
      <w:pPr>
        <w:ind w:left="1480" w:right="40" w:hanging="446"/>
        <w:spacing w:after="0" w:line="282" w:lineRule="auto"/>
        <w:tabs>
          <w:tab w:leader="none" w:pos="148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analysis has been completed based on conceptual design, and the results demonstrate that the expansion has a positive financial and operational impact.</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For unpermitted airspace to be initially included in our estimate of remaining permitted and expansion airspace, the expansion effort must meet all of the criteria listed above. These criteria are evaluated by our field-based engineers, accountants, managers and others to identify potential obstacles to obtaining the permits. Once the unpermitted airspace is included, our policy provides that airspace may continue to be included in remaining permitted and expansion airspace even if certain of these criteria are no longer met as long as we continue to believe we will ultimately obtain the permit, based on the facts and circumstances of a specific landfill. In these circumstances, continued inclusion must be approved through a landfill-specific review process that includes approval by our Chief Financial Officer and a review by the Audit Committee of our Board of Directors on a quarterly basis. Of the 23 landfill sites with expansions included at December 31, 2014, five landfills required the Chief Financial Officer to approve the inclusion of the unpermitted airspace. Two of these landfills required approval by our Chief Financial Officer because of community or political opposition that could impede the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expansion process. The remaining three landfills required approval due to local zoning restrictions or because the permit application processes do not meet the one- or five-year requirements.</w:t>
      </w:r>
    </w:p>
    <w:p>
      <w:pPr>
        <w:spacing w:after="0" w:line="162"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When we include the expansion airspace in our calculations of remaining permitted and expansion airspace, we also include the projected costs for development, as well as the projected asset retirement costs related to final capping, closure and post-closure of the expansion in the amortization basis of the landfill.</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Once the remaining permitted and expansion airspace is determined in cubic yards, an airspace utilization factor (“AUF”) is established to calculate the remaining permitted and expansion capacity in tons. The AUF is established using the measured density obtained from previous annual surveys and is then adjusted to account for future settlement. The amount of settlement that is forecasted will take into account several site-specific factors including current and projected mix of waste type, initial and projected waste density, estimated number of years of life remaining, depth of underlying waste, anticipated access to moisture through precipitation or recirculation of landfill leachate, and operating practices. In addition, the initial selection of the AUF is subject to a subsequent multi-level review by our engineering group, and the AUF used is reviewed on a periodic basis and revised as necessary. Our historical experience generally indicates that the impact of settlement at a landfill is greater later in the life of the landfill when the waste placed at the landfill approaches its highest point under the permit requirements.</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After determining the costs and remaining permitted and expansion capacity at each of our landfills, we determine the per ton rates that will be expensed as waste is received and deposited at the landfill by dividing the costs by the corresponding number of tons. We calculate per ton amortization rates for each landfill for assets associated with each final capping event, for assets related to closure and post-closure activities and for all other costs capitalized or to be capitalized in the future. These rates per ton are updated annually, or more often, as significant facts change.</w:t>
      </w:r>
    </w:p>
    <w:p>
      <w:pPr>
        <w:spacing w:after="0" w:line="18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It is possible that actual results, including the amount of costs incurred, the timing of final capping, closure and post-closure activities, our airspace utilization or the success of our expansion efforts could ultimately turn out to be significantly different from our estimates and assumptions. To the extent that such estimates, or related assumptions, prove to be significantly different than actual results, lower profitability may be experienced due to higher amortization rates or higher expenses; or higher profitability may result if the opposite occurs. Most significantly, if it is determined that expansion capacity should no longer be considered in calculating the recoverability of a landfill asset, we may be required to recognize an asset impairment or incur significantly higher amortization expense. If at any time management makes the decision to abandon the expansion effort, the capitalized costs related to the expansion effort are expensed immediately.</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Remediation Liabilities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are subject to an array of laws and regulations relating to the protection of the environment. Under current laws and regulations, we may have liabilities for environmental damage caused by operations, or for damage caused by conditions that existed before we acquired a site. These liabilities include potentially responsible party (“PRP”) investigations, settlements, and certain legal and consultant fees, as well as costs directly associated with site investigation and clean up, such as materials, external contractor costs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a number of estimates and assumptions.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Where it is probable that a liability has been incurred, we estimate costs required to remediate sites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costs for the likely remedy are then either developed using our internal resources or by third-party environmental engineers or other service providers. Internally developed estimates are based on:</w:t>
      </w:r>
    </w:p>
    <w:p>
      <w:pPr>
        <w:spacing w:after="0" w:line="89"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judgment and experience in remediating our own and unrelated parties’ sites;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from regulatory agencies as to costs of remediation;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financial resources and relative degree of responsibility of other PRPs who may be liable for remediation of a specific site;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typical allocation of costs among PRPs, unless the actual allocation has been determined.</w:t>
      </w:r>
    </w:p>
    <w:p>
      <w:pPr>
        <w:spacing w:after="0" w:line="225"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investigation of the extent of environmental impact.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$190 million higher than the $235 million recorded in the Consolidated Financial Statements as of December 31, 2014.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193"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Where we believe that both the amount of a particular environmental remediation liability and the timing of the payments are fixed or reliably determinable, we inflate the cost in current dollars (by 2.5% at December 31, 2014 and 2013) until the expected time of payment and discount the cost to present value using a risk-free discount rate, which is based on the rate for U.S. Treasury bonds with a term approximating the weighted average period until settlement of the underlying obligation. We determine the risk-free discount rate and the inflation rate on an annual basis unless interim changes would significantly impact our results of operations. For remedial liabilities that have been discounted, we include interest accretion, based on the effective interest method, in “Operating” costs and expenses in our Consolidated Statements of Operations. The following table summarizes the impacts of revisions in the risk-free discount rate applied to our environmental remediation liabilities and recovery assets during the reported periods (in millions) and the risk-free discount rate applied as of each reporting date:</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(reduction) to Operating expenses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(13)</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w:t>
            </w:r>
          </w:p>
        </w:tc>
        <w:tc>
          <w:tcPr>
            <w:tcW w:w="200" w:type="dxa"/>
            <w:vAlign w:val="bottom"/>
            <w:shd w:val="clear" w:color="auto" w:fill="CCEEFF"/>
          </w:tcPr>
          <w:p>
            <w:pPr>
              <w:spacing w:after="0"/>
              <w:rPr>
                <w:sz w:val="18"/>
                <w:szCs w:val="18"/>
                <w:color w:val="auto"/>
              </w:rPr>
            </w:pPr>
          </w:p>
        </w:tc>
      </w:tr>
      <w:tr>
        <w:trPr>
          <w:trHeight w:val="198"/>
        </w:trPr>
        <w:tc>
          <w:tcPr>
            <w:tcW w:w="6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Risk-free discount rate applied to environmental remediation liabilities and recovery</w:t>
            </w: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12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365"/>
        </w:trPr>
        <w:tc>
          <w:tcPr>
            <w:tcW w:w="6740" w:type="dxa"/>
            <w:vAlign w:val="bottom"/>
          </w:tcPr>
          <w:p>
            <w:pPr>
              <w:jc w:val="right"/>
              <w:ind w:right="1770"/>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portion of our recorded environmental remediation liabilities that has never been subject to inflation or discounting, as the amounts and timing of payments are not fixed or reliably determinable, was $41 million at December 31, 2014 and $36 million at December 31, 2013. Had we not inflated and discounted any portion of our environmental remediation liability, the amount recorded would have decreased by $6 million at December 31, 2014 and increased by $7 million at December 31, 2013.</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(exclusive of landfills, discussed above)</w:t>
      </w:r>
    </w:p>
    <w:p>
      <w:pPr>
        <w:spacing w:after="0" w:line="121" w:lineRule="exact"/>
        <w:rPr>
          <w:sz w:val="20"/>
          <w:szCs w:val="20"/>
          <w:color w:val="auto"/>
        </w:rPr>
      </w:pPr>
    </w:p>
    <w:p>
      <w:pPr>
        <w:jc w:val="both"/>
        <w:ind w:firstLine="456"/>
        <w:spacing w:after="0" w:line="281" w:lineRule="auto"/>
        <w:rPr>
          <w:sz w:val="20"/>
          <w:szCs w:val="20"/>
          <w:color w:val="auto"/>
        </w:rPr>
      </w:pPr>
      <w:r>
        <w:rPr>
          <w:rFonts w:ascii="Times New Roman" w:cs="Times New Roman" w:eastAsia="Times New Roman" w:hAnsi="Times New Roman"/>
          <w:sz w:val="17"/>
          <w:szCs w:val="17"/>
          <w:color w:val="auto"/>
        </w:rPr>
        <w:t>We record property and equipment at cost. Expenditures for major additions and improvements are capitalized and maintenance activities are expensed as incurred. We depreciate property and equipment over the estimated useful life of the asset using the straight-line method. We assume no salvage value for our depreciable property and equipment. When property and equipment are retired, sold or otherwise disposed of, the cost and accumulated depreciation are removed from our accounts and any resulting gain or loss is included in results of operations as an offset or increase to operating expense for the period.</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useful lives for significant property and equipment categories are as follows (in years):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Useful Lives</w:t>
            </w:r>
          </w:p>
        </w:tc>
      </w:tr>
      <w:tr>
        <w:trPr>
          <w:trHeight w:val="210"/>
        </w:trPr>
        <w:tc>
          <w:tcPr>
            <w:tcW w:w="8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 excluding rail haul cars</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Vehicles — rail haul cars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to 20</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 — including containers</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 to 30</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 — excluding waste-to-energy facilities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 to 40</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Waste-to-energy facilities and related equipment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up to 50</w:t>
            </w:r>
          </w:p>
        </w:tc>
      </w:tr>
      <w:tr>
        <w:trPr>
          <w:trHeight w:val="234"/>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to 10</w:t>
            </w:r>
          </w:p>
        </w:tc>
      </w:tr>
    </w:tbl>
    <w:p>
      <w:pPr>
        <w:spacing w:after="0" w:line="17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include capitalized costs associated with developing or obtaining internal-use software within furniture, fixtures and office equipment. These costs include direct external costs of materials and services used in developing or obtaining the software and internal costs for employees directly associated with the software development project. As of December 31, 2014 and 2013, capitalized costs for software placed in service, net of accumulated depreciation, were $114 million and $129 million, respectively. In addition, our furniture, fixtures and office equipment as of December 31, 2014 and 2013 included $5 million and $11 million, respectively, for costs incurred for software under development.</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lease property and equipment in the ordinary course of our business. Our most significant lease obligations are for property and equipment specific to our industry, including real property operated as a landfill or transfer station. Our leases have varying terms. Some may include renewal or purchase options, escalation clauses, restrictions, penalties or other obligations that we consider in determining minimum lease payments. The leases are classified as either operating leases or capital leases, as appropriate.</w:t>
      </w:r>
    </w:p>
    <w:p>
      <w:pPr>
        <w:spacing w:after="0" w:line="178"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Leases (excluding landfills discussed below) </w:t>
      </w:r>
      <w:r>
        <w:rPr>
          <w:rFonts w:ascii="Times New Roman" w:cs="Times New Roman" w:eastAsia="Times New Roman" w:hAnsi="Times New Roman"/>
          <w:sz w:val="18"/>
          <w:szCs w:val="18"/>
          <w:color w:val="auto"/>
        </w:rPr>
        <w:t>— The majority of our leases are operating leases. This classification generally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attributed to either (i) relatively low fixed minimum lease payments as a result of real property lease obligations that vary based on the volume of waste we receive or process or (ii) minimum lease terms that are much shorter than the assets’ economic useful lives. Management expects that in the normal course of business our operating leases will be renewed, replaced by other leases, or replaced with fixed asset expenditures. Our rent expense during each of the last three years and our future minimum operating lease payments for each of the next five years for which we are contractually obligated as of December 31, 2014 are disclosed in Note 11.</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240" w:top="455" w:right="3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Leases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excluding landfills discussed below) </w:t>
      </w:r>
      <w:r>
        <w:rPr>
          <w:rFonts w:ascii="Times New Roman" w:cs="Times New Roman" w:eastAsia="Times New Roman" w:hAnsi="Times New Roman"/>
          <w:sz w:val="18"/>
          <w:szCs w:val="18"/>
          <w:color w:val="auto"/>
        </w:rPr>
        <w:t>— Assets under capital leases are capitalized using interest rates determined at the inception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lease and are amortized over either the useful life of the asset or the lease term, as appropriate, on a straight-line basis. The present value of the related lease payments is recorded as a debt obligation. Our future minimum annual capital lease payments are included in our total future debt obligations as disclosed in Note 7.</w:t>
      </w:r>
    </w:p>
    <w:p>
      <w:pPr>
        <w:spacing w:after="0" w:line="180"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Landfill Leases </w:t>
      </w:r>
      <w:r>
        <w:rPr>
          <w:rFonts w:ascii="Times New Roman" w:cs="Times New Roman" w:eastAsia="Times New Roman" w:hAnsi="Times New Roman"/>
          <w:sz w:val="18"/>
          <w:szCs w:val="18"/>
          <w:color w:val="auto"/>
        </w:rPr>
        <w:t>— From an operating perspective, landfills that we lease are similar to landfills we own because generally we own the landfill’s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permit and will operate the landfill for the entire lease term, which in many cases is the life of the landfill. As a result, our landfill leases are generally capital leases. The most significant portion of our rental obligations for landfill leases is contingent upon operating factors such as disposal volumes and often there are no contractual minimum rental obligations. Contingent rental obligations are expensed as incurred. For landfill capital leases that provide for minimum contractual rental obligations, we record the present value of the minimum obligation as part of the landfill asset, which is amortized on a units-of-consumption basis over the shorter of the lease term or the life of the landfill.</w:t>
      </w:r>
    </w:p>
    <w:p>
      <w:pPr>
        <w:spacing w:after="0" w:line="2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generally recognize assets acquired and liabilities assumed in business combinations, including contingent assets and liabilities, based on fair value estimates as of the date of acquisition.</w:t>
      </w:r>
    </w:p>
    <w:p>
      <w:pPr>
        <w:spacing w:after="0" w:line="16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 </w:t>
      </w:r>
      <w:r>
        <w:rPr>
          <w:rFonts w:ascii="Times New Roman" w:cs="Times New Roman" w:eastAsia="Times New Roman" w:hAnsi="Times New Roman"/>
          <w:sz w:val="18"/>
          <w:szCs w:val="18"/>
          <w:color w:val="auto"/>
        </w:rPr>
        <w:t>In certain acquisitions, we agree to pay additional amounts to sellers contingent upon achievement by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of certain negotiated goals, such as targeted revenue levels, targeted disposal volumes or the issuance of permits for expanded landfill airspace. We have recognized liabilities for these contingent obligations based on their estimated fair value at the date of acquisition with any differences between the acquisition-date fair value and the ultimate settlement of the obligations being recognized as an adjustment to income from operations.</w:t>
      </w:r>
    </w:p>
    <w:p>
      <w:pPr>
        <w:spacing w:after="0" w:line="180"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Acquired Assets and Assumed Liabilities — </w:t>
      </w:r>
      <w:r>
        <w:rPr>
          <w:rFonts w:ascii="Times New Roman" w:cs="Times New Roman" w:eastAsia="Times New Roman" w:hAnsi="Times New Roman"/>
          <w:sz w:val="18"/>
          <w:szCs w:val="18"/>
          <w:color w:val="auto"/>
        </w:rPr>
        <w:t>Assets and liabilities arising from contingencies such as pre-acquisition environmental matters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are recognized at their acquisition-date fair value when their respective fair values can be determined. If the fair values of such contingencies cannot be determined, they are recognized at the acquisition date if the contingencies are probable and an amount can be reasonably estimated.</w:t>
      </w:r>
    </w:p>
    <w:p>
      <w:pPr>
        <w:spacing w:after="0" w:line="176"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Acquisition-date fair value estimates are revised as necessary and accounted for as an adjustment to income from operations if, and when, additional information regarding these contingencies becomes available to further define and quantify assets acquired and liabilities assumed. All acquisition-related transaction costs have been expensed as incurred.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 xml:space="preserve">Goodwill is the excess of our purchase cost over the fair value of the net assets of acquired businesses. We do not amortize goodwill, but as discussed in the </w:t>
      </w:r>
      <w:r>
        <w:rPr>
          <w:rFonts w:ascii="Times New Roman" w:cs="Times New Roman" w:eastAsia="Times New Roman" w:hAnsi="Times New Roman"/>
          <w:sz w:val="18"/>
          <w:szCs w:val="18"/>
          <w:i w:val="1"/>
          <w:iCs w:val="1"/>
          <w:color w:val="auto"/>
        </w:rPr>
        <w:t>Asset Impairments</w:t>
      </w:r>
      <w:r>
        <w:rPr>
          <w:rFonts w:ascii="Times New Roman" w:cs="Times New Roman" w:eastAsia="Times New Roman" w:hAnsi="Times New Roman"/>
          <w:sz w:val="18"/>
          <w:szCs w:val="18"/>
          <w:color w:val="auto"/>
        </w:rPr>
        <w:t xml:space="preserve"> section below, we assess our goodwill for impairment at least annually.</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Other intangible assets consist primarily of customer and supplier relationships, covenants not-to-compete, licenses, permits (other than landfill permits, as all landfill-related intangible assets are combined with landfill tangible assets and amortized using our landfill amortization policy), and other contracts. Other intangible assets are recorded at acquisition date fair value and are generally amortized using either a 150% declining balance approach or a straight-line basis as we determine appropriate. Customer and supplier relationships are typically</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amortized over a term ranging between 10 and 15 years. Covenants not-to-compete are amortized over the term of the non-compete covenant, which is generally two to five years. Licenses, permits and other contracts are amortized over the definitive terms of the related agreements. If the underlying agreement does not contain definitive terms and the useful life is determined to be indefinite, the asset is not amortized.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Impairments</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monitor the carrying value of our long-lived assets for potential impairment on an ongoing basis and test the recoverability of such assets using significant unobservable (“Level 3”) inputs whenever events or changes in circumstances indicate that their carrying amounts may not be recoverable. These events or changes in circumstances, including management decisions pertaining to such assets, are referred to as impairment indicators. If an impairment indicator occurs, we perform a test of recoverability by comparing the carrying value of the asset or asset group to its undiscounted expected future cash flows. If cash flows cannot be separately and independently identified for a single asset, we will determine whether an impairment has occurred for the group of assets for which we can identify the projected cash flows. If the carrying values are in excess of undiscounted expected future cash flows, we measure any impairment by comparing the fair value of the asset or asset group to its carrying value. Fair value is generally determined by considering (i) internally developed discounted projected cash flow analysis of the asset or asset group; (ii) actual third-party valuations and/or (iii) information available regarding the current market for similar assets. If the fair value of an asset or asset group is determined to be less than the carrying amount of the asset or asset group, an impairment in the amount of the difference is recorded in the period that the impairment indicator occurs and is included in the “(Income) expense from divestitures, asset impairments (other than goodwill) and unusual items” line item in our Consolidated Statement of Operations. Estimating future cash flows requires significant judgment and projections may vary from the cash flows eventually realized, which could impact our ability to accurately assess whether an asset has been impaired.</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additional considerations for impairments of landfills, goodwill and other indefinite-lived intangible assets, as described below.</w:t>
      </w:r>
    </w:p>
    <w:p>
      <w:pPr>
        <w:spacing w:after="0" w:line="223"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Landfills </w:t>
      </w:r>
      <w:r>
        <w:rPr>
          <w:rFonts w:ascii="Times New Roman" w:cs="Times New Roman" w:eastAsia="Times New Roman" w:hAnsi="Times New Roman"/>
          <w:sz w:val="18"/>
          <w:szCs w:val="18"/>
          <w:color w:val="auto"/>
        </w:rPr>
        <w:t>— The assessment of impairment indicators and the recoverability of our capitalized costs associated with landfills and related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projects require significant judgment due to the unique nature of the waste industry, the highly regulated permitting process and the sensitive estimates involved. During the review of a landfill expansion application, a regulator may initially deny the expansion application although the expansion permit is ultimately granted. In addition, management may periodically divert waste from one landfill to another to conserve remaining permitted landfill airspace, or a landfill may be required to cease accepting waste, prior to receipt of the expansion permit. However, such events occur in the ordinary course of business in the waste industry and do not necessarily result in impairment of our landfill assets because, after consideration of all facts, such events may not affect our belief that we will ultimately obtain the expansion permit. As a result, our tests of recoverability, which generally make use of a probability-weighted cash flow estimation approach, may indicate that no impairment loss should be recorded. At December 31, 2014, one of our landfill sites for which we believe receipt of the expansion permit is probable, is not currently accepting waste. The net recorded capitalized landfill asset cost for this site was $247 million at December 31, 2014. We performed a test of recoverability for this landfill and the undiscounted cash flows resulting from our probability-weighted estimation approach significantly exceeded the carrying value of this site. During the year ended December 31, 2013, we recognized $262 million of charges to impair certain of our landfills, primarily as a result of our consideration of 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which was influenced, in part, by our acquisition of RCI Environnement, Inc. (“RCI”), we determined that the future costs to construct these landfills could be avoided as we are able to allocate disposal that would have gone to these landfills to other facilities and not materially impact operations. As a result of management’s decision, we determined that the carrying values of landfill assets were no longer able to be recovered by the undiscounted cash flows attributable to these assets. As such, we wrote their carrying values down to their estimated fair values using a market approach considering the highest and best use of the assets.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 13 for additional information related to landfill asset impairments recognized during the reported periods.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 At least annually, and more frequently if warranted, we assess our goodwill for impairment using Level 3 inputs.</w:t>
      </w:r>
    </w:p>
    <w:p>
      <w:pPr>
        <w:spacing w:after="0" w:line="227"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We assess whether a goodwill impairment exists using both qualitative and quantitative assessments. Our qualitative assessment involves determining whether events or circumstances exist that indicate it is more likely than not that the fair value of a reporting unit is less than its carrying amount, including goodwill. If based on this qualitative assessment we determine it is not more likely than not that the fair value of a reporting unit is less than its carrying amount, we will not perform a quantitative assessment.</w:t>
      </w:r>
    </w:p>
    <w:p>
      <w:pPr>
        <w:spacing w:after="0" w:line="180"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the qualitative assessment indicates that it is more likely than not that the fair value of a reporting unit is less than its carrying amount or if we elect not to perform a qualitative assessment, we perform a quantitative assessment, or two-step impairment test, to determine whether a goodwill impairment exists at the reporting unit. The first step in our quantitative assessment identifies potential impairments by comparing the estimated fair value of the reporting unit to its carrying value, including goodwill. If the carrying value exceeds estimated fair value, there is an indication of potential impairment and the second step is performed to measure the amount of impairment. Fair value is typically estimated using a combination of the income approach and market approach or only an income approach when applicable. The income approach is based on the long-term projected future cash flows of the reporting units.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reporting units’ expected long-term performance considering the economic and market conditions that generally affect our business. The market approach estimates fair value by measuring the aggregate market value of publicly-traded companies with similar characteristics to our business as a multiple of their reported cash flows. We then apply that multiple to the reporting units’ cash flows to estimate their fair values. We believe that this approach is appropriate because it provides a fair value estimate using valuation inputs from entities with operations and economic characteristics comparable to our reporting units.</w:t>
      </w:r>
    </w:p>
    <w:p>
      <w:pPr>
        <w:spacing w:after="0" w:line="19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Fair value computed by these two methods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these two methods provide a reasonable approach to estimating the fair value of our reporting units.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Notes 6 and 13 for additional information related to goodwill impairments recognized during the reported periods.</w:t>
      </w:r>
    </w:p>
    <w:p>
      <w:pPr>
        <w:spacing w:after="0" w:line="223" w:lineRule="exact"/>
        <w:rPr>
          <w:sz w:val="20"/>
          <w:szCs w:val="20"/>
          <w:color w:val="auto"/>
        </w:rPr>
      </w:pPr>
    </w:p>
    <w:p>
      <w:pPr>
        <w:ind w:right="2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Indefinite-Lived Intangible Assets Other Than Goodwill </w:t>
      </w:r>
      <w:r>
        <w:rPr>
          <w:rFonts w:ascii="Times New Roman" w:cs="Times New Roman" w:eastAsia="Times New Roman" w:hAnsi="Times New Roman"/>
          <w:sz w:val="18"/>
          <w:szCs w:val="18"/>
          <w:color w:val="auto"/>
        </w:rPr>
        <w:t>— At least annually, and more frequently if warranted, we assess indefinite-lived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other than goodwill for impairment.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When performing the impairment test for indefinite-lived intangible assets, we generally first conduct a qualitative analysis to determine whether we believe it is more likely than not that an asset has been impaired. If we believe an impairment has occurred, we then evaluate for impairment by comparing the estimated fair value of assets to the carrying value. An impairment charge is recognized if the asset’s estimated fair value is less than its carrying value.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Fair value is typically estimated using an income approach. The income approach is based on the long-term projected future cash flows. We discount the estimated cash flows to present value using a weighted-average cost of capital that considers factors such as market assumptions, the timing of the cash flows and the risks inherent in those cash flows. We believe that this approach is appropriate because it provides a fair value estimate based upon the expected long-term performance considering the economic and market conditions that generally affect our business.</w:t>
      </w:r>
    </w:p>
    <w:p>
      <w:pPr>
        <w:spacing w:after="0" w:line="180"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Fair value computed by this method is arrived at using a number of factors, including projected future operating results, economic projections, anticipated future cash flows, comparable marketplace data and the cost of capital. There are inherent uncertainties related to these factors and to our judgment in applying them to this analysis. However, we believe that this method provides a reasonable approach to estimating the fair value of the reporting units.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Trust and Escrow Accounts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of both December 31, 2014 and December 31, 2013, our restricted trust and escrow accounts consist principally of funds deposited for purposes of settling landfill final capping, closure, post-closure and environmental remediation obligations. We often also have restricted trust and escrow account balances related to funds received from the issuance of tax-exempt bonds held in trust for the construction of various projects or facilities. As of December 31, 2014 and 2013, we had $171 million and $167 million, respectively, of restricted trust and escrow accounts, which are primarily included in “Other assets” in our Consolidated Balance Sheets.</w:t>
      </w:r>
    </w:p>
    <w:p>
      <w:pPr>
        <w:spacing w:after="0" w:line="182"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Final Capping, Closure, Post-Closure and Environmental Remediation Funds </w:t>
      </w:r>
      <w:r>
        <w:rPr>
          <w:rFonts w:ascii="Times New Roman" w:cs="Times New Roman" w:eastAsia="Times New Roman" w:hAnsi="Times New Roman"/>
          <w:sz w:val="18"/>
          <w:szCs w:val="18"/>
          <w:color w:val="auto"/>
        </w:rPr>
        <w:t>— At several of our landfills, we provide financial assurance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depositing cash into restricted trust funds or escrow accounts for purposes of settling final capping, closure, post-closure and environmental remediation obligations. Balances maintained in these trust funds and escrow accounts will fluctuate based on (i) changes in statutory requirements; (ii) future deposits made to comply with contractual arrangements; (iii) the ongoing use of funds for qualifying final capping, closure, post-closure and environmental remediation activities; (iv) acquisitions or divestitures of landfills and (v) changes in the fair value of the financial instruments held in the trust fund or escrow accounts.</w:t>
      </w:r>
    </w:p>
    <w:p>
      <w:pPr>
        <w:spacing w:after="0" w:line="183"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Tax-Exempt Bond Funds </w:t>
      </w:r>
      <w:r>
        <w:rPr>
          <w:rFonts w:ascii="Times New Roman" w:cs="Times New Roman" w:eastAsia="Times New Roman" w:hAnsi="Times New Roman"/>
          <w:sz w:val="18"/>
          <w:szCs w:val="18"/>
          <w:color w:val="auto"/>
        </w:rPr>
        <w:t>— We obtain funds from the issuance of industrial revenue bonds for the construction of disposal facilities and for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to provide waste management services. Proceeds from these arrangements are directly deposited into trust accounts, and we do not have the ability to use the funds in regular operating activities. Accordingly, these borrowings are treated as non-cash financing activities and are excluded from our Consolidated Statements of Cash Flows. As our construction and equipment expenditures are documented and approved by the applicable bond trustee, the funds are released and we receive a cash reimbursement. These cash reimbursements are reported in the Consolidated Statements of Cash Flows as an investing activity when the cash is released from the trust funds. Generally, the funds are fully expended within one year of the debt issuance. When the debt matures, we generally repay our obligation with cash on hand and the debt repayments are included as a financing activity in the Consolidated Statements of Cash Flows.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Entities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Investments in unconsolidated entities over which the Company has significant influence are accounted for under the equity method of accounting. Investments in entities in which the Company does not have the ability to exert significant influence over the investees’ operating and financing activities are accounted for under the cost method of accounting. In addition to equity investments in unconsolidated subsidiaries, we support these ventures through loans and advances. These loans and advances are included as a component of “Other” within the “Net cash provided by investing activities” in our Consolidated Statement of Cash Flows. The following table summarizes our equity and cost method investments as of December 31 (in millions):</w:t>
      </w:r>
    </w:p>
    <w:p>
      <w:pPr>
        <w:spacing w:after="0" w:line="205"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investments(a)</w:t>
            </w:r>
          </w:p>
        </w:tc>
        <w:tc>
          <w:tcPr>
            <w:tcW w:w="2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$228</w:t>
            </w:r>
          </w:p>
        </w:tc>
        <w:tc>
          <w:tcPr>
            <w:tcW w:w="6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$437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Cost investments</w:t>
            </w:r>
          </w:p>
        </w:tc>
        <w:tc>
          <w:tcPr>
            <w:tcW w:w="20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408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8"/>
                <w:szCs w:val="18"/>
                <w:color w:val="auto"/>
              </w:rPr>
            </w:pPr>
          </w:p>
        </w:tc>
      </w:tr>
      <w:tr>
        <w:trPr>
          <w:trHeight w:val="20"/>
        </w:trPr>
        <w:tc>
          <w:tcPr>
            <w:tcW w:w="5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40" w:hanging="452"/>
        <w:spacing w:after="0" w:line="261" w:lineRule="auto"/>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2013 included $177 million attributable to our 2010 investment in Shanghai Environment Group (“SEG”), which was part of our Wheelabrator business. This investment was classified as a current asset and reflected in “Investment in unconsolidated entity” in our Consolidated Balance Sheet as of December 31, 2013, based on our intent to sell our investment in SEG within the next 12 months. We sold our investment in SEG in the first quarter of 2014.</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monitor and assess the carrying value of our investments throughout the year for potential impairment and write them down to their fair value when other-than-temporary declines exist. Fair value is generally based on (i) other third-party investors’ recent transactions in the securities; (ii) other information available regarding the current market for similar assets and/or (iii) a market or income approach as deemed appropriate.</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have operations in Canada as well as a cost center in India. Local currencies generally are considered the functional currencies of our operations and investments outside the United States. The assets and liabilities of our foreign operations are translated to U.S. dollars using the exchange rate at the balance sheet date. Revenues and expenses are translated to U.S. dollars using the average exchange rate during the period. The resulting translation difference is reflected as a component of comprehensive income.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primarily use derivative financial instruments to manage our risk associated with fluctuations in interest rates and foreign currency exchange rates. In prior years, we used interest rate swaps to maintain a strategic portion of our long-term debt obligations at variable, market-driven interest rates or in anticipation of planned senior note issuances to effectively lock in a fixed interest rate for those anticipated issuances. Foreign currency exchange rate derivatives are used to hedge our exposure to changes in exchange rates for anticipated intercompany debt transactions, and related interest payments, between Waste Management Holdings, Inc., a wholly-owned subsidiary (“WM Holdings”), and its Canadian subsidiaries. Prior to the sale of our Wheelabrator business, we used electricity commodity derivatives to mitigate the variability in our revenues and cash flows caused by fluctuations in the market prices for electricity. The financial statement impacts of our derivatives are discussed in Notes 8 and 14.</w:t>
      </w:r>
    </w:p>
    <w:p>
      <w:pPr>
        <w:spacing w:after="0" w:line="18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obtain current valuations of our interest rate and foreign currency hedging instruments from third-party pricing models. The estimated fair values of derivatives used to hedge risks fluctuate over time and should be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80"/>
          </w:cols>
          <w:pgMar w:left="240" w:top="455" w:right="27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viewed in relation to the underlying hedged transaction and the overall management of our exposure to fluctuations in the underlying risks. The fair value of derivatives is included in other current assets, other long-term assets, current accrued liabilities or other long-term liabilities, as appropriate. Any ineffectiveness present in either fair value or cash flow hedges is recognized immediately in earnings without offset. There was no significant ineffectiveness in 2014, 2013 or 2012.</w:t>
      </w:r>
    </w:p>
    <w:p>
      <w:pPr>
        <w:spacing w:after="0" w:line="84" w:lineRule="exact"/>
        <w:rPr>
          <w:sz w:val="20"/>
          <w:szCs w:val="20"/>
          <w:color w:val="auto"/>
        </w:rPr>
      </w:pPr>
    </w:p>
    <w:p>
      <w:pPr>
        <w:ind w:left="900" w:hanging="325"/>
        <w:spacing w:after="0" w:line="259"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Currency Derivatives </w:t>
      </w:r>
      <w:r>
        <w:rPr>
          <w:rFonts w:ascii="Times New Roman" w:cs="Times New Roman" w:eastAsia="Times New Roman" w:hAnsi="Times New Roman"/>
          <w:sz w:val="18"/>
          <w:szCs w:val="18"/>
          <w:color w:val="auto"/>
        </w:rPr>
        <w:t>— Our foreign currency derivatives have been designated as cash flow hedges for accounting purposes,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the unrealized changes in the fair value of the derivative instruments being recorded in “Accumulated other comprehensive income” within the equity section of our Consolidated Balance Sheets. The associated balance in other comprehensive income is reclassified to earnings as the hedged cash flows affect earnings. In each of the periods presented, these derivatives have effectively mitigated the impacts of the hedged transactions, resulting in immaterial impacts to our results of operations for the periods presented.</w:t>
      </w:r>
    </w:p>
    <w:p>
      <w:pPr>
        <w:spacing w:after="0" w:line="85"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Rate Derivatives </w:t>
      </w:r>
      <w:r>
        <w:rPr>
          <w:rFonts w:ascii="Times New Roman" w:cs="Times New Roman" w:eastAsia="Times New Roman" w:hAnsi="Times New Roman"/>
          <w:sz w:val="18"/>
          <w:szCs w:val="18"/>
          <w:color w:val="auto"/>
        </w:rPr>
        <w:t>— Our previously outstanding “receive fixed, pay variable” interest rate swaps associated with outstanding fixed-rate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notes had been designated as fair value hedges for accounting purposes. Accordingly, derivative assets were accounted for as an increase in the carrying value of our underlying debt obligations and derivative liabilities were accounted for as a decrease in the carrying value of our underlying debt instruments. These fair value adjustments are deferred and recognized as an adjustment to interest expense over the remaining term of the hedged instruments. Treasury locks and forward-starting swaps executed in prior years were designated as cash flow hedges for accounting purposes. The fair value of these derivative instruments were recorded in “Accumulated other comprehensive income” within the equity section of our Consolidated Balance Sheets. The associated balance in other comprehensive income is reclassified to earnings as the hedged cash flows occur.</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Insured and Self-Insured Claims</w:t>
      </w:r>
    </w:p>
    <w:p>
      <w:pPr>
        <w:spacing w:after="0" w:line="12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health and welfare, automobile, general liability and workers’ compensation claims programs. The exposure for unpaid claims and associated expenses, including incurred but not reported losses, generally is estimated with the assistance of external actuaries and by factoring in pending claims and historical trends and data. The gross estimated liability associated with settling unpaid claims is included in “Accrued liabilities” in our Consolidated Balance Sheets if expected to be settled within one year, or otherwise is included in long-term “Other liabilities.” Estimated insurance recoveries related to recorded liabilities are reflected as current “Other receivables” or long-term “Other assets” in our Consolidated Balance Sheets when we believe that the receipt of such amounts is probable.</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revenues are generated from the fees we charge for waste collection, transfer, disposal and recycling and resource recovery services; from the sale of electricity and landfill gas, which are byproducts of our landfill operations; and from the sale of recyclable commodities, oil and gas and organic lawn and garden products. The fees charged for our services are generally defined in our service agreements and vary based on contract-specific terms such as frequency of service, weight, volume and the general market factors influencing a region’s rates. The fees we charge for our services generally include fuel surcharges, which are intended to pass through to customers increased direct and indirect costs incurred because of changes in market prices for fuel. We generally recognize revenue as services are performed or products are delivered. For example, revenue typically is recognized as waste is collected, tons are received at our landfills or transfer stations, recycling commodities are delivered or as kilowatts are delivered to a customer by a waste-to-energy facility or independent power production plant.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Tangible product revenues primarily include the sale of recyclable commodities at our material recovery facilities and through our recycling brokerage services and, to a lesser extent, sales of oil and gas, metals and organic lawn and garden products.</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We bill for certain services prior to performance. Such services include, among others, certain residential contracts that are billed on a quarterly basis and equipment rentals. These advance billings are included in deferred revenues and recognized as revenue in the period service is provided.</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capitalize interest on certain projects under development, including internal-use software and landfill expansion projects, and on certain assets under construction, including operating landfills and landfill gas-to-energy projects. During 2014, 2013 and 2012, total interest costs were $487 million, $500 million and $509 million, respectively, of which $16 million was capitalized in 2014, $19 million was capitalized in 2013 and $21 million was capitalized in 2012. In 2014, 2013 and 2012, interest was capitalized primarily for landfill construction costs.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 in the United States and Canada. Current tax obligations associated with our provision for income taxes are reflected in the accompanying Consolidated Balance Sheets as a component of “Accrued liabilities” and the deferred tax obligations are reflected in “Deferred income taxes.”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Deferred income taxes are based on the difference between the financial reporting and tax basis of assets and liabilities. The deferred income tax provision represents the change during the reporting period in the deferred tax assets and deferred tax liabilities, net of the effect of acquisitions and dispositions. Deferred tax assets include tax loss and credit carry-forwards and are reduced by a valuation allowance if, based on available evidence, it is more likely than not that some portion or all of the deferred tax assets will not be realized. Significant judgment is required in assessing the timing and amounts of deductible and taxable items. We establish reserves for uncertain tax positions when, despite our belief that our tax return positions are fully supportable, we believe that certain positions may be challenged and potentially disallowed. When facts and circumstances change, we adjust these reserves through our provision for income taxes.</w:t>
      </w:r>
    </w:p>
    <w:p>
      <w:pPr>
        <w:spacing w:after="0" w:line="18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To the extent interest and penalties may be assessed by taxing authorities on any underpayment of income tax, such amounts have been accrued and are classified as a component of income tax expense in our Consolidated Statements of Operations.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estimate the amount of potential exposure we may have with respect to claims, assessments and litigation in accordance with U.S. Generally Accepted Accounting Principles (“GAAP”). We are party to pending or threatened legal proceedings covering a wide range of matters in various jurisdictions. It is difficult to predict the outcome of litigation, as it is subject to many uncertainties. Additionally, it is not always possible for management to make a meaningful estimate of the potential loss or range of loss associated with such contingencies.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Cash paid during the year (in millions):</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124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74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240" w:type="dxa"/>
            <w:vAlign w:val="bottom"/>
            <w:tcBorders>
              <w:top w:val="single" w:sz="8" w:color="CCEEFF"/>
            </w:tcBorders>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Interest, net of capitalized interest and periodic settlements from interest rate</w:t>
            </w: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swap agreements</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461</w:t>
            </w:r>
          </w:p>
        </w:tc>
        <w:tc>
          <w:tcPr>
            <w:tcW w:w="198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   478</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485</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c>
          <w:tcPr>
            <w:tcW w:w="19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511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2013, non-cash investing and financing activities included proceeds from tax-exempt borrowings, net of principal payments made directly from trust funds, of $99 million. During 2014 and 2012, we did not have any significant non-cash investing and financing activities. Non-cash investing and financing activities are excluded from the Consolidated Statements of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Landfill and Environmental Remediation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Liabilities for landfill and environmental remediation costs are presented in the table below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300" w:type="dxa"/>
            <w:vAlign w:val="bottom"/>
          </w:tcPr>
          <w:p>
            <w:pPr>
              <w:spacing w:after="0"/>
              <w:rPr>
                <w:sz w:val="10"/>
                <w:szCs w:val="10"/>
                <w:color w:val="auto"/>
              </w:rPr>
            </w:pPr>
          </w:p>
        </w:tc>
        <w:tc>
          <w:tcPr>
            <w:tcW w:w="1420" w:type="dxa"/>
            <w:vAlign w:val="bottom"/>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300" w:type="dxa"/>
            <w:vAlign w:val="bottom"/>
          </w:tcPr>
          <w:p>
            <w:pPr>
              <w:spacing w:after="0"/>
              <w:rPr>
                <w:sz w:val="10"/>
                <w:szCs w:val="10"/>
                <w:color w:val="auto"/>
              </w:rPr>
            </w:pPr>
          </w:p>
        </w:tc>
        <w:tc>
          <w:tcPr>
            <w:tcW w:w="14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Environmental</w:t>
            </w:r>
          </w:p>
        </w:tc>
        <w:tc>
          <w:tcPr>
            <w:tcW w:w="100" w:type="dxa"/>
            <w:vAlign w:val="bottom"/>
          </w:tcPr>
          <w:p>
            <w:pPr>
              <w:spacing w:after="0"/>
              <w:rPr>
                <w:sz w:val="10"/>
                <w:szCs w:val="10"/>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 accrued liabilities)</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1,326</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1,443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1,421</w:t>
            </w:r>
          </w:p>
        </w:tc>
        <w:tc>
          <w:tcPr>
            <w:tcW w:w="6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changes to landfill and environmental remediation liabilities for the years ended December 31, 2013 and 2014 are reflected in the table below (in millions):</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08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Landfill</w:t>
            </w:r>
          </w:p>
        </w:tc>
        <w:tc>
          <w:tcPr>
            <w:tcW w:w="146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Environmental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20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Remediation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$1,338</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settled</w:t>
            </w:r>
          </w:p>
        </w:tc>
        <w:tc>
          <w:tcPr>
            <w:tcW w:w="2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accretion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Revisions in estimates and interest rate</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assumptions(a)(b)</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divestitures and other adjustments</w:t>
            </w:r>
          </w:p>
        </w:tc>
        <w:tc>
          <w:tcPr>
            <w:tcW w:w="1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Obligations incurred and capitalized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settled</w:t>
            </w:r>
          </w:p>
        </w:tc>
        <w:tc>
          <w:tcPr>
            <w:tcW w:w="2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accretion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Revisions in estimates and interest rate</w:t>
            </w:r>
          </w:p>
        </w:tc>
        <w:tc>
          <w:tcPr>
            <w:tcW w:w="1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assumptions(a)(b)</w:t>
            </w:r>
          </w:p>
        </w:tc>
        <w:tc>
          <w:tcPr>
            <w:tcW w:w="20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divestitures and other adjustments(c)</w:t>
            </w:r>
          </w:p>
        </w:tc>
        <w:tc>
          <w:tcPr>
            <w:tcW w:w="11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1,443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100" w:hanging="452"/>
        <w:spacing w:after="0" w:line="266" w:lineRule="auto"/>
        <w:tabs>
          <w:tab w:leader="none" w:pos="4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our landfill liabilities include a reduction of approximately $20 million for 2013 and an increase of approximately $2 million for 2014, related to our year-end annual review of landfill final capping, closure and post-closure obligations. The amount reported in 2013 also includes an increase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right="400"/>
        <w:spacing w:after="0" w:line="261" w:lineRule="auto"/>
        <w:rPr>
          <w:sz w:val="20"/>
          <w:szCs w:val="20"/>
          <w:color w:val="auto"/>
        </w:rPr>
      </w:pPr>
      <w:r>
        <w:rPr>
          <w:rFonts w:ascii="Times New Roman" w:cs="Times New Roman" w:eastAsia="Times New Roman" w:hAnsi="Times New Roman"/>
          <w:sz w:val="18"/>
          <w:szCs w:val="18"/>
          <w:color w:val="auto"/>
        </w:rPr>
        <w:t>approximately $23 million due to the acceleration of the timing of closure and post-closure activities at two of our landfills related to landfill asset impairments, discussed further in Note 13.</w:t>
      </w:r>
    </w:p>
    <w:p>
      <w:pPr>
        <w:ind w:left="460" w:right="220" w:hanging="452"/>
        <w:spacing w:after="0" w:line="255"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2013 for our environmental remediation liabilities includes the impact of an increase in the risk-free discount rate used to measure our liabilities from 1.75% at December 31, 2012 to 3.0% at December 31, 2013, resulting in a decrease of $18 million to our environmental remediation liabilities and a corresponding decrease to “Operating” expenses.</w:t>
      </w:r>
    </w:p>
    <w:p>
      <w:pPr>
        <w:spacing w:after="0" w:line="10" w:lineRule="exact"/>
        <w:rPr>
          <w:rFonts w:ascii="Times New Roman" w:cs="Times New Roman" w:eastAsia="Times New Roman" w:hAnsi="Times New Roman"/>
          <w:sz w:val="18"/>
          <w:szCs w:val="18"/>
          <w:color w:val="auto"/>
        </w:rPr>
      </w:pPr>
    </w:p>
    <w:p>
      <w:pPr>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2014 for environmental remediation liabilities includes the impact of a decrease in the risk-free discount rate used to measure our liabilities from 3.0% at December 31, 2013 to 2.0% at December 31, 2014, resulting in an increase of $13 million to our environmental remediation liabilities and a corresponding increase to “Operating” expenses.</w:t>
      </w:r>
    </w:p>
    <w:p>
      <w:pPr>
        <w:ind w:left="460" w:right="140" w:hanging="452"/>
        <w:spacing w:after="0" w:line="282" w:lineRule="auto"/>
        <w:tabs>
          <w:tab w:leader="none" w:pos="4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for our 2014 landfill liabilities include reductions of approximately $25 million for divestitures, including the divestiture of our Wheelabrator business.</w:t>
      </w:r>
    </w:p>
    <w:p>
      <w:pPr>
        <w:spacing w:after="0" w:line="162"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Our recorded liabilities as of December 31, 2014 include the impacts of inflating certain of these costs based on our expectations for the timing of cash settlement and of discounting certain of these costs to present value. Anticipated payments of currently identified environmental remediation liabilities as measured in current dollars are $43 million in 2015, $26 million in 2016, $26 million in 2017, $24 million in 2018, $12 million in 2019 and $98 million thereafter.</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20 for additional information related to these trusts.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at December 31 consisted of the following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8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5"/>
                <w:szCs w:val="15"/>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Landfills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13,463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13,416</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equipment(a)</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Containers</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2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improvements(a)</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2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shd w:val="clear" w:color="auto" w:fill="CCEEFF"/>
          </w:tcPr>
          <w:p>
            <w:pPr>
              <w:spacing w:after="0"/>
              <w:rPr>
                <w:sz w:val="18"/>
                <w:szCs w:val="18"/>
                <w:color w:val="auto"/>
              </w:rPr>
            </w:pPr>
          </w:p>
        </w:tc>
      </w:tr>
      <w:tr>
        <w:trPr>
          <w:trHeight w:val="223"/>
        </w:trPr>
        <w:tc>
          <w:tcPr>
            <w:tcW w:w="5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26,625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29,067</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on tangible property and equipment</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(8,278)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(9,205)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landfill airspace amortization</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(7,690)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(7,518)</w:t>
            </w:r>
          </w:p>
        </w:tc>
      </w:tr>
      <w:tr>
        <w:trPr>
          <w:trHeight w:val="27"/>
        </w:trPr>
        <w:tc>
          <w:tcPr>
            <w:tcW w:w="5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10,657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12,344</w:t>
            </w:r>
          </w:p>
        </w:tc>
        <w:tc>
          <w:tcPr>
            <w:tcW w:w="12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5620" w:right="1520" w:hanging="5612"/>
        <w:spacing w:after="0" w:line="454" w:lineRule="auto"/>
        <w:tabs>
          <w:tab w:leader="none" w:pos="45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decreases at December 31, 2014 are primarily related to the sale of our Wheelabrator business as discussed further in Note 19. 96</w:t>
      </w:r>
    </w:p>
    <w:p>
      <w:pPr>
        <w:sectPr>
          <w:pgSz w:w="11900" w:h="16838" w:orient="portrait"/>
          <w:cols w:equalWidth="0" w:num="1">
            <w:col w:w="11380"/>
          </w:cols>
          <w:pgMar w:left="240" w:top="455" w:right="2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including amortization expense for assets recorded as capital leases, was comprised of the following for the years ended December 31 (in millions):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8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CCEEFF"/>
            </w:tcBorders>
          </w:tcPr>
          <w:p>
            <w:pPr>
              <w:spacing w:after="0"/>
              <w:rPr>
                <w:sz w:val="15"/>
                <w:szCs w:val="15"/>
                <w:color w:val="auto"/>
              </w:rPr>
            </w:pPr>
          </w:p>
        </w:tc>
      </w:tr>
      <w:tr>
        <w:trPr>
          <w:trHeight w:val="21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tangible property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landfill airspace</w:t>
            </w:r>
          </w:p>
        </w:tc>
        <w:tc>
          <w:tcPr>
            <w:tcW w:w="100" w:type="dxa"/>
            <w:vAlign w:val="bottom"/>
          </w:tcPr>
          <w:p>
            <w:pPr>
              <w:spacing w:after="0"/>
              <w:rPr>
                <w:sz w:val="18"/>
                <w:szCs w:val="18"/>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3"/>
              </w:rPr>
              <w:t>1,214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1,253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3"/>
              </w:rPr>
              <w:t>1,228</w:t>
            </w: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Goodwill was $5,740 million as of December 31, 2014 compared with $6,070 million as of December 31, 2013. The $330 million decrease in goodwill during 2014 is primarily related to the sale of our Wheelabrator business and, to a lesser extent, the effect of foreign currency translation adjustments related to the goodwill associated with our Canadian operations and goodwill impairment charges associated with our recycling operations. See Notes 3, 13, 19 and 21 for additional information.</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As discussed more fully in Note 3, we perform our annual impairment test of our goodwill balances using a measurement date of October 1. We will also perform interim tests if an impairment indicator exists such that the fair value of a reporting unit could potentially be less than its carrying amount. We did not encounter any events or changes in circumstances that indicated that an impairment was more likely than not during interim periods in 2014, 2013 or 2012.</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During our annual 2013 impairment test of our goodwill balances we determined the fair value of our Wheelabrator business had declined and the associated goodwill was impaired. As a result, we recognized an impairment charge of $483 million, which had no related tax benefit. We estimated the implied fair value of our Wheelabrator reporting unit goodwill using a combination of income and market approaches. Because the annual impairment test indicated that Wheelabrator’s carrying value exceeded its estimated fair value, we performed the “step two” analysis. In the “step two” analysis, the fair values of all assets and liabilities were estimated, including tangible assets, power contracts, customer relationships and trade name for the purpose of deriving an estimate of the implied fair value of goodwill. The implied fair value of goodwill was then compared to the carrying amount of goodwill to determine the amount of the impairment. The factors contributing to the $483 million goodwill impairment charge principally related to the continued challenging business environment in areas of the country in which Wheelabrator operated, characterized by lower available disposal volumes (which impact disposal rates and overall disposal revenue, as well as the amount of electricity Wheelabrator was able to generate), lower electricity pricing due to the pricing pressure created by availability of natural gas and increased operating costs as Wheelabrator’s facilities aged. These factors caused us to lower prior assumptions for electricity and disposal revenue, and increase assumed operating costs. Additionally, the discount factor previously utilized in the income approach in 2013 increased mainly due to increases in interest rates. In 2013, we incurred an additional $10 million of charges to impair goodwill associated with our Puerto Rico operations and $4 million to impair goodwill associated with our recycling business.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00"/>
          </w:cols>
          <w:pgMar w:left="240" w:top="455" w:right="2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other intangible assets as of December 31, 2014 and 2013 were comprised of the following (in millions):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340" w:type="dxa"/>
            <w:vAlign w:val="bottom"/>
          </w:tcPr>
          <w:p>
            <w:pPr>
              <w:spacing w:after="0"/>
              <w:rPr>
                <w:sz w:val="13"/>
                <w:szCs w:val="13"/>
                <w:color w:val="auto"/>
              </w:rPr>
            </w:pPr>
          </w:p>
        </w:tc>
        <w:tc>
          <w:tcPr>
            <w:tcW w:w="1440" w:type="dxa"/>
            <w:vAlign w:val="bottom"/>
            <w:gridSpan w:val="3"/>
            <w:vMerge w:val="restart"/>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3"/>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Supplier</w:t>
            </w:r>
          </w:p>
        </w:tc>
        <w:tc>
          <w:tcPr>
            <w:tcW w:w="80" w:type="dxa"/>
            <w:vAlign w:val="bottom"/>
          </w:tcPr>
          <w:p>
            <w:pPr>
              <w:spacing w:after="0"/>
              <w:rPr>
                <w:sz w:val="12"/>
                <w:szCs w:val="12"/>
                <w:color w:val="auto"/>
              </w:rPr>
            </w:pPr>
          </w:p>
        </w:tc>
        <w:tc>
          <w:tcPr>
            <w:tcW w:w="98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Not-to-</w:t>
            </w:r>
          </w:p>
        </w:tc>
        <w:tc>
          <w:tcPr>
            <w:tcW w:w="340" w:type="dxa"/>
            <w:vAlign w:val="bottom"/>
          </w:tcPr>
          <w:p>
            <w:pPr>
              <w:spacing w:after="0"/>
              <w:rPr>
                <w:sz w:val="12"/>
                <w:szCs w:val="12"/>
                <w:color w:val="auto"/>
              </w:rPr>
            </w:pPr>
          </w:p>
        </w:tc>
        <w:tc>
          <w:tcPr>
            <w:tcW w:w="14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Permits</w:t>
            </w: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Compete</w:t>
            </w:r>
          </w:p>
        </w:tc>
        <w:tc>
          <w:tcPr>
            <w:tcW w:w="340" w:type="dxa"/>
            <w:vAlign w:val="bottom"/>
          </w:tcPr>
          <w:p>
            <w:pPr>
              <w:spacing w:after="0"/>
              <w:rPr>
                <w:sz w:val="15"/>
                <w:szCs w:val="15"/>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December 31, 2014: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2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$ 755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7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604</w:t>
            </w:r>
          </w:p>
        </w:tc>
        <w:tc>
          <w:tcPr>
            <w:tcW w:w="7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20" w:type="dxa"/>
            <w:vAlign w:val="bottom"/>
          </w:tcPr>
          <w:p>
            <w:pPr>
              <w:spacing w:after="0"/>
              <w:rPr>
                <w:sz w:val="18"/>
                <w:szCs w:val="18"/>
                <w:color w:val="auto"/>
              </w:rPr>
            </w:pPr>
          </w:p>
        </w:tc>
        <w:tc>
          <w:tcPr>
            <w:tcW w:w="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123</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$ 814</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Amortization expense for other intangible assets was $78 million for 2014, $80 million for 2013 and $69 million for 2012. At December 31, 2014, we had $19 million of licenses, permits and other intangible assets that are not subject to amortization, because they do not have stated expirations or have routine, administrative renewal processes. Additional information related to other intangible assets acquired through business combinations is included in Note 19. As of December 31, 2014, expected annual amortization expense related to other intangible assets is $69 million in 2015; $62 million in 2016; $55 million in 2017; $50 million in 2018 and $43 million in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debt at each balance sheet date (in millions) and provides the maturities and interest rate ranges of each major category as of December 31, 2014:</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5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52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U.S. revolving credit facility, maturing July 2018 (weighted average interest rate of</w:t>
            </w: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 at December 31, 2013)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Letter of credit facilities, maturing through December 2018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Canadian credit facility and term loan, maturing November 2017 (weighted average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interest rate of 2.6% at December 31, 2014 and 2.7% at December 31,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Senior notes maturing through 2039, interest rates ranging from 2.60% to 7.75%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interest rate of 5.7% at December 31, 2014 and 2013)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6,273</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Tax-exempt bonds maturing through 2045, fixed and variable interest rates ranging</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from 0.04% to 5.7% (weighted average interest rate of 2.2% at December 31, 2014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2.3% at December 31, 2013)</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2,541</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leases and other, maturing through 2055, interest rates up to 12%</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9,435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8,345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240"/>
              <w:spacing w:after="0"/>
              <w:rPr>
                <w:sz w:val="20"/>
                <w:szCs w:val="20"/>
                <w:color w:val="auto"/>
              </w:rPr>
            </w:pPr>
            <w:r>
              <w:rPr>
                <w:rFonts w:ascii="Times New Roman" w:cs="Times New Roman" w:eastAsia="Times New Roman" w:hAnsi="Times New Roman"/>
                <w:sz w:val="18"/>
                <w:szCs w:val="18"/>
                <w:color w:val="auto"/>
              </w:rPr>
              <w:t>98</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5" w:right="3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 Classification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2014, our current debt balances include (i) $947 million of senior notes repaid with available cash in January 2015 that the Company decided to redeem in advance of their scheduled maturities, including $350 million of 6.375% senior notes that were scheduled to mature in March 2015, $147 million of 7.125% senior notes that were scheduled to mature in December 2017 and $450 million of 7.375% senior notes that were scheduled to mature in March 2019 and (ii) $143 million of debt with scheduled maturities within the next 12 months, including $64 million of tax-exempt bonds.</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2014, we also have $638 million of tax-exempt bonds with term interest rate periods that expire within 12 months and an additional $501 million of variable-rate tax-exempt bonds that are supported by letters of credit. The interest rates on these bonds are reset on either a daily or weekly basis through a remarketing process. All recent remarketings have successfully placed Company bonds with investors at reasonable, market-driven rates and we currently expect future remarketings to be a success. However, if the remarketing agent is unable to remarket our bonds, the remarketing agent can put the bonds to us. In the event of a failed remarketing, we have the intent and ability to use availability under our long-term U.S. revolving credit facility (“$2.25 billion revolving credit facility”) to fund the debt obligation until it can be remarketed successfully. Accordingly, we classified these borrowings as long-term in our Consolidated Balance Sheet at December 31, 2014.</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Access to and Utilization of Credit Facilities</w:t>
      </w:r>
    </w:p>
    <w:p>
      <w:pPr>
        <w:spacing w:after="0" w:line="119"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$2.25 Billion Revolving Credit Facility </w:t>
      </w:r>
      <w:r>
        <w:rPr>
          <w:rFonts w:ascii="Times New Roman" w:cs="Times New Roman" w:eastAsia="Times New Roman" w:hAnsi="Times New Roman"/>
          <w:sz w:val="17"/>
          <w:szCs w:val="17"/>
          <w:color w:val="auto"/>
        </w:rPr>
        <w:t>— In July 2013, we amended and restated our revolving credit facility, increasing our total credit capacity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$2.25 billion and extending the term through July 2018. This facility provides us with credit capacity to be used for either cash borrowings or to support letters of credit. The rates we pay for outstanding loans are generally based on LIBOR plus a spread depending on the Company’s debt rating assigned by Moody’s Investors Service and Standard and Poor’s. The spread above LIBOR ranges from 0.90% to 1.475%. At December 31, 2014, we had no outstanding borrowings and $785 million of letters of credit issued and supported by the facility, leaving unused and available credit capacity of $1,465 million.</w:t>
      </w:r>
    </w:p>
    <w:p>
      <w:pPr>
        <w:spacing w:after="0" w:line="16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Letter of Credit Facilities </w:t>
      </w:r>
      <w:r>
        <w:rPr>
          <w:rFonts w:ascii="Times New Roman" w:cs="Times New Roman" w:eastAsia="Times New Roman" w:hAnsi="Times New Roman"/>
          <w:sz w:val="18"/>
          <w:szCs w:val="18"/>
          <w:color w:val="auto"/>
        </w:rPr>
        <w:t>— As of December 31, 2014, we had an aggregate committed capacity of $400 million under letter of credit facilities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ending through December 2018. This letter of credit capacity was fully utilized as of December 31, 2014. The financial assurance needs of our business are extensive so we supplement the letter of credit capacity we have through these committed facilities with stand-alone letters of credit with various banking partners.</w:t>
      </w:r>
    </w:p>
    <w:p>
      <w:pPr>
        <w:spacing w:after="0" w:line="180" w:lineRule="exact"/>
        <w:rPr>
          <w:sz w:val="20"/>
          <w:szCs w:val="20"/>
          <w:color w:val="auto"/>
        </w:rPr>
      </w:pPr>
    </w:p>
    <w:p>
      <w:pPr>
        <w:ind w:right="8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Canadian Credit Facility and Term Loan </w:t>
      </w:r>
      <w:r>
        <w:rPr>
          <w:rFonts w:ascii="Times New Roman" w:cs="Times New Roman" w:eastAsia="Times New Roman" w:hAnsi="Times New Roman"/>
          <w:sz w:val="18"/>
          <w:szCs w:val="18"/>
          <w:color w:val="auto"/>
        </w:rPr>
        <w:t>— Waste Management of Canada Corporation and WM Quebec Inc., wholly-owned subsidiaries of WM,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under a Canadian credit agreement that provides C$150 million of revolving credit capacity and initially provided C$500 million of term credit. The credit agreement matures in November 2017. WM and WM Holdings guaranty all subsidiary obligations outstanding under the credit agreement. The rates we pay for outstanding loans under the Canadian credit agreement are generally based on the applicable Canadian Dealer Offered Rate (CDOR) plus a spread depending on the Company’s debt rating assigned by Moody’s Investors Service and Standard and Poor’s. The spread above CDOR ranges from 1.125% to 2.15%.</w:t>
      </w:r>
    </w:p>
    <w:p>
      <w:pPr>
        <w:spacing w:after="0" w:line="18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the fourth quarter of 2012, we established the C$150 million revolving credit capacity to refinance borrowings outstanding under a Canadian term credit agreement that would have matured in November 2012 and to provide additional liquidity for our Canadian operations. We have the ability to issue up to C$50 million of letters of credit under the Canadian revolving credit facility, which if utilized, reduces the amount of credit capacity available for borrowings. As of December 31, 2014 and 2013, we had no letters of credit outstanding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80"/>
          </w:cols>
          <w:pgMar w:left="240" w:top="455" w:right="2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facility. We had no outstanding borrowings as of December 31, 2014 and C$10 million of outstanding borrowings as of December 31, 2013.</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C$500 million of term credit was established specifically to fund the acquisition of substantially all of the assets of RCI and was fully drawn in July 2013. The term credit is non-revolving credit and principal amounts repaid may not be re-borrowed. Through December 31, 2014, we had repaid C$230 million of the term credit with available cash, reducing the outstanding and drawn credit to C$270 million. For additional information related to borrowings and principal repayments under the term credit, see below.</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 Borrowings and Repayments</w:t>
      </w:r>
    </w:p>
    <w:p>
      <w:pPr>
        <w:spacing w:after="0" w:line="119"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Canadian Credit Facility and Term Loan </w:t>
      </w:r>
      <w:r>
        <w:rPr>
          <w:rFonts w:ascii="Times New Roman" w:cs="Times New Roman" w:eastAsia="Times New Roman" w:hAnsi="Times New Roman"/>
          <w:sz w:val="18"/>
          <w:szCs w:val="18"/>
          <w:color w:val="auto"/>
        </w:rPr>
        <w:t>— Our outstanding CDOR-based advances, which are generally indexed to one-month CDOR, mature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2017, but are prepayable without penalty. Accordingly, this debt has been classified as long-term in our Consolidated Balance Sheet. We repaid C$170 million, or $155 million, of the advances under our Canadian credit agreement during the year ended December 31, 2014 with available cash. The remaining change in the carrying value of our Canadian credit facility and term loan is due to changes in the Canadian currency translation rate.</w:t>
      </w:r>
    </w:p>
    <w:p>
      <w:pPr>
        <w:spacing w:after="0" w:line="180" w:lineRule="exact"/>
        <w:rPr>
          <w:sz w:val="20"/>
          <w:szCs w:val="20"/>
          <w:color w:val="auto"/>
        </w:rPr>
      </w:pPr>
    </w:p>
    <w:p>
      <w:pPr>
        <w:ind w:right="18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In March 2014, we repaid $350 million of 5.0% senior notes upon maturity with borrowings under our $2.25 billion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In May 2014, we issued $350 million of 3.5% senior notes due May 15, 2024. The net proceeds from the debt issuance were $347 million, all of which were used to repay borrowings under our $2.25 billion revolving credit facility. The change in the carrying value of our senior notes from December 31, 2013 to December 31, 2014 is principally due to fair value hedge accounting for interest rate swap contracts. Refer to Notes 8 and 14 for additional information regarding our interest rate derivatives.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Tax-Exempt Bonds </w:t>
      </w:r>
      <w:r>
        <w:rPr>
          <w:rFonts w:ascii="Times New Roman" w:cs="Times New Roman" w:eastAsia="Times New Roman" w:hAnsi="Times New Roman"/>
          <w:sz w:val="18"/>
          <w:szCs w:val="18"/>
          <w:color w:val="auto"/>
        </w:rPr>
        <w:t>— During the year ended December 31, 2014, we repaid $123 million of our tax-exempt bonds with available cash.</w:t>
      </w:r>
    </w:p>
    <w:p>
      <w:pPr>
        <w:spacing w:after="0" w:line="225" w:lineRule="exact"/>
        <w:rPr>
          <w:sz w:val="20"/>
          <w:szCs w:val="20"/>
          <w:color w:val="auto"/>
        </w:rPr>
      </w:pPr>
    </w:p>
    <w:p>
      <w:pPr>
        <w:jc w:val="both"/>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Scheduled Debt Payments </w:t>
      </w:r>
      <w:r>
        <w:rPr>
          <w:rFonts w:ascii="Times New Roman" w:cs="Times New Roman" w:eastAsia="Times New Roman" w:hAnsi="Times New Roman"/>
          <w:sz w:val="18"/>
          <w:szCs w:val="18"/>
          <w:color w:val="auto"/>
        </w:rPr>
        <w:t>— Principal payments of our debt and capital leases for the next five years, based on scheduled maturities as adjusted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optional early redemption of certain of its senior notes, are as follows: $1,075 million in 2015; $717 million in 2016; $402 million in 2017; $801 million in 2018; and $132 million in 2019. Our recorded debt and capital lease obligations include non-cash adjustments associated with discounts, premiums and fair value adjustments for interest rate hedging activities, which have been excluded from these amounts because they will not result in cash payments.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Secured Debt</w:t>
      </w:r>
    </w:p>
    <w:p>
      <w:pPr>
        <w:spacing w:after="0" w:line="12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Our debt balances are generally unsecured, except for capital leases and the note payable associated with our investment in low-income housing properties.</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$2.25 billion revolving credit facility, our Canadian credit agreement and certain other financing agreements contain financial covenants. The following table summarizes the most restrictive requirements of these financial covenants (all terms used to measure these ratios are defined by the facilities):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coverage ratio</w:t>
            </w:r>
          </w:p>
        </w:tc>
        <w:tc>
          <w:tcPr>
            <w:tcW w:w="4980" w:type="dxa"/>
            <w:vAlign w:val="bottom"/>
            <w:shd w:val="clear" w:color="auto" w:fill="CCEEFF"/>
          </w:tcPr>
          <w:p>
            <w:pPr>
              <w:ind w:left="4060"/>
              <w:spacing w:after="0"/>
              <w:rPr>
                <w:sz w:val="20"/>
                <w:szCs w:val="20"/>
                <w:color w:val="auto"/>
              </w:rPr>
            </w:pPr>
            <w:r>
              <w:rPr>
                <w:rFonts w:ascii="Times New Roman" w:cs="Times New Roman" w:eastAsia="Times New Roman" w:hAnsi="Times New Roman"/>
                <w:sz w:val="18"/>
                <w:szCs w:val="18"/>
                <w:color w:val="auto"/>
              </w:rPr>
              <w:t>&gt; 2.75 to 1</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Total debt to EBITDA(a)</w:t>
            </w:r>
          </w:p>
        </w:tc>
        <w:tc>
          <w:tcPr>
            <w:tcW w:w="498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&lt; 3.75 to 1</w:t>
            </w:r>
          </w:p>
        </w:tc>
      </w:tr>
      <w:tr>
        <w:trPr>
          <w:trHeight w:val="346"/>
        </w:trPr>
        <w:tc>
          <w:tcPr>
            <w:tcW w:w="2780" w:type="dxa"/>
            <w:vAlign w:val="bottom"/>
          </w:tcPr>
          <w:p>
            <w:pPr>
              <w:spacing w:after="0"/>
              <w:rPr>
                <w:sz w:val="24"/>
                <w:szCs w:val="24"/>
                <w:color w:val="auto"/>
              </w:rPr>
            </w:pPr>
          </w:p>
        </w:tc>
        <w:tc>
          <w:tcPr>
            <w:tcW w:w="498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1">
            <w:col w:w="11380"/>
          </w:cols>
          <w:pgMar w:left="240" w:top="455" w:right="2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60" w:right="180" w:hanging="452"/>
        <w:spacing w:after="0" w:line="266" w:lineRule="auto"/>
        <w:tabs>
          <w:tab w:leader="none" w:pos="4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the amendment and restatement of our $2.25 billion revolving credit facility in July 2013, the maximum ratio was increased from 3.50:1 to 3.75:1 for quarters ending before September 30, 2015. After such time, the covenant ratio will revert back to 3.50:1 for each fiscal quarter through maturity of the facility in July 2018.</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credit facilities and senior notes also contain certain restrictions intended to monitor our level of subsidiary indebtedness, types of investments and net worth. We monitor our compliance with these restrictions, but do not believe that they significantly impact our ability to enter into investing or financing arrangements typical for our business. As of December 31, 2014 and 2013, we were in compliance with the covenants and restrictions under all of our debt agreements that may have a material effect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Instruments and Hedging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fair values of derivative instruments recorded in our Consolidated Balance Sheet (in millions):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9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5320" w:type="dxa"/>
            <w:vAlign w:val="bottom"/>
            <w:gridSpan w:val="3"/>
            <w:vMerge w:val="continue"/>
          </w:tcPr>
          <w:p>
            <w:pPr>
              <w:spacing w:after="0"/>
              <w:rPr>
                <w:sz w:val="12"/>
                <w:szCs w:val="12"/>
                <w:color w:val="auto"/>
              </w:rPr>
            </w:pPr>
          </w:p>
        </w:tc>
        <w:tc>
          <w:tcPr>
            <w:tcW w:w="2960" w:type="dxa"/>
            <w:vAlign w:val="bottom"/>
            <w:gridSpan w:val="2"/>
            <w:vMerge w:val="continue"/>
          </w:tcPr>
          <w:p>
            <w:pPr>
              <w:spacing w:after="0"/>
              <w:rPr>
                <w:sz w:val="12"/>
                <w:szCs w:val="12"/>
                <w:color w:val="auto"/>
              </w:rPr>
            </w:pPr>
          </w:p>
        </w:tc>
        <w:tc>
          <w:tcPr>
            <w:tcW w:w="36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2"/>
                <w:szCs w:val="12"/>
                <w:color w:val="auto"/>
              </w:rPr>
            </w:pP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292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Foreign currency derivatives</w:t>
            </w:r>
          </w:p>
        </w:tc>
        <w:tc>
          <w:tcPr>
            <w:tcW w:w="24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Long-term other assets</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88"/>
              </w:rPr>
              <w:t>28</w:t>
            </w:r>
          </w:p>
        </w:tc>
        <w:tc>
          <w:tcPr>
            <w:tcW w:w="5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28</w:t>
            </w:r>
          </w:p>
        </w:tc>
        <w:tc>
          <w:tcPr>
            <w:tcW w:w="5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commodity derivatives(a)</w:t>
            </w:r>
          </w:p>
        </w:tc>
        <w:tc>
          <w:tcPr>
            <w:tcW w:w="2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accrued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accrued liabilities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140" w:hanging="452"/>
        <w:spacing w:after="0" w:line="282"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electricity commodity derivatives were associated with our Wheelabrator business and were divested in conjunction with the sale of that business in December 2014.</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We have not offset fair value amounts recognized for our derivative instruments. For information related to the inputs used to measure our derivative assets and liabilities at fair value, refer to Note 18.</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prior years, we entered into interest rate swaps to maintain a portion of our debt obligations at variable market interest rates. We designated these interest rate swaps as fair value hedges of our fixed-rate senior notes. Fair value hedge accounting for interest rate swap contracts increased the carrying value of our debt instruments by $45 million as of December 31, 2014 and $59 million as of December 31, 2013. These fair value adjustments to long-term debt are being amortized as a reduction to interest expense using the effective interest method over the remaining term of the related senior notes, which extend through 2028.</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Gains or losses on the derivatives as well as the offsetting gains or losses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fair value adjustment from active interest rate swaps and the offsetting gain on the related hedged items was immaterial during the year ended December 31, 2012. We did not have any active swaps outstanding in 2014 and 2013.</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We also recognize the impacts of (i) net periodic settlements of current interest on our active interest rate swaps, if any, and (ii) the amortization of previously terminated interest rate swap agreements as adjustments to interest expense. The following table summarizes these impacts on our results of operations (in millions):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Decrease to Interest Expense Due to Hedge Accounting for Interest Rate Swaps</w:t>
            </w:r>
          </w:p>
        </w:tc>
        <w:tc>
          <w:tcPr>
            <w:tcW w:w="1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64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settlements of active swap agreements</w:t>
            </w:r>
          </w:p>
        </w:tc>
        <w:tc>
          <w:tcPr>
            <w:tcW w:w="1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Terminated swap agreements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Forward-Starting Interest Rate Swaps</w:t>
      </w:r>
    </w:p>
    <w:p>
      <w:pPr>
        <w:spacing w:after="0" w:line="119"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In prior years,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The active forward-starting interest rate swaps outstanding at December 31, 2013 related to a debt issuance initially forecasted for March 2014, that occurred in May 2014. As of December 31, 2013, the fair value of these active interest rate derivatives of $28 million was included in current liabilities. During the first quarter of 2014, these forward-starting interest rate swaps with a notional value of $175 million matured and we paid cash of $36 million to settle the associated liabilities.</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At December 31, 2014 and 2013, our “Accumulated other comprehensive income” included $50 million and $34 million, respectively, of after-tax deferred losses related to all terminated forward-starting interest rate swaps. These losses are being amortized as an increase to interest expense using the effective interest method over the ten-year term of the related senior notes, which extend through 2024. As of December 31, 2014, $11 million (on a pre-tax basis) is scheduled to be reclassified as an increase to interest expense over the next 12 months.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use foreign currency exchange rate derivatives to hedge our exposure to fluctuations in exchange rates for anticipated intercompany cash transactions between WM Holdings and its Canadian subsidiaries. As of December 31, 2014 and 2013, we had foreign exchange cross currency swaps outstanding for all of the anticipated cash flows associated with intercompany loans from WM Holdings to the wholly-owned Canadian subsidiaries. The hedged cash flows as of December 31, 2014 and 2013 included C$370 million of total notional value. The scheduled principal payments of the loan and the related swaps are as follows: C$70 million due on October 31, 2016, C$150 million due on October 31, 2017 and C$150 million due on October 31, 2018. We designated these cross currency swaps as cash flow hedges. Gains or losses resulting from the remeasurement of the underlying non-functional currency intercompany loans are recognized in current earnings in the same financial statement line item as offsetting gains or losses on the related cross currency swaps.</w:t>
      </w:r>
    </w:p>
    <w:p>
      <w:pPr>
        <w:spacing w:after="0" w:line="18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 was no significant ineffectiveness associated with our cash flow hedges during the years ended December 31, 2014, 2013 or 2012. Refer to Note 14 for information regarding the impacts of our cash flow derivatives on our comprehensive income and results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340"/>
          </w:cols>
          <w:pgMar w:left="240" w:top="455" w:right="31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Credit-Risk-Related Contingent Features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interest rate derivative instruments have in the past, and may in the future, contain provisions related to the Company’s credit rating. These provisions generally provide that if the Company’s credit rating were to fall to specified levels below investment grade, the counterparties have the ability to terminate the derivative agreements, resulting in settlement of all affected transactions. As of December 31, 2014 and 2013, we did not have any interest rate derivatives outstanding that contained these credit-risk-related features.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“Provision for income taxes” consisted of the following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gridSpan w:val="10"/>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$ 414</w:t>
            </w:r>
          </w:p>
        </w:tc>
        <w:tc>
          <w:tcPr>
            <w:tcW w:w="110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$ 389</w:t>
            </w:r>
          </w:p>
        </w:tc>
        <w:tc>
          <w:tcPr>
            <w:tcW w:w="6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531</w:t>
            </w:r>
          </w:p>
        </w:tc>
        <w:tc>
          <w:tcPr>
            <w:tcW w:w="11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513</w:t>
            </w: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0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tcBorders>
              <w:right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w:t>
            </w: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2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$ 413</w:t>
            </w:r>
          </w:p>
        </w:tc>
        <w:tc>
          <w:tcPr>
            <w:tcW w:w="11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$ 364</w:t>
            </w:r>
          </w:p>
        </w:tc>
        <w:tc>
          <w:tcPr>
            <w:tcW w:w="6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U.S. federal statutory income tax rate is reconciled to the effective income tax rate as follows:</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8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U.S. federal statutory rate</w:t>
            </w:r>
          </w:p>
        </w:tc>
        <w:tc>
          <w:tcPr>
            <w:tcW w:w="74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35.00%</w:t>
            </w:r>
          </w:p>
        </w:tc>
        <w:tc>
          <w:tcPr>
            <w:tcW w:w="400" w:type="dxa"/>
            <w:vAlign w:val="bottom"/>
            <w:tcBorders>
              <w:right w:val="single" w:sz="8" w:color="CCEEFF"/>
            </w:tcBorders>
            <w:shd w:val="clear" w:color="auto" w:fill="CCEEFF"/>
          </w:tcPr>
          <w:p>
            <w:pPr>
              <w:spacing w:after="0"/>
              <w:rPr>
                <w:sz w:val="18"/>
                <w:szCs w:val="18"/>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35.00%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Federal tax credits</w:t>
            </w:r>
          </w:p>
        </w:tc>
        <w:tc>
          <w:tcPr>
            <w:tcW w:w="7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(11.74)</w:t>
            </w:r>
          </w:p>
        </w:tc>
        <w:tc>
          <w:tcPr>
            <w:tcW w:w="4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Taxing authority audit settlements and other tax adjustments</w:t>
            </w:r>
          </w:p>
        </w:tc>
        <w:tc>
          <w:tcPr>
            <w:tcW w:w="74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4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benefit</w:t>
            </w:r>
          </w:p>
        </w:tc>
        <w:tc>
          <w:tcPr>
            <w:tcW w:w="7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Tax rate differential on foreign income</w:t>
            </w:r>
          </w:p>
        </w:tc>
        <w:tc>
          <w:tcPr>
            <w:tcW w:w="7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40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 of impairments</w:t>
            </w:r>
          </w:p>
        </w:tc>
        <w:tc>
          <w:tcPr>
            <w:tcW w:w="740" w:type="dxa"/>
            <w:vAlign w:val="bottom"/>
            <w:gridSpan w:val="3"/>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0.46</w:t>
            </w: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41.95</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Tax impact of divestitures</w:t>
            </w:r>
          </w:p>
        </w:tc>
        <w:tc>
          <w:tcPr>
            <w:tcW w:w="74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tcPr>
          <w:p>
            <w:pPr>
              <w:spacing w:after="0"/>
              <w:rPr>
                <w:sz w:val="18"/>
                <w:szCs w:val="18"/>
                <w:color w:val="auto"/>
              </w:rPr>
            </w:pPr>
          </w:p>
        </w:tc>
        <w:tc>
          <w:tcPr>
            <w:tcW w:w="11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4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6840" w:type="dxa"/>
            <w:vAlign w:val="bottom"/>
            <w:vMerge w:val="continue"/>
          </w:tcPr>
          <w:p>
            <w:pPr>
              <w:spacing w:after="0"/>
              <w:rPr>
                <w:sz w:val="19"/>
                <w:szCs w:val="19"/>
                <w:color w:val="auto"/>
              </w:rPr>
            </w:pPr>
          </w:p>
        </w:tc>
        <w:tc>
          <w:tcPr>
            <w:tcW w:w="74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73.75%</w:t>
            </w:r>
          </w:p>
        </w:tc>
        <w:tc>
          <w:tcPr>
            <w:tcW w:w="400" w:type="dxa"/>
            <w:vAlign w:val="bottom"/>
          </w:tcPr>
          <w:p>
            <w:pPr>
              <w:spacing w:after="0"/>
              <w:rPr>
                <w:sz w:val="19"/>
                <w:szCs w:val="19"/>
                <w:color w:val="auto"/>
              </w:rPr>
            </w:pPr>
          </w:p>
        </w:tc>
        <w:tc>
          <w:tcPr>
            <w:tcW w:w="6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7"/>
              </w:rPr>
              <w:t>33.95%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comparability of our provision for income taxes for the reported periods has been primarily affected by (i) variations in our income before income taxes; (ii) the tax implications of divestitures; (iii) federal tax credits; (iv) adjustments to our accruals and related deferred taxes; (v) tax audit settlements;</w:t>
      </w:r>
    </w:p>
    <w:p>
      <w:pPr>
        <w:ind w:left="5580" w:right="2040" w:hanging="5572"/>
        <w:spacing w:after="0" w:line="433" w:lineRule="auto"/>
        <w:tabs>
          <w:tab w:leader="none" w:pos="31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federal and state net operating loss and credit carry-forwards and (vii) the tax implications of impairments. 103</w:t>
      </w:r>
    </w:p>
    <w:p>
      <w:pPr>
        <w:sectPr>
          <w:pgSz w:w="11900" w:h="16838" w:orient="portrait"/>
          <w:cols w:equalWidth="0" w:num="1">
            <w:col w:w="11300"/>
          </w:cols>
          <w:pgMar w:left="240" w:top="455" w:right="3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financial reporting purposes, income (loss) before income taxes by source was as follows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4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7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$1,601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$548</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7"/>
        </w:trPr>
        <w:tc>
          <w:tcPr>
            <w:tcW w:w="47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1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1,751</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1,303</w:t>
            </w:r>
          </w:p>
        </w:tc>
      </w:tr>
      <w:tr>
        <w:trPr>
          <w:trHeight w:val="20"/>
        </w:trPr>
        <w:tc>
          <w:tcPr>
            <w:tcW w:w="47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right="3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Implications of Divestitures </w:t>
      </w:r>
      <w:r>
        <w:rPr>
          <w:rFonts w:ascii="Times New Roman" w:cs="Times New Roman" w:eastAsia="Times New Roman" w:hAnsi="Times New Roman"/>
          <w:sz w:val="18"/>
          <w:szCs w:val="18"/>
          <w:color w:val="auto"/>
        </w:rPr>
        <w:t>— During 2014, the Company recorded a net gain of $515 million primarily related to the divestiture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Wheelabrator business, our Puerto Rico operations and certain landfill and collection operations in our Eastern Canada Area. Had this net gain been fully taxable, our provision for income taxes would have increased by $138 million. See Note 19 for more information related to divestitures.</w:t>
      </w:r>
    </w:p>
    <w:p>
      <w:pPr>
        <w:spacing w:after="0" w:line="174" w:lineRule="exact"/>
        <w:rPr>
          <w:sz w:val="20"/>
          <w:szCs w:val="20"/>
          <w:color w:val="auto"/>
        </w:rPr>
      </w:pPr>
    </w:p>
    <w:p>
      <w:pPr>
        <w:jc w:val="both"/>
        <w:ind w:right="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 Refined Coal Facility </w:t>
      </w:r>
      <w:r>
        <w:rPr>
          <w:rFonts w:ascii="Times New Roman" w:cs="Times New Roman" w:eastAsia="Times New Roman" w:hAnsi="Times New Roman"/>
          <w:sz w:val="18"/>
          <w:szCs w:val="18"/>
          <w:color w:val="auto"/>
        </w:rPr>
        <w:t>— In 2011, we acquired a noncontrolling interest in a limited liability company, which was established to invest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manage a refined coal facility in North Dakota. The facility’s refinement processes qualify for federal tax credits that are expected to be realized through 2019 in accordance with Section 45 of the Internal Revenue Code.</w:t>
      </w:r>
    </w:p>
    <w:p>
      <w:pPr>
        <w:spacing w:after="0" w:line="176"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Consolidated Statement of Operations. We recognized $7 million, $8 million and $7 million of net losses resulting from our share of the entity’s operating losses during the years ended December 31, 2014, 2013 and 2012, respectively. Our tax provision was reduced by $21 million, $20 million and $21 million for the years ended December 31, 2014, 2013 and 2012, respectively, primarily as a result of tax credits realized from this investment. See Note 20 for additional information related to this investment.</w:t>
      </w:r>
    </w:p>
    <w:p>
      <w:pPr>
        <w:spacing w:after="0" w:line="182" w:lineRule="exact"/>
        <w:rPr>
          <w:sz w:val="20"/>
          <w:szCs w:val="20"/>
          <w:color w:val="auto"/>
        </w:rPr>
      </w:pPr>
    </w:p>
    <w:p>
      <w:pPr>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 Low-Income Housing Properties </w:t>
      </w:r>
      <w:r>
        <w:rPr>
          <w:rFonts w:ascii="Times New Roman" w:cs="Times New Roman" w:eastAsia="Times New Roman" w:hAnsi="Times New Roman"/>
          <w:sz w:val="18"/>
          <w:szCs w:val="18"/>
          <w:color w:val="auto"/>
        </w:rPr>
        <w:t>— In 2010, we acquired a noncontrolling interest in a limited liability company established to invest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manage low-income housing properties. The entity’s low-income housing investments qualify for federal tax credits that are expected to be realized through 2020 in accordance with Section 42 of the Internal Revenue Code.</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account for our investment in this entity using the equity method of accounting recognizing our share of the entity’s results of operations and other reductions in the value of our investment in “Equity in net losses of unconsolidated entities,” within our Consolidated Statement of Operations. The value of our investment decreases as the tax credits are generated and utilized. During the years ended December 31, 2014, 2013 and 2012, we recognized $25 million, $25 million and $24 million, respectively, of losses relating to our equity investment in this entity, $5 million, $6 million and $7 million, respectively, of interest expense, and a reduction in our tax provision of $37 million (including $25 million of tax credits), $38 million (including $26 million of tax credits) and $38 million (including $26 million of tax credits), respectively. See Note 20 for additional information related to this investment.</w:t>
      </w:r>
    </w:p>
    <w:p>
      <w:pPr>
        <w:spacing w:after="0" w:line="186" w:lineRule="exact"/>
        <w:rPr>
          <w:sz w:val="20"/>
          <w:szCs w:val="20"/>
          <w:color w:val="auto"/>
        </w:rPr>
      </w:pPr>
    </w:p>
    <w:p>
      <w:pPr>
        <w:ind w:right="3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Adjustments to Accruals and Related Deferred Taxes </w:t>
      </w:r>
      <w:r>
        <w:rPr>
          <w:rFonts w:ascii="Times New Roman" w:cs="Times New Roman" w:eastAsia="Times New Roman" w:hAnsi="Times New Roman"/>
          <w:sz w:val="18"/>
          <w:szCs w:val="18"/>
          <w:color w:val="auto"/>
        </w:rPr>
        <w:t>— Adjustments to our accruals and related deferred taxes due to the filing of our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returns and changes in state law resulted in a reduction of $24 million and increases of $4 million and $7 million to our provision for income taxes for the years ended December 31, 2014, 2013 and 2012, respectively.</w:t>
      </w:r>
    </w:p>
    <w:p>
      <w:pPr>
        <w:spacing w:after="0" w:line="174" w:lineRule="exact"/>
        <w:rPr>
          <w:sz w:val="20"/>
          <w:szCs w:val="20"/>
          <w:color w:val="auto"/>
        </w:rPr>
      </w:pPr>
    </w:p>
    <w:p>
      <w:pPr>
        <w:ind w:right="2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Audit Settlements </w:t>
      </w:r>
      <w:r>
        <w:rPr>
          <w:rFonts w:ascii="Times New Roman" w:cs="Times New Roman" w:eastAsia="Times New Roman" w:hAnsi="Times New Roman"/>
          <w:sz w:val="18"/>
          <w:szCs w:val="18"/>
          <w:color w:val="auto"/>
        </w:rPr>
        <w:t>— We file income tax returns in the United States and Canada as well as various state and local jurisdictions. We are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audit by the IRS, Canada Revenue Agency and various state and local taxing authorities. Our audits are in various stages of completion.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400"/>
          </w:cols>
          <w:pgMar w:left="240" w:top="455" w:right="2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During 2014, 2013 and 2012 we settled various tax audits. The settlement of these tax audits resulted in a reduction to our provision for income taxes of $12 million, $11 million and $10 million for the years ended December 31, 2014, 2013 and 2012, respectively.</w:t>
      </w:r>
    </w:p>
    <w:p>
      <w:pPr>
        <w:spacing w:after="0" w:line="162"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participate in the IRS’s Compliance Assurance Process, which means we work with the IRS throughout the year in order to resolve any material issues prior to the filing of our annual tax return. We are currently in the examination phase of IRS audits for the tax years 2013, 2014 and 2015 and expect these audits to be completed within the next three, 15 and 27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In 2011, we acquired Oakleaf Global Holdings (“Oakleaf”), which is subject to potential IRS examination for the year 2011. Pursuant to the terms of our acquisition of Oakleaf, we are entitled to indemnification for Oakleaf’s pre-acquisition period tax liabilities.</w:t>
      </w:r>
    </w:p>
    <w:p>
      <w:pPr>
        <w:spacing w:after="0" w:line="187" w:lineRule="exact"/>
        <w:rPr>
          <w:sz w:val="20"/>
          <w:szCs w:val="20"/>
          <w:color w:val="auto"/>
        </w:rPr>
      </w:pPr>
    </w:p>
    <w:p>
      <w:pPr>
        <w:ind w:right="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State Net Operating Loss and Credit Carry-Forwards </w:t>
      </w:r>
      <w:r>
        <w:rPr>
          <w:rFonts w:ascii="Times New Roman" w:cs="Times New Roman" w:eastAsia="Times New Roman" w:hAnsi="Times New Roman"/>
          <w:sz w:val="18"/>
          <w:szCs w:val="18"/>
          <w:color w:val="auto"/>
        </w:rPr>
        <w:t>— During 2014, 2013 and 2012, we recognized state net operating loss and credit carry-forwards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resulting in a reduction to our provision for income taxes of $16 million, $16 million and $5 million, respectively.</w:t>
      </w:r>
    </w:p>
    <w:p>
      <w:pPr>
        <w:spacing w:after="0" w:line="158"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Federal Net Operating Loss Carry-Forwards </w:t>
      </w:r>
      <w:r>
        <w:rPr>
          <w:rFonts w:ascii="Times New Roman" w:cs="Times New Roman" w:eastAsia="Times New Roman" w:hAnsi="Times New Roman"/>
          <w:sz w:val="18"/>
          <w:szCs w:val="18"/>
          <w:color w:val="auto"/>
        </w:rPr>
        <w:t>— During 2012, we recognized additional federal net operating loss (“NOL”) carry-forwards resulting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reduction to our provision for income taxes of $8 million. As a result of the acquisition of Oakleaf in 2011, we received income tax attributes (primarily federal and state net operating loss carry-forwards) and allocated a portion of the purchase price to these acquired assets. At the time of the acquisition, we fully recognized all of the income tax attributes identified by the seller and concluded the realization of these attributes did not affect our overall provision for income taxes. In 2012, as a result of new information, we recognized the tax benefit related to additional federal net operating loss carry-forwards received in the Oakleaf acquisition.</w:t>
      </w:r>
    </w:p>
    <w:p>
      <w:pPr>
        <w:spacing w:after="0" w:line="183" w:lineRule="exact"/>
        <w:rPr>
          <w:sz w:val="20"/>
          <w:szCs w:val="20"/>
          <w:color w:val="auto"/>
        </w:rPr>
      </w:pPr>
    </w:p>
    <w:p>
      <w:pPr>
        <w:ind w:right="3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Implications of Impairments </w:t>
      </w:r>
      <w:r>
        <w:rPr>
          <w:rFonts w:ascii="Times New Roman" w:cs="Times New Roman" w:eastAsia="Times New Roman" w:hAnsi="Times New Roman"/>
          <w:sz w:val="18"/>
          <w:szCs w:val="18"/>
          <w:color w:val="auto"/>
        </w:rPr>
        <w:t>— A portion of the impairment charges recognized are not deductible for tax purposes. Had the charges been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deductible, our provision for income taxes would have been reduced by $8 million, $235 million and $7 million for the years ended December 31, 2014, 2013, and 2012 respectively. See Notes 6 and 13 for more information related to asset impairments and unusual items.</w:t>
      </w:r>
    </w:p>
    <w:p>
      <w:pPr>
        <w:spacing w:after="0" w:line="17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Unremitted Earnings in Foreign Subsidiaries </w:t>
      </w:r>
      <w:r>
        <w:rPr>
          <w:rFonts w:ascii="Times New Roman" w:cs="Times New Roman" w:eastAsia="Times New Roman" w:hAnsi="Times New Roman"/>
          <w:sz w:val="18"/>
          <w:szCs w:val="18"/>
          <w:color w:val="auto"/>
        </w:rPr>
        <w:t>— At December 31, 2014, remaining unremitted earnings in foreign operations were approximately $750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which are considered permanently invested and, therefore, no provision for U.S. income taxes were accrued for these unremitted earnings. Determination of the unrecognized deferred U.S. income tax liability is not practicable due to uncertainties related to the timing and source of any potential distribution of such funds, along with other important factors such as the amount of associated foreign tax credits.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455" w:right="2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(Liabilities)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net deferred tax assets (liabilities) are as follows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capital loss and tax credit carry-forwards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Miscellaneous and other reserves,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8"/>
                <w:szCs w:val="18"/>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(1,095)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(1,104)</w:t>
            </w: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(1,338</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(1,729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valuation allowance increased by $151 million in 2014 due to changes in our capital loss carry-forwards and in our state NOL and tax credit carry-forwards, as well as the tax impacts of impairments.</w:t>
      </w:r>
    </w:p>
    <w:p>
      <w:pPr>
        <w:spacing w:after="0" w:line="162"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At December 31, 2014, we had $28 million of federal NOL carry-forwards and $1.6 billion of state NOL carry-forwards. The federal and state NOL carry-forwards have expiration dates through the year 2034. We also have $519 million of federal capital loss carry-forwards which expire in 2019. In addition, we have $33 million of state tax credit carry-forwards at December 31, 2014.</w:t>
      </w:r>
    </w:p>
    <w:p>
      <w:pPr>
        <w:spacing w:after="0" w:line="176"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We have established valuation allowances for uncertainties in realizing the benefit of certain tax loss and credit carry-forwards and other deferred tax assets. While we expect to realize the deferred tax assets, net of the valuation allowances, changes in estimates of future taxable income or in tax laws may alter this expectation.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Liabilities for Uncertain Tax Positions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gross unrecognized tax benefits, including accrued interest for 2014, 2013 and 2012 is as follows (in millions):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6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based on tax positions of prior years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due to acquisitions</w:t>
            </w:r>
          </w:p>
        </w:tc>
        <w:tc>
          <w:tcPr>
            <w:tcW w:w="80" w:type="dxa"/>
            <w:vAlign w:val="bottom"/>
          </w:tcPr>
          <w:p>
            <w:pPr>
              <w:spacing w:after="0"/>
              <w:rPr>
                <w:sz w:val="18"/>
                <w:szCs w:val="18"/>
                <w:color w:val="auto"/>
              </w:rPr>
            </w:pPr>
          </w:p>
        </w:tc>
        <w:tc>
          <w:tcPr>
            <w:tcW w:w="9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Reductions based on tax positions related to the current year</w:t>
            </w:r>
          </w:p>
        </w:tc>
        <w:tc>
          <w:tcPr>
            <w:tcW w:w="80" w:type="dxa"/>
            <w:vAlign w:val="bottom"/>
          </w:tcPr>
          <w:p>
            <w:pPr>
              <w:spacing w:after="0"/>
              <w:rPr>
                <w:sz w:val="18"/>
                <w:szCs w:val="18"/>
                <w:color w:val="auto"/>
              </w:rPr>
            </w:pPr>
          </w:p>
        </w:tc>
        <w:tc>
          <w:tcPr>
            <w:tcW w:w="9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90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7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Settlements</w:t>
            </w:r>
          </w:p>
        </w:tc>
        <w:tc>
          <w:tcPr>
            <w:tcW w:w="8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9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ind w:left="46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5" w:right="29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These liabilities are included as a component of long-term “Other liabilities” in our Consolidated Balance Sheets because the Company does not anticipate that settlement of the liabilities will require payment of cash within the next 12 months. As of December 31, 2014, $28 million of net unrecognized tax benefits, if recognized in future periods, would impact our effective tax rate.</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recognize interest expense related to unrecognized tax benefits in income tax expense. During the years ended December 31, 2014, 2013 and 2012, we recognized $1 million, $2 million and $2 million, respectively, of such interest expense as a component of our provisions for income taxes. We had $3 million and $7 million of accrued interest expense in our Consolidated Balance Sheets as of December 31, 2014 and 2013, respectively. We do not have any accrued liabilities or expense for penalties related to unrecognized tax benefits for the years ended December 31, 2014, 2013 and 2012.</w:t>
      </w:r>
    </w:p>
    <w:p>
      <w:pPr>
        <w:spacing w:after="0" w:line="180"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not able to reasonably estimate when we might make any cash payments required to settle these liabilities, but we do not believe that the ultimate settlement of our obligations will materially affect our liquidity. As of December 31, 2014 we anticipate that approximately $12 million of liabilities for unrecognized tax benefits, including accrued interest, and $3 million of related tax assets may be reversed within the next 12 months. The anticipated reversals primarily relate to state tax items, none of which are material, and are expected to result from audit settlements or the expiration of the applicable statute of limitations period.</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Bonus Depreciation</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Tax Increase Prevention Act of 2014 was signed into law on December 19, 2014 and included an extension for one year of the bonus depreciation allowance. As a result, 50% of qualifying capital expenditures on property placed in service before January 1, 2015 were depreciated immediately. The acceleration of deductions on 2014 qualifying capital expenditures resulting from the bonus depreciation provisions had no impact on our effective income tax rate for 2014 although it will reduce our cash taxes. This reduction will be offset by increased cash taxes in subsequent periods when the deductions related to the capital expenditures would have otherwise been taken.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Defined Contribution Plans — </w:t>
      </w:r>
      <w:r>
        <w:rPr>
          <w:rFonts w:ascii="Times New Roman" w:cs="Times New Roman" w:eastAsia="Times New Roman" w:hAnsi="Times New Roman"/>
          <w:sz w:val="18"/>
          <w:szCs w:val="18"/>
          <w:color w:val="auto"/>
        </w:rPr>
        <w:t>Waste Management sponsors 401(k) retirement savings plans that cover employees, except those working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 bargaining agreements that do not allow for coverage under such plans. United States employees who are not subject to such collective bargaining agreements are generally eligible to participate in one of our plans following a 90-day waiting period after hire and may contribute as much as 25% of their annual compensation, subject to annual contribution limitations established by the IRS. Under our largest retirement savings plan, we match, in cash, 100% of employee contributions on the first 3% of their eligible compensation and 50% of employee contributions on the next 3% of their eligible compensation, resulting in a maximum match of 4.5% of eligible compensation. Both employee and Company contributions vest immediately. Certain United States employees who are subject to collective bargaining agreements may participate in a Company-sponsored 401(k) retirement savings plan under terms specified in their collective bargaining agreement. Certain employees outside the United States, including those in Canada, participate in defined contribution plans maintained by the Company in compliance with laws of the appropriate jurisdiction. Charges to “Operating” and “Selling, general and administrative” expenses for our defined contribution plans were $63 million for each of the years ended December 31, 2014, 2013 and 2012.</w:t>
      </w:r>
    </w:p>
    <w:p>
      <w:pPr>
        <w:spacing w:after="0" w:line="186"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Defined Benefit Plans (other than multiemployer defined benefit plans discussed below) — </w:t>
      </w:r>
      <w:r>
        <w:rPr>
          <w:rFonts w:ascii="Times New Roman" w:cs="Times New Roman" w:eastAsia="Times New Roman" w:hAnsi="Times New Roman"/>
          <w:sz w:val="18"/>
          <w:szCs w:val="18"/>
          <w:color w:val="auto"/>
        </w:rPr>
        <w:t>Waste Management Holdings, Inc. sponsors a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plan for certain employees who are subject to collective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455" w:right="2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bargaining agreements that provide for participation in that plan. Further, qualifying Canadian employees participate in defined benefit plans sponsored by certain of our Canadian subsidiaries. As of December 31, 2014, the combined benefit obligation of these pension plans was $121 million, and the plans had $90 million of plan assets, resulting in an unfunded benefit obligation for these plans of $31 million.</w:t>
      </w:r>
    </w:p>
    <w:p>
      <w:pPr>
        <w:spacing w:after="0" w:line="176"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In addition, WM Holdings and certain of its subsidiaries provided post-retirement health care and other benefits to eligible retirees. In conjunction with our acquisition of WM Holdings in July 1998, we limited participation in these plans to participating retirees as of December 31, 1998. The unfunded benefit obligation for these plans was $33 million at December 31, 2014.</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Our accrued benefit liabilities for our defined benefit pension and other post-retirement plans are $64 million as of December 31, 2014 and are included as components of “Accrued liabilities” and long-term “Other liabilities” in our Consolidated Balance Sheet.</w:t>
      </w:r>
    </w:p>
    <w:p>
      <w:pPr>
        <w:spacing w:after="0" w:line="16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 </w:t>
      </w:r>
      <w:r>
        <w:rPr>
          <w:rFonts w:ascii="Times New Roman" w:cs="Times New Roman" w:eastAsia="Times New Roman" w:hAnsi="Times New Roman"/>
          <w:sz w:val="18"/>
          <w:szCs w:val="18"/>
          <w:color w:val="auto"/>
        </w:rPr>
        <w:t>We are a participating employer in a number of trustee-managed multiemployer, defined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pension plans for employees who are covered by collective bargaining agreements. The risks of participating in these multiemployer plans are different from single-employer plans in that (i) assets contributed to the multiemployer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any of our multiemployer plans, we may be required to pay those plans a withdrawal amount based on the underfunded status of the plan. The following table outlines our participation in multiemployer plans considered to be individually significant (dollar amounts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Pension Protection Act</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Expiration Date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3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Collective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Reported Status(a)</w:t>
            </w: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8"/>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4"/>
              </w:rPr>
              <w:t>Contributions(d)</w:t>
            </w:r>
          </w:p>
        </w:tc>
        <w:tc>
          <w:tcPr>
            <w:tcW w:w="18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4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EIN/Pension Plan</w:t>
            </w:r>
          </w:p>
        </w:tc>
        <w:tc>
          <w:tcPr>
            <w:tcW w:w="1880" w:type="dxa"/>
            <w:vAlign w:val="bottom"/>
            <w:tcBorders>
              <w:bottom w:val="single" w:sz="8" w:color="auto"/>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FIP/RP</w:t>
            </w:r>
          </w:p>
        </w:tc>
        <w:tc>
          <w:tcPr>
            <w:tcW w:w="8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Bargaining</w:t>
            </w:r>
          </w:p>
        </w:tc>
        <w:tc>
          <w:tcPr>
            <w:tcW w:w="0" w:type="dxa"/>
            <w:vAlign w:val="bottom"/>
          </w:tcPr>
          <w:p>
            <w:pPr>
              <w:spacing w:after="0"/>
              <w:rPr>
                <w:sz w:val="1"/>
                <w:szCs w:val="1"/>
                <w:color w:val="auto"/>
              </w:rPr>
            </w:pPr>
          </w:p>
        </w:tc>
      </w:tr>
      <w:tr>
        <w:trPr>
          <w:trHeight w:val="31"/>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Fund</w:t>
            </w:r>
          </w:p>
        </w:tc>
        <w:tc>
          <w:tcPr>
            <w:tcW w:w="1420" w:type="dxa"/>
            <w:vAlign w:val="bottom"/>
            <w:gridSpan w:val="2"/>
            <w:vMerge w:val="continue"/>
          </w:tcPr>
          <w:p>
            <w:pPr>
              <w:spacing w:after="0"/>
              <w:rPr>
                <w:sz w:val="2"/>
                <w:szCs w:val="2"/>
                <w:color w:val="auto"/>
              </w:rPr>
            </w:pPr>
          </w:p>
        </w:tc>
        <w:tc>
          <w:tcPr>
            <w:tcW w:w="8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2"/>
                <w:szCs w:val="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4240" w:type="dxa"/>
            <w:vAlign w:val="bottom"/>
            <w:gridSpan w:val="3"/>
            <w:vMerge w:val="continue"/>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Status(b),(c)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Pr>
          <w:p>
            <w:pPr>
              <w:spacing w:after="0"/>
              <w:rPr>
                <w:sz w:val="15"/>
                <w:szCs w:val="15"/>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Agreement(s)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Automotive</w:t>
            </w:r>
          </w:p>
        </w:tc>
        <w:tc>
          <w:tcPr>
            <w:tcW w:w="33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Industries Pension Plan</w:t>
            </w:r>
          </w:p>
        </w:tc>
        <w:tc>
          <w:tcPr>
            <w:tcW w:w="13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EIN: 94-1133245;</w:t>
            </w: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Critical</w:t>
            </w: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Critical</w:t>
            </w:r>
          </w:p>
        </w:tc>
        <w:tc>
          <w:tcPr>
            <w:tcW w:w="1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Implemented</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6/30/2018</w:t>
            </w: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Central States, Southeast and Southwest Areas Pension Plan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EIN: 36-6044243;</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Critical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Plan Number: 001</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Local 731 Private Scavengers and Garage Attendants Pension Trust</w:t>
            </w:r>
          </w:p>
        </w:tc>
        <w:tc>
          <w:tcPr>
            <w:tcW w:w="142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EIN: 36-6513567;</w:t>
            </w:r>
          </w:p>
        </w:tc>
        <w:tc>
          <w:tcPr>
            <w:tcW w:w="100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Endangered</w:t>
            </w:r>
          </w:p>
        </w:tc>
        <w:tc>
          <w:tcPr>
            <w:tcW w:w="8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Endangered</w:t>
            </w: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Implemented</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w:t>
            </w:r>
          </w:p>
        </w:tc>
        <w:tc>
          <w:tcPr>
            <w:tcW w:w="1400" w:type="dxa"/>
            <w:vAlign w:val="bottom"/>
            <w:gridSpan w:val="2"/>
            <w:shd w:val="clear" w:color="auto" w:fill="CCEEFF"/>
          </w:tcPr>
          <w:p>
            <w:pPr>
              <w:jc w:val="center"/>
              <w:ind w:left="108"/>
              <w:spacing w:after="0" w:line="126" w:lineRule="exact"/>
              <w:rPr>
                <w:sz w:val="20"/>
                <w:szCs w:val="20"/>
                <w:color w:val="auto"/>
              </w:rPr>
            </w:pPr>
            <w:r>
              <w:rPr>
                <w:rFonts w:ascii="Times New Roman" w:cs="Times New Roman" w:eastAsia="Times New Roman" w:hAnsi="Times New Roman"/>
                <w:sz w:val="14"/>
                <w:szCs w:val="14"/>
                <w:color w:val="auto"/>
              </w:rPr>
              <w:t>9/30/2018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Fund</w:t>
            </w:r>
          </w:p>
        </w:tc>
        <w:tc>
          <w:tcPr>
            <w:tcW w:w="14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as of</w:t>
            </w:r>
          </w:p>
        </w:tc>
        <w:tc>
          <w:tcPr>
            <w:tcW w:w="8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as of</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9/30/2013</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9/30/2012</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Suburban Teamsters of Northern Illinois Pension Plan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EIN: 36-6155778;</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Critical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9/30/2017</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Teamsters Employers Local 945 Pension Fund</w:t>
            </w:r>
          </w:p>
        </w:tc>
        <w:tc>
          <w:tcPr>
            <w:tcW w:w="142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EIN: 22-6196388;</w:t>
            </w:r>
          </w:p>
        </w:tc>
        <w:tc>
          <w:tcPr>
            <w:tcW w:w="1000" w:type="dxa"/>
            <w:vAlign w:val="bottom"/>
            <w:gridSpan w:val="2"/>
            <w:shd w:val="clear" w:color="auto" w:fill="CCEEFF"/>
          </w:tcPr>
          <w:p>
            <w:pPr>
              <w:jc w:val="center"/>
              <w:ind w:right="120"/>
              <w:spacing w:after="0" w:line="126" w:lineRule="exact"/>
              <w:rPr>
                <w:sz w:val="20"/>
                <w:szCs w:val="20"/>
                <w:color w:val="auto"/>
              </w:rPr>
            </w:pPr>
            <w:r>
              <w:rPr>
                <w:rFonts w:ascii="Times New Roman" w:cs="Times New Roman" w:eastAsia="Times New Roman" w:hAnsi="Times New Roman"/>
                <w:sz w:val="14"/>
                <w:szCs w:val="14"/>
                <w:color w:val="auto"/>
              </w:rPr>
              <w:t>Critical</w:t>
            </w:r>
          </w:p>
        </w:tc>
        <w:tc>
          <w:tcPr>
            <w:tcW w:w="8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Critical</w:t>
            </w: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Implemented</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gridSpan w:val="2"/>
            <w:shd w:val="clear" w:color="auto" w:fill="CCEEFF"/>
          </w:tcPr>
          <w:p>
            <w:pPr>
              <w:jc w:val="center"/>
              <w:ind w:right="22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12/31/2015</w:t>
            </w:r>
          </w:p>
        </w:tc>
        <w:tc>
          <w:tcPr>
            <w:tcW w:w="0" w:type="dxa"/>
            <w:vAlign w:val="bottom"/>
          </w:tcPr>
          <w:p>
            <w:pPr>
              <w:spacing w:after="0"/>
              <w:rPr>
                <w:sz w:val="1"/>
                <w:szCs w:val="1"/>
                <w:color w:val="auto"/>
              </w:rPr>
            </w:pPr>
          </w:p>
        </w:tc>
      </w:tr>
      <w:tr>
        <w:trPr>
          <w:trHeight w:val="234"/>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Teamsters Local 301 Pension Plan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EIN: 36-6492992;</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Not</w:t>
            </w: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Not</w:t>
            </w: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9/30/2018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Endangered or</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Endangered or</w:t>
            </w: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Applicable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Critical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840" w:type="dxa"/>
            <w:vAlign w:val="bottom"/>
          </w:tcPr>
          <w:p>
            <w:pPr>
              <w:spacing w:after="0"/>
              <w:rPr>
                <w:sz w:val="7"/>
                <w:szCs w:val="7"/>
                <w:color w:val="auto"/>
              </w:rPr>
            </w:pPr>
          </w:p>
        </w:tc>
        <w:tc>
          <w:tcPr>
            <w:tcW w:w="3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42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Western Conference of Teamsters Pension Plan</w:t>
            </w:r>
          </w:p>
        </w:tc>
        <w:tc>
          <w:tcPr>
            <w:tcW w:w="142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EIN: 91-6145047;</w:t>
            </w:r>
          </w:p>
        </w:tc>
        <w:tc>
          <w:tcPr>
            <w:tcW w:w="10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rPr>
              <w:t>Not</w:t>
            </w:r>
          </w:p>
        </w:tc>
        <w:tc>
          <w:tcPr>
            <w:tcW w:w="88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Not</w:t>
            </w:r>
          </w:p>
        </w:tc>
        <w:tc>
          <w:tcPr>
            <w:tcW w:w="1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center"/>
              <w:ind w:right="100"/>
              <w:spacing w:after="0" w:line="126" w:lineRule="exact"/>
              <w:rPr>
                <w:sz w:val="20"/>
                <w:szCs w:val="20"/>
                <w:color w:val="auto"/>
              </w:rPr>
            </w:pPr>
            <w:r>
              <w:rPr>
                <w:rFonts w:ascii="Times New Roman" w:cs="Times New Roman" w:eastAsia="Times New Roman" w:hAnsi="Times New Roman"/>
                <w:sz w:val="14"/>
                <w:szCs w:val="14"/>
                <w:color w:val="auto"/>
                <w:w w:val="95"/>
              </w:rPr>
              <w:t>Not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Various dates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Plan Number: 001</w:t>
            </w:r>
          </w:p>
        </w:tc>
        <w:tc>
          <w:tcPr>
            <w:tcW w:w="100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Endangered or</w:t>
            </w:r>
          </w:p>
        </w:tc>
        <w:tc>
          <w:tcPr>
            <w:tcW w:w="8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Endangered</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Applicable</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3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Critical</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or Critical</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12/31/2019</w:t>
            </w:r>
          </w:p>
        </w:tc>
        <w:tc>
          <w:tcPr>
            <w:tcW w:w="0" w:type="dxa"/>
            <w:vAlign w:val="bottom"/>
          </w:tcPr>
          <w:p>
            <w:pPr>
              <w:spacing w:after="0"/>
              <w:rPr>
                <w:sz w:val="1"/>
                <w:szCs w:val="1"/>
                <w:color w:val="auto"/>
              </w:rPr>
            </w:pPr>
          </w:p>
        </w:tc>
      </w:tr>
      <w:tr>
        <w:trPr>
          <w:trHeight w:val="257"/>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Western Pennsylvania Teamsters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EIN: 25-6029946;</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Critical</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Critical</w:t>
            </w:r>
          </w:p>
        </w:tc>
        <w:tc>
          <w:tcPr>
            <w:tcW w:w="100" w:type="dxa"/>
            <w:vAlign w:val="bottom"/>
          </w:tcPr>
          <w:p>
            <w:pPr>
              <w:spacing w:after="0"/>
              <w:rPr>
                <w:sz w:val="22"/>
                <w:szCs w:val="22"/>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Implemented</w:t>
            </w: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rPr>
              <w:t>12/31/2016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color w:val="auto"/>
              </w:rPr>
              <w:t>and Employers Pension Plan</w:t>
            </w:r>
          </w:p>
        </w:tc>
        <w:tc>
          <w:tcPr>
            <w:tcW w:w="142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color w:val="auto"/>
              </w:rPr>
              <w:t>Plan Number: 001</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3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Contributions to other multiemployer pension plans</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4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contributions to multiemployer pension plans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left="340" w:hanging="332"/>
        <w:spacing w:after="0" w:line="229" w:lineRule="auto"/>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in the table, the most recent Pension Protection Act zone status available in 2014 and 2013 is for the plan’s year-end at December 31, 2013 and 2012, respectively. The zone status is based on information that we received from the plan and is certified by the plan’s actuary. As defined in the Pension Protection Act of 2006, among other factors, plans reported as critical are generally less than 65% funded and plans reported as endangered are generally less than 80% funded.</w:t>
      </w:r>
    </w:p>
    <w:p>
      <w:pPr>
        <w:ind w:left="340" w:hanging="332"/>
        <w:spacing w:after="0" w:line="221" w:lineRule="auto"/>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“FIP/RP Status” column indicates plans for which a Funding Improvement Plan (“FIP”) or a Rehabilitation Plan (“RP”) is either pending or has been implemented.</w:t>
      </w:r>
    </w:p>
    <w:p>
      <w:pPr>
        <w:ind w:left="340" w:right="320" w:hanging="332"/>
        <w:spacing w:after="0" w:line="221" w:lineRule="auto"/>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multiemployer defined benefit pension plan that has been certified as endangered, seriously endangered or critical may begin to levy a statutory surcharge on contribution rates. Once authorized, the surcharge is at the rate of 5% for the first 12 months and 10% for any periods thereafter. Contributing employers, however, may eliminate the surcharge by entering into a collective bargaining agreement that meets the requirements of the applicable FIP or RP.</w:t>
      </w:r>
    </w:p>
    <w:p>
      <w:pPr>
        <w:ind w:left="340" w:right="80" w:hanging="332"/>
        <w:spacing w:after="0" w:line="239" w:lineRule="auto"/>
        <w:tabs>
          <w:tab w:leader="none" w:pos="3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was listed in the Form 5500 of the multiemployer plans considered to be individually significant as providing more than 5% of the total contributions for each of the following plans and plan years: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Contributions to Plan</w:t>
            </w:r>
          </w:p>
        </w:tc>
      </w:tr>
      <w:tr>
        <w:trPr>
          <w:trHeight w:val="135"/>
        </w:trPr>
        <w:tc>
          <w:tcPr>
            <w:tcW w:w="8400" w:type="dxa"/>
            <w:vAlign w:val="bottom"/>
          </w:tcPr>
          <w:p>
            <w:pPr>
              <w:spacing w:after="0"/>
              <w:rPr>
                <w:sz w:val="11"/>
                <w:szCs w:val="11"/>
                <w:color w:val="auto"/>
              </w:rPr>
            </w:pPr>
          </w:p>
        </w:tc>
        <w:tc>
          <w:tcPr>
            <w:tcW w:w="21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Exceeded 5% of Total Contributions</w:t>
            </w:r>
          </w:p>
        </w:tc>
      </w:tr>
      <w:tr>
        <w:trPr>
          <w:trHeight w:val="155"/>
        </w:trPr>
        <w:tc>
          <w:tcPr>
            <w:tcW w:w="8400" w:type="dxa"/>
            <w:vAlign w:val="bottom"/>
          </w:tcPr>
          <w:p>
            <w:pPr>
              <w:spacing w:after="0"/>
              <w:rPr>
                <w:sz w:val="13"/>
                <w:szCs w:val="13"/>
                <w:color w:val="auto"/>
              </w:rPr>
            </w:pP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(as of Plan’s Year End)</w:t>
            </w:r>
          </w:p>
        </w:tc>
      </w:tr>
      <w:tr>
        <w:trPr>
          <w:trHeight w:val="142"/>
        </w:trPr>
        <w:tc>
          <w:tcPr>
            <w:tcW w:w="8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Local 731 Private Scavengers and Garage Attendants Pension Trust Fund</w:t>
            </w:r>
          </w:p>
        </w:tc>
        <w:tc>
          <w:tcPr>
            <w:tcW w:w="2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9/30/2013 and 9/30/2012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8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Suburban Teamsters of Northern Illinois Pension Plan</w:t>
            </w:r>
          </w:p>
        </w:tc>
        <w:tc>
          <w:tcPr>
            <w:tcW w:w="21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12/31/2013 and 12/31/2012</w:t>
            </w:r>
          </w:p>
        </w:tc>
      </w:tr>
      <w:tr>
        <w:trPr>
          <w:trHeight w:val="149"/>
        </w:trPr>
        <w:tc>
          <w:tcPr>
            <w:tcW w:w="8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Teamsters Local 301 Pension Plan</w:t>
            </w:r>
          </w:p>
        </w:tc>
        <w:tc>
          <w:tcPr>
            <w:tcW w:w="21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12/31/2013 and 12/31/2012</w:t>
            </w:r>
          </w:p>
        </w:tc>
      </w:tr>
    </w:tbl>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At the date the financial statements were issued, Forms 5500 were not available for the plan years ended in 2014.</w:t>
      </w:r>
    </w:p>
    <w:p>
      <w:pPr>
        <w:spacing w:after="0" w:line="55" w:lineRule="exact"/>
        <w:rPr>
          <w:sz w:val="20"/>
          <w:szCs w:val="20"/>
          <w:color w:val="auto"/>
        </w:rPr>
      </w:pPr>
    </w:p>
    <w:p>
      <w:pPr>
        <w:ind w:left="340" w:right="120" w:hanging="332"/>
        <w:spacing w:after="0" w:line="262" w:lineRule="auto"/>
        <w:tabs>
          <w:tab w:leader="none" w:pos="3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believes there are no collective bargaining agreements remaining that require continuing contributions to this plan; however, this point is the subject of pending litigation with the trustees for the Central States, Southeast and Southwest Areas Pension Plan.</w:t>
      </w:r>
    </w:p>
    <w:p>
      <w:pPr>
        <w:spacing w:after="0" w:line="166"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Our portion of the projected benefit obligation, plan assets and unfunded liability of the multiemployer pension plans is not material to our financial position. However, the failure of participating employers to remain solvent could affect our portion of the plans’ unfunded liability. Specific benefit levels provided by union pension plans are not negotiated with or known by the employer contributors.</w:t>
      </w:r>
    </w:p>
    <w:p>
      <w:pPr>
        <w:spacing w:after="0" w:line="17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our ongoing renegotiations of various collective bargaining agreements, we may discuss and negotiate for the complete or partial withdrawal from one or more of these pension plans. Further, business events, such as the discontinuation or nonrenewal of a customer contract, the decertification of a union, or relocation, reduction or discontinuance of certain operations, which result in the decline of Company contributions to a multiemployer pension plan could trigger a partial or complete withdrawal. In the event of a withdrawal, we may incur expenses associated with our obligations for unfunded vested benefits at the time of the withdrawal. In 2014, 2013 and 2012, we recognized aggregate charges of $4 million, $5 million and $10 million, respectively, to “Operating” expenses for the withdrawal of certain bargaining units from multiemployer pension plans. Refer to Note 11 for additional information related to our obligations to multiemployer plans for which we have withdrawn or partially withdrawn.</w:t>
      </w:r>
    </w:p>
    <w:p>
      <w:pPr>
        <w:spacing w:after="0" w:line="187"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Multiemployer Plan Benefits Other Than Pensions — </w:t>
      </w:r>
      <w:r>
        <w:rPr>
          <w:rFonts w:ascii="Times New Roman" w:cs="Times New Roman" w:eastAsia="Times New Roman" w:hAnsi="Times New Roman"/>
          <w:sz w:val="17"/>
          <w:szCs w:val="17"/>
          <w:color w:val="auto"/>
        </w:rPr>
        <w:t>During the years ended December 31, 2014, 2013 and 2012 the Company made contributions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$34 million, $34 million and $36 million, respectively, to multiemployer health and welfare plans that also provide other postretirement employee benefits. Funding of benefit payments for plan participants are made at rates as negotiated in the respective collective bargaining agreements as costs are incurred.</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jc w:val="both"/>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 We have obtained letters of credit, surety bonds and insurance policies and have established trust funds and issued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240" w:top="455" w:right="31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established for that purpose. These facilities are discussed further in Note 7.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176"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7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 We carry insurance coverage for protection of our assets and operations from certain risks including automobile liability, general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are unable to meet their commitments on a timely basis.</w:t>
      </w:r>
    </w:p>
    <w:p>
      <w:pPr>
        <w:spacing w:after="0" w:line="182"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have retained a significant portion of the risks related to our automobile, general liability and workers’ compensation claims programs. “General liability” refers to the self-insured portion of specific third party claims made against us that may be covered under our commercial General Liability Insurance Policy.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As of December 31, 2014, our commercial General Liability Insurance Policy carried self-insurance exposures of up to $2.5 million per incident and our workers’ compensation insurance program carried self-insurance exposures of up to $5 million per incident. As of December 31, 2014, our auto liability insurance program included a per-incident base deductible of $5 million, subject to additional deductibles of $4.8 million in the $5 million to $10 million layer. Self-insurance claims reserves acquired as part of our acquisition of WM Holdings in July 1998 were discounted at 2.0% at December 31, 2014, 3.0% at December 31, 2013 and 1.75% at December 31, 2012. The changes to our net insurance liabilities for the three years ended December 31, 2014 are summarized below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Claims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Claims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880" w:type="dxa"/>
            <w:vAlign w:val="bottom"/>
            <w:gridSpan w:val="3"/>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Associated with</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Insured Claims(a)</w:t>
            </w:r>
          </w:p>
        </w:tc>
        <w:tc>
          <w:tcPr>
            <w:tcW w:w="8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Self-insurance expense (benefit)</w:t>
            </w: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received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Self-insurance expense (benefit)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received</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590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w:t>
            </w: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Self-insurance expense (benefit)</w:t>
            </w: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168</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received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2014(b)</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7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at December 31, 2014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4"/>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portion at December 31, 2014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468</w:t>
            </w:r>
          </w:p>
        </w:tc>
        <w:tc>
          <w:tcPr>
            <w:tcW w:w="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5580" w:right="2500" w:hanging="5572"/>
        <w:spacing w:after="0" w:line="454" w:lineRule="auto"/>
        <w:tabs>
          <w:tab w:leader="none" w:pos="45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as receivables associated with insured claims are related to both paid and unpaid claims liabilities. 110</w:t>
      </w:r>
    </w:p>
    <w:p>
      <w:pPr>
        <w:sectPr>
          <w:pgSz w:w="11900" w:h="16838" w:orient="portrait"/>
          <w:cols w:equalWidth="0" w:num="1">
            <w:col w:w="11360"/>
          </w:cols>
          <w:pgMar w:left="240" w:top="455" w:right="29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hanging="452"/>
        <w:spacing w:after="0"/>
        <w:tabs>
          <w:tab w:leader="none" w:pos="4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expect substantially all of our net claims liability to be settled in cash over the next five years.</w:t>
      </w:r>
    </w:p>
    <w:p>
      <w:pPr>
        <w:spacing w:after="0" w:line="22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Directors’ and Officers’ Liability Insurance policy we choose to maintain covers only individual executive liability, often referred to as “Broad Form Side A,” and does not provide corporate reimbursement coverage, often referred to as “Side B.” The Side A policy covers directors and officers directly for loss, including defense costs, when corporate indemnification is unavailable. Side A-only coverage cannot be exhausted by payments to the Company, as the Company is not insured for any money it advances for defense costs or pays as indemnity to the insured directors and officers.</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do not expect the impact of any known casualty, property, environmental or other contingency to have a material impact on our financial condition, results of operations or cash flows.</w:t>
      </w:r>
    </w:p>
    <w:p>
      <w:pPr>
        <w:spacing w:after="0" w:line="16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Leases </w:t>
      </w:r>
      <w:r>
        <w:rPr>
          <w:rFonts w:ascii="Times New Roman" w:cs="Times New Roman" w:eastAsia="Times New Roman" w:hAnsi="Times New Roman"/>
          <w:sz w:val="18"/>
          <w:szCs w:val="18"/>
          <w:color w:val="auto"/>
        </w:rPr>
        <w:t>— Rental expense for leased properties was $159 million during 2014, $170 million during 2013 and $180 million during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contractual payments due for our operating lease obligations are $103 million in 2015, $83 million in 2016, $70 million in 2017, $57 million in 2018, $47 million in 2019 and $308 million thereafter. Our minimum contractual payments for lease agreements during future periods is less than current year rent expense due to short-term leases and the sale of our Wheelabrator business.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131" w:lineRule="exact"/>
        <w:rPr>
          <w:sz w:val="20"/>
          <w:szCs w:val="20"/>
          <w:color w:val="auto"/>
        </w:rPr>
      </w:pPr>
    </w:p>
    <w:p>
      <w:pPr>
        <w:ind w:left="900" w:right="80" w:hanging="325"/>
        <w:spacing w:after="0" w:line="261" w:lineRule="auto"/>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Disposal </w:t>
      </w:r>
      <w:r>
        <w:rPr>
          <w:rFonts w:ascii="Times New Roman" w:cs="Times New Roman" w:eastAsia="Times New Roman" w:hAnsi="Times New Roman"/>
          <w:sz w:val="18"/>
          <w:szCs w:val="18"/>
          <w:color w:val="auto"/>
        </w:rPr>
        <w:t>— We have several agreements expiring at various dates through 2052 that require us to dispose of a minimum number of tons at third-party disposal facilities. Under these put-or-pay agreements, we are required to pay for the agreed upon minimum volumes regardless of the actual number of tons placed at the facilities. We generally fulfill our minimum contractual obligations by disposing of volumes collected in the ordinary course of business at these disposal facilities.</w:t>
      </w:r>
    </w:p>
    <w:p>
      <w:pPr>
        <w:spacing w:after="0" w:line="74"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Additionally, following the sale of our Wheelabrator business, we entered into several agreements to dispose of a minimum number of tons of waste at certain Wheelabrator facilities. These agreements generally provide for fixed volume commitments, with certain market price resets, for up to seven years.</w:t>
      </w:r>
    </w:p>
    <w:p>
      <w:pPr>
        <w:spacing w:after="0" w:line="80" w:lineRule="exact"/>
        <w:rPr>
          <w:sz w:val="20"/>
          <w:szCs w:val="20"/>
          <w:color w:val="auto"/>
        </w:rPr>
      </w:pPr>
    </w:p>
    <w:p>
      <w:pPr>
        <w:ind w:left="900" w:right="160" w:hanging="325"/>
        <w:spacing w:after="0" w:line="284"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Waste Paper </w:t>
      </w:r>
      <w:r>
        <w:rPr>
          <w:rFonts w:ascii="Times New Roman" w:cs="Times New Roman" w:eastAsia="Times New Roman" w:hAnsi="Times New Roman"/>
          <w:sz w:val="18"/>
          <w:szCs w:val="18"/>
          <w:color w:val="auto"/>
        </w:rPr>
        <w:t>— We are party to waste paper purchase agreements expiring at various dates through 2018 that require us to purchase a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tons of waste paper. The cost per ton we pay is based on market prices.</w:t>
      </w:r>
    </w:p>
    <w:p>
      <w:pPr>
        <w:spacing w:after="0" w:line="63"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 We have various arrangements that require us to make royalty payments to third parties including prior land owners, lessors or host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communities where our operations are located. Our obligations generally are based on per ton rates for waste actually received at our transfer stations, landfills or waste-to-energy facilities. Royalty agreements that are non-cancelable and require fixed or minimum payments are included in our “Capital leases and other” debt obligations in our Consolidated Balance Sheet as disclosed in Note 7.</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unconditional purchase obligations are generally established in the ordinary course of our business and are structured in a manner that provides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access to important resources at competitive, market-driven rates. We may also establish unconditional purchase obligations in conjunction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 or divestitures. Our actual future minimum obligations under these outstanding purchase agreements are generally quantity driven and,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our associated financial obligations are not fixed as of December 31, 2014. For contracts that require us to purchase minimum quantities of goods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we have estimated our future minimum obligations based on the current market values of the underlying products or services.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2014, our estimated minimum obligations for the above-described purchase obligations, which are not recognized in our Consolidated Balance Sheet,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$189 million in 2015, $172 million in 2016, $156 million in 2017, $116 million in 2018, $91 million in 2019 and $430 million thereafter. We currently expect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products and services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provided by these agreements to continue to meet the needs of our ongoing operations. Therefore, we do not expect these established arrangements to materially impact our future financial position, results of operations or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Guarantees </w:t>
      </w:r>
      <w:r>
        <w:rPr>
          <w:rFonts w:ascii="Times New Roman" w:cs="Times New Roman" w:eastAsia="Times New Roman" w:hAnsi="Times New Roman"/>
          <w:sz w:val="18"/>
          <w:szCs w:val="18"/>
          <w:color w:val="auto"/>
        </w:rPr>
        <w:t>— We have entered into the following guarantee agreements associated with our operations:</w:t>
      </w:r>
    </w:p>
    <w:p>
      <w:pPr>
        <w:spacing w:after="0" w:line="133" w:lineRule="exact"/>
        <w:rPr>
          <w:sz w:val="20"/>
          <w:szCs w:val="20"/>
          <w:color w:val="auto"/>
        </w:rPr>
      </w:pPr>
    </w:p>
    <w:p>
      <w:pPr>
        <w:ind w:left="900" w:right="140" w:hanging="325"/>
        <w:spacing w:after="0" w:line="258"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2014, WM Holdings has fully and unconditionally guaranteed all of WM’s senior indebtedness, including its senior notes, $2.25 billion revolving credit agreement and certain letter of credit facilities, which mature through 2039. WM has fully and unconditionally guaranteed the senior indebtedness of WM Holdings, which matures in 2026. Performance under these guarantee agreements would be required if either party defaulted on their respective obligations. No additional liabilities have been recorded for these guarantees because the underlying obligations are reflected in our Consolidated Balance Sheets. See Note 23 for further information.</w:t>
      </w:r>
    </w:p>
    <w:p>
      <w:pPr>
        <w:spacing w:after="0" w:line="89" w:lineRule="exact"/>
        <w:rPr>
          <w:rFonts w:ascii="Times New Roman" w:cs="Times New Roman" w:eastAsia="Times New Roman" w:hAnsi="Times New Roman"/>
          <w:sz w:val="18"/>
          <w:szCs w:val="18"/>
          <w:color w:val="auto"/>
        </w:rPr>
      </w:pPr>
    </w:p>
    <w:p>
      <w:pPr>
        <w:ind w:left="900" w:right="100" w:hanging="325"/>
        <w:spacing w:after="0" w:line="258"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and WM Holdings have guaranteed subsidiary debt obligations, including the Canadian credit facility, tax-exempt bonds, capital leases and other indebtedness. If a subsidiary fails to meet its obligations associated with its debt agreements as they come due, WM or WM Holdings will be required to perform under the related guarantee agreement. No additional liabilities have been recorded for these guarantees because the underlying obligations are reflected in our Consolidated Balance Sheets. See Note 7 for information related to the balances and maturities of our tax-exempt bonds.</w:t>
      </w:r>
    </w:p>
    <w:p>
      <w:pPr>
        <w:spacing w:after="0" w:line="89" w:lineRule="exact"/>
        <w:rPr>
          <w:rFonts w:ascii="Times New Roman" w:cs="Times New Roman" w:eastAsia="Times New Roman" w:hAnsi="Times New Roman"/>
          <w:sz w:val="18"/>
          <w:szCs w:val="18"/>
          <w:color w:val="auto"/>
        </w:rPr>
      </w:pPr>
    </w:p>
    <w:p>
      <w:pPr>
        <w:ind w:left="900" w:hanging="325"/>
        <w:spacing w:after="0" w:line="253"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divestiture of our Wheelabrator business, WM had guaranteed certain performance and financial guarantees of Wheelabrator and its subsidiaries in the ordinary course of business. In conjunction with the divestiture, certain WM guarantees of Wheelabrator obligations were terminated, but others continued and are now guarantees of third-party obligations. Wheelabrator is working with the various third-party beneficiaries to release WM from these guarantees, but until they are successful, WM has agreed to retain the guarantees and, in exchange, receive a credit support fee. The most significant of these guarantees specifically define WM’s maximum financial obligation over the course of the relevant agreements, and as of December 31, 2014, WM’s maximum future payments associated with those guarantees is $176 million. WM’s exposure under certain of the performance guarantees is variable and a maximum exposure is not defined. We have recorded the fair value of the financial and performance guarantees, some of which could extend through 2041 if not sooner terminated, in our December 31, 2014 Consolidated Balance Sheet. The estimated fair value of WM’s potential obligation associated with guarantees of Wheelabrator obligations is $18 million (net of credit support fee). We currently do not expect the financial impact of such performance and financial guarantees to materially exceed the recorded fair value.</w:t>
      </w:r>
    </w:p>
    <w:p>
      <w:pPr>
        <w:spacing w:after="0" w:line="98"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guaranteed certain financial obligations of unconsolidated entities. The related obligations, which mature through 2020, are not recorded on our Consolidated Balance Sheets. As of December 31, 2014, our maximum future payments associated with these guarantees are approximately $8 million. Any requirement to act under these guarantees would not materially impact our financial position, results of operations or cash flows.</w:t>
      </w:r>
    </w:p>
    <w:p>
      <w:pPr>
        <w:spacing w:after="0" w:line="85" w:lineRule="exact"/>
        <w:rPr>
          <w:rFonts w:ascii="Times New Roman" w:cs="Times New Roman" w:eastAsia="Times New Roman" w:hAnsi="Times New Roman"/>
          <w:sz w:val="18"/>
          <w:szCs w:val="18"/>
          <w:color w:val="auto"/>
        </w:rPr>
      </w:pPr>
    </w:p>
    <w:p>
      <w:pPr>
        <w:ind w:left="900" w:right="160" w:hanging="325"/>
        <w:spacing w:after="0" w:line="256"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subsidiaries have guaranteed the market or contractually-determined value of certain homeowners’ properties that are adjacent to certain of our landfills. These guarantee agreements extend over the life of the respective landfill. Under these agreements, we would be responsible for the difference, if any, between the sale value and the guaranteed market or contractually-determined value of the homeowners’ properties. As of December 31, 2014, we have agreements guaranteeing certain market value losses for approximately 800 homeowners’ properties adjacent to or near 20 of our landfills. We do not believe that these contingent obligations will have a material effect on our financial position, results of operations or cash flows.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00"/>
          </w:cols>
          <w:pgMar w:left="240" w:top="455" w:right="2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900" w:hanging="325"/>
        <w:spacing w:after="0" w:line="255"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We have recognized liabilities for these contingent obligations based on an estimate of the fair value of these contingencies at the time of acquisition. Contingent obligations related to indemnifications arising from our divestitures and contingent consideration provided for by our acquisitions are not expected to be material to our financial position, results of operations or cash flows.</w:t>
      </w:r>
    </w:p>
    <w:p>
      <w:pPr>
        <w:spacing w:after="0" w:line="94" w:lineRule="exact"/>
        <w:rPr>
          <w:rFonts w:ascii="Times New Roman" w:cs="Times New Roman" w:eastAsia="Times New Roman" w:hAnsi="Times New Roman"/>
          <w:sz w:val="18"/>
          <w:szCs w:val="18"/>
          <w:color w:val="auto"/>
        </w:rPr>
      </w:pPr>
    </w:p>
    <w:p>
      <w:pPr>
        <w:ind w:left="900" w:right="220" w:hanging="325"/>
        <w:spacing w:after="0" w:line="258"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182"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Environmental Matters </w:t>
      </w:r>
      <w:r>
        <w:rPr>
          <w:rFonts w:ascii="Times New Roman" w:cs="Times New Roman" w:eastAsia="Times New Roman" w:hAnsi="Times New Roman"/>
          <w:sz w:val="18"/>
          <w:szCs w:val="18"/>
          <w:color w:val="auto"/>
        </w:rPr>
        <w:t>— A significant portion of our operating costs and capital expenditures could be characterized as costs of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as we are subject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18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2014, we had been notified by the government that we are a PRP in connection with 75 locations listed on the EPA’s Superfund National Priorities List, or NPL. Of the 75 sites at which claims have been made against us, 14 are sites we own. 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61 NPL sites, which we do not own, are at various procedural stages under the Comprehensive Environmental Response, Compensation and Liability Act of 1980, as amended, known as CERCLA or Superfund.</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00"/>
          </w:cols>
          <w:pgMar w:left="240" w:top="455" w:right="2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100" w:firstLine="456"/>
        <w:spacing w:after="0" w:line="272" w:lineRule="auto"/>
        <w:rPr>
          <w:sz w:val="20"/>
          <w:szCs w:val="20"/>
          <w:color w:val="auto"/>
        </w:rPr>
      </w:pPr>
      <w:r>
        <w:rPr>
          <w:rFonts w:ascii="Times New Roman" w:cs="Times New Roman" w:eastAsia="Times New Roman" w:hAnsi="Times New Roman"/>
          <w:sz w:val="17"/>
          <w:szCs w:val="17"/>
          <w:color w:val="auto"/>
        </w:rPr>
        <w:t>On December 22, 2011, the Harris County Attorney in Houston, Texas filed suit against McGinnes Industrial Maintenance Corporation (“MIMC”), WM and Waste Management of Texas, Inc., et al., seeking civil penalties and attorneys’ fees for alleged violations of the Texas Water Code and the Texas Health and Safety Code. The County’s Original Petition filed with the District Court of Harris County, Texas (the “District Court”) alleges the mismanagement of certain waste pits that were operated from 1965 to 1966 by MIMC. In 1998, a predecessor of WM acquired the stock of the parent entity of MIMC. On October 9, 2014, the District Court granted a motion for summary judgment that resulted in the dismissal of WM from the case. On November 12, 2014, the parties agreed to resolve this case with a $29.2 million settlement payment by MIMC and dismissal of the claims against Waste Management of Texas, Inc. The entire settlement amount was funded into escrow in November 2014, pending finalization of the settlement. We remain focused on the remediation of the site and maintain our active participation in the EPA process established to evaluate and determine the appropriate remedy.</w:t>
      </w:r>
    </w:p>
    <w:p>
      <w:pPr>
        <w:spacing w:after="0" w:line="17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Additionally, on April 30, 2014, the United States District Court for the District of Hawaii issued an indictment against Waste Management of Hawaii, Inc. (“WMHI”) and two employees of WMHI. The United States Attorney’s Office for the District of Hawaii had been investigating water discharges at the Waimanalo Gulch Sanitary Landfill, which WMHI operates for the city and county of Honolulu, in connection with three major rainstorms in December 2010 and January 2011. The indictment alleges violations of the federal Clean Water Act, conspiracy and making false statements to the Hawaii Department of Health and the EPA. We are vigorously defending against this action. Given the early stage of this case and significant issues in dispute, we cannot currently predict an outcome or estimate a range of loss, but we could potentially be subject to sanctions, including requirements to pay monetary penalties.</w:t>
      </w:r>
    </w:p>
    <w:p>
      <w:pPr>
        <w:spacing w:after="0" w:line="186"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In October 2011 and January 2012, we were named as a defendant in a purported class action in the Circuit Court of Sarasota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Florida and the Circuit Court of Lawrence County, Alabama, respectively. These cases primarily pertain to our fuel and environmental charges included on our invoices, generally alleging that such charges were not properly disclosed, were unfair and were contrary to the customer service contracts. We have reached a settlement in principal of both the pending Florida and Alabama cases, and we are currently working on documentation for the settlements. We anticipate seeking preliminary court approval of the Florida case settlement during the first quarter of 2015, with the Alabama case settlement to follow. The anticipated settlements will not have a material adverse effect on the Company’s business, financial condition, results of operations or cash flows.</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00"/>
          </w:cols>
          <w:pgMar w:left="240" w:top="455" w:right="2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purported class action lawsuits related to our sales and marketing practices and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could have a material adverse effect on the Company’s business, financial condition, results of operations, or cash flows.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WM’s charter and bylaws provide that WM shall indemnify against all liabilities and expenses, and upon request shall advance expenses to, any person who is subject to a pending or threatened proceeding because such person is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entitled to have such fees advanced under Delaware law. Additionally, WM has entered into separate indemnification agreements with each of the members of its Board of Directors, its Chief Executive Officer and each of its executive vice presidents. Additionally, the employment agreements between WM and its Chief Executive Officer and other executive and senior vice presidents contain a direct contractual obligation of the Company to provide indemnification to the executive.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7"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Multiemployer Defined Benefit Pension Plans </w:t>
      </w:r>
      <w:r>
        <w:rPr>
          <w:rFonts w:ascii="Times New Roman" w:cs="Times New Roman" w:eastAsia="Times New Roman" w:hAnsi="Times New Roman"/>
          <w:sz w:val="18"/>
          <w:szCs w:val="18"/>
          <w:color w:val="auto"/>
        </w:rPr>
        <w:t>— About 20% of our workforce is covered by collective bargaining agreements with various union locals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the United States and Canada. As a result of some of these agreements, certain of our subsidiaries are participating employers in a number of trustee-managed multiemployer defined benefit pension plans for the covered employees. Refer to Note 10 for additional information about our participation in multiemployer defined benefit pension plans considered individually significant. 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defined benefit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88"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One of the most significant multiemployer pension plans in which we have participated is the Central States, Southeast and Southwest Areas Pension Plan (“Central States Pension Plan”). The Central States Pension Plan is in “critical status,” as defined by the Pension Protection Act of 2006. Since 2008, certain of our affiliates have bargained to remove covered employees from the Central States Pension Plan, resulting in a series of withdrawals, and we have recognized charges to “Operating” expenses associated with the withdrawal of certain bargaining units from the Central States Pension Plan and other underfunded multiemployer pension plans. In October 2011, employees at the last of our affiliates with active participants in the Central States Pension Plan voted to decertify the union that represented them, withdrawing themselves from the Central States Pension Plan. The Company believes there are no collective bargaining agreements remaining that require continuing contributions to this plan; however, this point is the subject of pending litigation with the trustees for the Central States Pension Plan.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We are still negotiating and litigating final resolutions of our withdrawal liability for certain previous withdrawals. Except in the case of our withdrawals from the Central States Pension Plan, we do not believe any additional liability above the charges we have already recognized for such previous withdrawals could be material to the Company’s business, financial condition, liquidity, results of operations or cash flows. In addition to charges recognized in prior years, we currently estimate that we could incur up to approximately $40 million in future charges based on demands from representatives of the Central States Pension Plan. As a result, we do not anticipate that the final resolution of the Central States Pension Plan matter could be material to the Company’s business, financial condition or liquidity; however, such loss could have a material adverse effect on our cash flows and, to a lesser extent, our results of operations, for a particular reporting period. Similarly, we also do not believe that any future withdrawals, individually or in the aggregate, from the multiemployer pension plans to which we contribute, could have a material adverse effect on our business, financial condition or liquidity. However, such withdrawals could have a material adverse effect on our results of operations or cash flows for a particular reporting period, depending on the number of employees withdrawn in any future period and the financial condition of the multiemployer pension plan(s) at the time of such withdrawal(s).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 We participate in the IRS’s Compliance Assurance Process, which means we work with the IRS throughout the year in order to resolve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material issues prior to the filing of our annual tax return. We are currently in the examination phase of IRS audits for the tax years 2013, 2014 and 2015 and expect these audits to be completed within the next three, 15 and 27 months, respectively. We are also currently undergoing audits by various state and local jurisdictions for tax years that date back to 2009, with the exception of affirmative claims in a limited number of jurisdictions that date back to 2000. We are also under audit in Canada for the tax years 2012 and 2013. In 2011, we acquired Oakleaf, which is subject to potential IRS examination for the year</w:t>
      </w:r>
    </w:p>
    <w:p>
      <w:pPr>
        <w:spacing w:after="0" w:line="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2011. Pursuant to the terms of our acquisition of Oakleaf, we are entitled to indemnification for Oakleaf’s pre-acquisition period tax liabilities. We maintain a liability for uncertain tax positions, the balance of which management believes is adequate. Results of audit assessments by taxing authorities are not currently expected to have a material adverse impact on our results of operations or cash flows.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pre-tax restructuring charges, including employee severance and benefit costs and other charges,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for the respective periods (in millions):</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26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Pr>
          <w:p>
            <w:pPr>
              <w:spacing w:after="0"/>
              <w:rPr>
                <w:sz w:val="15"/>
                <w:szCs w:val="15"/>
                <w:color w:val="auto"/>
              </w:rPr>
            </w:pPr>
          </w:p>
        </w:tc>
      </w:tr>
      <w:tr>
        <w:trPr>
          <w:trHeight w:val="210"/>
        </w:trPr>
        <w:tc>
          <w:tcPr>
            <w:tcW w:w="7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Solid Waste</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88"/>
              </w:rPr>
              <w:t>10</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r>
      <w:tr>
        <w:trPr>
          <w:trHeight w:val="223"/>
        </w:trPr>
        <w:tc>
          <w:tcPr>
            <w:tcW w:w="75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$ 67</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2014 Restructuring </w:t>
      </w:r>
      <w:r>
        <w:rPr>
          <w:rFonts w:ascii="Times New Roman" w:cs="Times New Roman" w:eastAsia="Times New Roman" w:hAnsi="Times New Roman"/>
          <w:sz w:val="18"/>
          <w:szCs w:val="18"/>
          <w:color w:val="auto"/>
        </w:rPr>
        <w:t>— In August 2014, we announced a consolidation and realignment of several Corporate functions to better support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strategic goals, including cost reduction. Voluntary separation arrangements were offered to all salaried employees within these organizations. Approximately 650 employees have separated from our Corporate and recycling organizations in connection with this restructuring, but we do not anticipate that all of these positions will be permanently eliminated.</w:t>
      </w:r>
    </w:p>
    <w:p>
      <w:pPr>
        <w:spacing w:after="0" w:line="18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recognized a total of $82 million of pre-tax restructuring charges, of which $70 million was related to employee severance and benefit costs. The remaining charges were primarily related to operating lease obligations for property that will no longer be utilized. We do not expect to incur any material charges associated with our 2014 restructuring in future periods.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2013, we recognized a total of $18 million of pre-tax restructuring charges, of which $7 million was related to employee severance and benefit costs, including costs associated with our acquisitions of Greenstar, LLC (“Greenstar”) and RCI and our 2012 restructurings discussed below. The remaining charges were primarily related to operating lease obligations for property that will no longer be utilized.</w:t>
      </w:r>
    </w:p>
    <w:p>
      <w:pPr>
        <w:spacing w:after="0" w:line="174"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2012 Restructuring — </w:t>
      </w:r>
      <w:r>
        <w:rPr>
          <w:rFonts w:ascii="Times New Roman" w:cs="Times New Roman" w:eastAsia="Times New Roman" w:hAnsi="Times New Roman"/>
          <w:sz w:val="18"/>
          <w:szCs w:val="18"/>
          <w:color w:val="auto"/>
        </w:rPr>
        <w:t>In July 2012, we announced a reorganization of operations, designed to streamline management and staff support and reduce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 structure, while not disrupting our front-line operations. Principal organizational changes included removing the management layer of our four geographic Groups, each of which previously constituted a reportable segment, and consolidating and reducing the number of our geographic Areas through which we evaluate and oversee our Solid Waste subsidiaries from 22 to 17. This reorganization eliminated approximately 700 employee positions throughout the Company, including positions at both the management and support level. Voluntary separation arrangements were offered to many employees.</w:t>
      </w:r>
    </w:p>
    <w:p>
      <w:pPr>
        <w:spacing w:after="0" w:line="182"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2012, we recognized a total of $67 million of pre-tax restructuring charges, of which $56 million were related to employee severance and benefit costs associated with these reorganizations. The remaining charges were primarily related to operating lease obligations for property that will no longer be utilized.</w:t>
      </w:r>
    </w:p>
    <w:p>
      <w:pPr>
        <w:spacing w:after="0" w:line="176"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Through December 31, 2014, we had recognized charges of $133 million related to employee severance and benefits associated with our restructuring efforts beginning in 2012 and we have paid approximately $94 million of these costs. At December 31, 2014, we had approximately $33 million of accrued employee severance related to our restructuring efforts, which will be substantially paid through the end of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Asset Impairments and Unusual Items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2014, we recognized $10 million of goodwill impairment charges associated with our recycling operations. During the year ended December 31, 2013, we recognized $509 million of goodwill impairment charges, primarily related to (i) $483 million associated with our Wheelabrator business; (ii) $10 million associated with our Puerto Rico operations and (iii) $9 million associated with a majority-owned waste diversion technology company. During the year ended December 31, 2012, we recognized goodwill impairment charges of $4 million related to certain of our non-Solid Waste operations. See Notes 3 and 6 for additional information related to these impairment charges as well as the accounting policy and analysis involved in identifying and calculating impairments.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expense from divestitures, asset impairments (other than goodwill) and unusual items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major components of “(Income) expense from divestitures, asset impairments and unusual items” for the years ended December 31 for the respective periods (in millions):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800" w:type="dxa"/>
            <w:vAlign w:val="bottom"/>
            <w:tcBorders>
              <w:bottom w:val="single" w:sz="8" w:color="CCEEFF"/>
            </w:tcBorders>
          </w:tcPr>
          <w:p>
            <w:pPr>
              <w:spacing w:after="0"/>
              <w:rPr>
                <w:sz w:val="15"/>
                <w:szCs w:val="15"/>
                <w:color w:val="auto"/>
              </w:rPr>
            </w:pPr>
          </w:p>
        </w:tc>
        <w:tc>
          <w:tcPr>
            <w:tcW w:w="34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expense from divestitures</w:t>
            </w:r>
          </w:p>
        </w:tc>
        <w:tc>
          <w:tcPr>
            <w:tcW w:w="3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$(515)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impairments (other than goodwill)</w:t>
            </w:r>
          </w:p>
        </w:tc>
        <w:tc>
          <w:tcPr>
            <w:tcW w:w="3400" w:type="dxa"/>
            <w:vAlign w:val="bottom"/>
          </w:tcPr>
          <w:p>
            <w:pPr>
              <w:spacing w:after="0"/>
              <w:rPr>
                <w:sz w:val="18"/>
                <w:szCs w:val="18"/>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472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44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464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4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117</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2014, we recognized net income of $170 million, primarily related to the following:</w:t>
      </w:r>
    </w:p>
    <w:p>
      <w:pPr>
        <w:spacing w:after="0" w:line="129" w:lineRule="exact"/>
        <w:rPr>
          <w:sz w:val="20"/>
          <w:szCs w:val="20"/>
          <w:color w:val="auto"/>
        </w:rPr>
      </w:pPr>
    </w:p>
    <w:p>
      <w:pPr>
        <w:ind w:left="900" w:right="40" w:hanging="325"/>
        <w:spacing w:after="0" w:line="261"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expense from divestitures </w:t>
      </w:r>
      <w:r>
        <w:rPr>
          <w:rFonts w:ascii="Times New Roman" w:cs="Times New Roman" w:eastAsia="Times New Roman" w:hAnsi="Times New Roman"/>
          <w:sz w:val="18"/>
          <w:szCs w:val="18"/>
          <w:color w:val="auto"/>
        </w:rPr>
        <w:t>— We recognized net gains of $515 million, primarily as a result of a $519 million gain on the sale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Wheelabrator business and an $18 million gain on the sale of certain landfill and collection operations in our Eastern Canada Area. Partially offsetting these gains was a $25 million loss on the divestiture of our Puerto Rico operations and certain other collection and landfill assets. Refer to Note 19 for additional information related to our divestitures.</w:t>
      </w:r>
    </w:p>
    <w:p>
      <w:pPr>
        <w:spacing w:after="0" w:line="85" w:lineRule="exact"/>
        <w:rPr>
          <w:rFonts w:ascii="Times New Roman" w:cs="Times New Roman" w:eastAsia="Times New Roman" w:hAnsi="Times New Roman"/>
          <w:sz w:val="18"/>
          <w:szCs w:val="18"/>
          <w:color w:val="auto"/>
        </w:rPr>
      </w:pPr>
    </w:p>
    <w:p>
      <w:pPr>
        <w:jc w:val="both"/>
        <w:ind w:left="900" w:right="20" w:hanging="325"/>
        <w:spacing w:after="0" w:line="267"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Oil and gas properties impairments </w:t>
      </w:r>
      <w:r>
        <w:rPr>
          <w:rFonts w:ascii="Times New Roman" w:cs="Times New Roman" w:eastAsia="Times New Roman" w:hAnsi="Times New Roman"/>
          <w:sz w:val="18"/>
          <w:szCs w:val="18"/>
          <w:color w:val="auto"/>
        </w:rPr>
        <w:t>— We recognized $272 million of charges to impair certain of our oil and gas producing properties,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the pronounced decrease in oil and gas prices in the fourth quarter of 2014. We wrote down the carrying value of these properties to their estimated fair value using an income approach.</w:t>
      </w:r>
    </w:p>
    <w:p>
      <w:pPr>
        <w:spacing w:after="0" w:line="78" w:lineRule="exact"/>
        <w:rPr>
          <w:rFonts w:ascii="Times New Roman" w:cs="Times New Roman" w:eastAsia="Times New Roman" w:hAnsi="Times New Roman"/>
          <w:sz w:val="18"/>
          <w:szCs w:val="18"/>
          <w:color w:val="auto"/>
        </w:rPr>
      </w:pPr>
    </w:p>
    <w:p>
      <w:pPr>
        <w:ind w:left="900" w:right="480" w:hanging="325"/>
        <w:spacing w:after="0" w:line="284" w:lineRule="auto"/>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We recognized additional impairment charges of $73 million to write down assets in our waste diversion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renewable energy, recycling and medical waste operations.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During the year ended December 31, 2013, we recognized net charges of $464 million, primarily related to the following:</w:t>
      </w:r>
    </w:p>
    <w:p>
      <w:pPr>
        <w:spacing w:after="0" w:line="129" w:lineRule="exact"/>
        <w:rPr>
          <w:sz w:val="20"/>
          <w:szCs w:val="20"/>
          <w:color w:val="auto"/>
        </w:rPr>
      </w:pPr>
    </w:p>
    <w:p>
      <w:pPr>
        <w:ind w:left="900" w:hanging="325"/>
        <w:spacing w:after="0" w:line="255"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Landfill impairments </w:t>
      </w:r>
      <w:r>
        <w:rPr>
          <w:rFonts w:ascii="Times New Roman" w:cs="Times New Roman" w:eastAsia="Times New Roman" w:hAnsi="Times New Roman"/>
          <w:sz w:val="18"/>
          <w:szCs w:val="18"/>
          <w:color w:val="auto"/>
        </w:rPr>
        <w:t>— We recognized $262 million of charges to impair certain of our landfills, primarily as a result of our consideration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management’s decision in the fourth quarter of 2013 not to actively pursue expansion and/or development of such landfills. These charges were primarily associated with two landfills in our Eastern Canada Area, which are no longer accepting waste. We had previously concluded that receipt of permits for these landfills was probable. However, in connection with our asset rationalization and capital allocation analysis, which was influenced, in part, by our acquisition of RCI, we determined that the future costs to construct these landfills could be avoided as we are able to allocate disposal that would have gone to these landfills to other facilities and not materially impact operations. As a result of management’s decision, we determined that the landfill assets were no longer able to be recovered by the undiscounted cash flows attributable to these assets. As such, we wrote them down to their estimated fair values using a market approach considering the highest and best use of the assets.</w:t>
      </w:r>
    </w:p>
    <w:p>
      <w:pPr>
        <w:spacing w:after="0" w:line="90" w:lineRule="exact"/>
        <w:rPr>
          <w:rFonts w:ascii="Times New Roman" w:cs="Times New Roman" w:eastAsia="Times New Roman" w:hAnsi="Times New Roman"/>
          <w:sz w:val="18"/>
          <w:szCs w:val="18"/>
          <w:color w:val="auto"/>
        </w:rPr>
      </w:pPr>
    </w:p>
    <w:p>
      <w:pPr>
        <w:ind w:left="900" w:right="40" w:hanging="325"/>
        <w:spacing w:after="0" w:line="261"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Waste-to-energy impairments </w:t>
      </w:r>
      <w:r>
        <w:rPr>
          <w:rFonts w:ascii="Times New Roman" w:cs="Times New Roman" w:eastAsia="Times New Roman" w:hAnsi="Times New Roman"/>
          <w:sz w:val="18"/>
          <w:szCs w:val="18"/>
          <w:color w:val="auto"/>
        </w:rPr>
        <w:t>— We recognized $144 million of impairment charges relating to three waste-to-energy facilities, primarily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closure or anticipated closure due to continued difficulty securing sufficient volumes to operate the plants at capacity and the prospect of additional capacity entering the market where the largest facility is located. We wrote down the carrying value of our facilities to their estimated fair value using a market approach.</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impairments </w:t>
      </w:r>
      <w:r>
        <w:rPr>
          <w:rFonts w:ascii="Times New Roman" w:cs="Times New Roman" w:eastAsia="Times New Roman" w:hAnsi="Times New Roman"/>
          <w:sz w:val="18"/>
          <w:szCs w:val="18"/>
          <w:color w:val="auto"/>
        </w:rPr>
        <w:t>— The remainder of our 2013 charges were attributable to (i) $31 million of charges to impair various recycling assets;</w:t>
      </w:r>
    </w:p>
    <w:p>
      <w:pPr>
        <w:spacing w:after="0" w:line="29" w:lineRule="exact"/>
        <w:rPr>
          <w:rFonts w:ascii="Times New Roman" w:cs="Times New Roman" w:eastAsia="Times New Roman" w:hAnsi="Times New Roman"/>
          <w:sz w:val="18"/>
          <w:szCs w:val="18"/>
          <w:color w:val="auto"/>
        </w:rPr>
      </w:pPr>
    </w:p>
    <w:p>
      <w:pPr>
        <w:ind w:left="900"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$20 million of charges to write down assets related to a majority-owned waste diversion technology company; and (iii) a $15 million charge to write down the carrying value of an oil and gas property to its estimated fair value.</w:t>
      </w:r>
    </w:p>
    <w:p>
      <w:pPr>
        <w:spacing w:after="0" w:line="8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Divestitures — </w:t>
      </w:r>
      <w:r>
        <w:rPr>
          <w:rFonts w:ascii="Times New Roman" w:cs="Times New Roman" w:eastAsia="Times New Roman" w:hAnsi="Times New Roman"/>
          <w:sz w:val="18"/>
          <w:szCs w:val="18"/>
          <w:color w:val="auto"/>
        </w:rPr>
        <w:t>Partially offsetting these charges were $8 million of net gains on divestitures.</w:t>
      </w:r>
    </w:p>
    <w:p>
      <w:pPr>
        <w:spacing w:after="0" w:line="227"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2012, we recognized impairment charges of $79 million, attributable to (i) $45 million of charges related to three facilities in our medical waste services business as a result of projected operating losses at each of these facilities; (ii) $20 million of charges related to investments in waste diversion technology companies and (iii) other charges to write down the carrying value of assets to their estimated fair values, all of which are individually immaterial.</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See Notes 3 and 21 for additional information related to the accounting policy and analysis involved in identifying and calculating impairments; and information related to the impact of impairments on the results of operations of our reportable segments, respectively.</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Equity in net losses of unconsolidated entities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recognized charges of $11 million primarily to write down equity method investments in waste diversion technology companies to their fair value. During the year ended December 31, 2012, we recognized a charge of $10 million related to a payment we made under a guarantee on behalf of an unconsolidated entity that went into liquidation. This investment was accounted for under the equity method.</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2014, we recognized impairment charges of $22 million relating to other-than-temporary declines in the value of investments in waste diversion technology companies accounted for under the cost method. We wrote down the carrying value of our investments to their fair value.</w:t>
      </w:r>
    </w:p>
    <w:p>
      <w:pPr>
        <w:spacing w:after="0" w:line="176"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In the first quarter of 2014, we sold our investment in SEG, which was part of our Wheelabrator business. We received cash proceeds from the sale of $155 million, which have been included in “Proceeds from divestitures of businesses and other assets (net of cash divested)” within “Net cash used in investing activities” in the Consolidated Statement of Cash Flows. The losses recognized related to the sale were not material.</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2013, we recognized impairment charges of $71 million relating to other-than-temporary declines in the value of investments in waste diversion technology companies accounted for under the cost method. We wrote down the carrying value of our investments to their fair value, which was primarily determined using an income approach based on estimated future cash flow projections obtained in the fourth quarter of 2013 and, to a lesser extent, third-party investors’ recent transactions in these securities. Partially offsetting these charges was a $4 million gain on the sale of a similar investment recognized in the second quarter of 2013.</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2012, we recognized an impairment charge of $16 million relating to an other-than-temporary decline in the value of another investment in a waste diversion technology company accounted for under the cost method. We wrote down the carrying value of our investment to its fair value based on other third-party investors’ recent transactions in these securities, which are considered to be the best evidence of fair value currently available.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net charges are recorded in “Other, net” in our Consolidated Statement of Operations.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00"/>
          </w:cols>
          <w:pgMar w:left="240" w:top="455" w:right="2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The changes in the balances of each component of accumulated other comprehensive income, net of tax, which is included as a component of Waste Management, Inc. stockholders’ equity, are as follows (in millions, with amounts in parentheses representing decreases to accumulated other comprehensive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w:t>
            </w:r>
          </w:p>
        </w:tc>
        <w:tc>
          <w:tcPr>
            <w:tcW w:w="100" w:type="dxa"/>
            <w:vAlign w:val="bottom"/>
          </w:tcPr>
          <w:p>
            <w:pPr>
              <w:spacing w:after="0"/>
              <w:rPr>
                <w:sz w:val="13"/>
                <w:szCs w:val="13"/>
                <w:color w:val="auto"/>
              </w:rPr>
            </w:pPr>
          </w:p>
        </w:tc>
        <w:tc>
          <w:tcPr>
            <w:tcW w:w="13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3"/>
                <w:szCs w:val="13"/>
                <w:color w:val="auto"/>
              </w:rPr>
            </w:pPr>
          </w:p>
        </w:tc>
        <w:tc>
          <w:tcPr>
            <w:tcW w:w="12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Post-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3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22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for-Sale</w:t>
            </w:r>
          </w:p>
        </w:tc>
        <w:tc>
          <w:tcPr>
            <w:tcW w:w="140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20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5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2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7"/>
              </w:rPr>
              <w:t>Plans</w:t>
            </w:r>
          </w:p>
        </w:tc>
        <w:tc>
          <w:tcPr>
            <w:tcW w:w="5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tax expense (benefit) of $(14), $2, $0 and $(2), respectively</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net of tax (expense) benefit of $5, $0, $0 and $0,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tax expense (benefit) of $9, $1, $0 and $10, respectively</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net of tax (expense) benefit of $(1), $0, $0 and $0,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tax expense (benefit) of $4, $2, $0 and $(8), respectively</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9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income, net of tax (expense) benefit of $(3), $0, $0 and $0,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8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6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1"/>
              </w:rPr>
              <w:t>(131)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amounts of other comprehensive income (loss) before reclassifications associated with our cash flow derivative instruments are as follows (in millions):</w:t>
      </w:r>
    </w:p>
    <w:p>
      <w:pPr>
        <w:spacing w:after="0" w:line="18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Amount of Derivative Gain (Loss) Recognized in OCI</w:t>
      </w:r>
    </w:p>
    <w:p>
      <w:pPr>
        <w:spacing w:after="0" w:line="6"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4"/>
          <w:szCs w:val="14"/>
          <w:b w:val="1"/>
          <w:bCs w:val="1"/>
          <w:color w:val="auto"/>
        </w:rPr>
        <w:t>(Effective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-3175</wp:posOffset>
            </wp:positionV>
            <wp:extent cx="28727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7300"/>
        <w:spacing w:after="0" w:line="223" w:lineRule="auto"/>
        <w:rPr>
          <w:sz w:val="20"/>
          <w:szCs w:val="20"/>
          <w:color w:val="auto"/>
        </w:rPr>
      </w:pPr>
      <w:r>
        <w:rPr>
          <w:rFonts w:ascii="Times New Roman" w:cs="Times New Roman" w:eastAsia="Times New Roman" w:hAnsi="Times New Roman"/>
          <w:sz w:val="14"/>
          <w:szCs w:val="14"/>
          <w:b w:val="1"/>
          <w:bCs w:val="1"/>
          <w:color w:val="auto"/>
        </w:rPr>
        <w:t>Years Ended December 31,</w:t>
      </w:r>
    </w:p>
    <w:tbl>
      <w:tblPr>
        <w:tblLayout w:type="fixed"/>
        <w:tblInd w:w="920" w:type="dxa"/>
        <w:tblCellMar>
          <w:top w:w="0" w:type="dxa"/>
          <w:left w:w="0" w:type="dxa"/>
          <w:bottom w:w="0" w:type="dxa"/>
          <w:right w:w="0" w:type="dxa"/>
        </w:tblCellMar>
      </w:tblPr>
      <w:tr>
        <w:trPr>
          <w:trHeight w:val="149"/>
        </w:trPr>
        <w:tc>
          <w:tcPr>
            <w:tcW w:w="3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2014</w:t>
            </w:r>
          </w:p>
        </w:tc>
        <w:tc>
          <w:tcPr>
            <w:tcW w:w="10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2013</w:t>
            </w:r>
          </w:p>
        </w:tc>
        <w:tc>
          <w:tcPr>
            <w:tcW w:w="1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3"/>
              <w:spacing w:after="0" w:line="149"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12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960" w:type="dxa"/>
            <w:vAlign w:val="bottom"/>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Electricity commodity derivatives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before tax</w:t>
            </w:r>
          </w:p>
        </w:tc>
        <w:tc>
          <w:tcPr>
            <w:tcW w:w="1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(expense) benefit</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3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1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significant amounts reclassified out of each component of accumulated other comprehensive income are as follows (in millions, with amounts in parentheses representing debits to the statement of operations classification):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8"/>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Amount Reclassified from</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208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Statement of</w:t>
            </w:r>
          </w:p>
        </w:tc>
        <w:tc>
          <w:tcPr>
            <w:tcW w:w="0" w:type="dxa"/>
            <w:vAlign w:val="bottom"/>
          </w:tcPr>
          <w:p>
            <w:pPr>
              <w:spacing w:after="0"/>
              <w:rPr>
                <w:sz w:val="1"/>
                <w:szCs w:val="1"/>
                <w:color w:val="auto"/>
              </w:rPr>
            </w:pPr>
          </w:p>
        </w:tc>
      </w:tr>
      <w:tr>
        <w:trPr>
          <w:trHeight w:val="117"/>
        </w:trPr>
        <w:tc>
          <w:tcPr>
            <w:tcW w:w="43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8"/>
          </w:tcPr>
          <w:p>
            <w:pPr>
              <w:jc w:val="center"/>
              <w:ind w:left="75"/>
              <w:spacing w:after="0" w:line="118" w:lineRule="exact"/>
              <w:rPr>
                <w:sz w:val="20"/>
                <w:szCs w:val="20"/>
                <w:color w:val="auto"/>
              </w:rPr>
            </w:pPr>
            <w:r>
              <w:rPr>
                <w:rFonts w:ascii="Times New Roman" w:cs="Times New Roman" w:eastAsia="Times New Roman" w:hAnsi="Times New Roman"/>
                <w:sz w:val="13"/>
                <w:szCs w:val="13"/>
                <w:b w:val="1"/>
                <w:bCs w:val="1"/>
                <w:color w:val="auto"/>
              </w:rPr>
              <w:t>Years Ended December 31,</w:t>
            </w: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 Components</w:t>
            </w:r>
          </w:p>
        </w:tc>
        <w:tc>
          <w:tcPr>
            <w:tcW w:w="20" w:type="dxa"/>
            <w:vAlign w:val="bottom"/>
            <w:vMerge w:val="restart"/>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500" w:type="dxa"/>
            <w:vAlign w:val="bottom"/>
          </w:tcPr>
          <w:p>
            <w:pPr>
              <w:spacing w:after="0"/>
              <w:rPr>
                <w:sz w:val="2"/>
                <w:szCs w:val="2"/>
                <w:color w:val="auto"/>
              </w:rPr>
            </w:pPr>
          </w:p>
        </w:tc>
        <w:tc>
          <w:tcPr>
            <w:tcW w:w="2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Operations Classification</w:t>
            </w:r>
          </w:p>
        </w:tc>
        <w:tc>
          <w:tcPr>
            <w:tcW w:w="0" w:type="dxa"/>
            <w:vAlign w:val="bottom"/>
          </w:tcPr>
          <w:p>
            <w:pPr>
              <w:spacing w:after="0"/>
              <w:rPr>
                <w:sz w:val="1"/>
                <w:szCs w:val="1"/>
                <w:color w:val="auto"/>
              </w:rPr>
            </w:pPr>
          </w:p>
        </w:tc>
      </w:tr>
      <w:tr>
        <w:trPr>
          <w:trHeight w:val="142"/>
        </w:trPr>
        <w:tc>
          <w:tcPr>
            <w:tcW w:w="654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left="24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520" w:type="dxa"/>
            <w:vAlign w:val="bottom"/>
          </w:tcPr>
          <w:p>
            <w:pPr>
              <w:spacing w:after="0"/>
              <w:rPr>
                <w:sz w:val="12"/>
                <w:szCs w:val="12"/>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Gains and losses on cash flow hedges:</w:t>
            </w:r>
          </w:p>
        </w:tc>
        <w:tc>
          <w:tcPr>
            <w:tcW w:w="2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rate locks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6"/>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Electricity commodity derivatives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6"/>
              </w:rPr>
              <w:t>(15)</w:t>
            </w:r>
          </w:p>
        </w:tc>
        <w:tc>
          <w:tcPr>
            <w:tcW w:w="500" w:type="dxa"/>
            <w:vAlign w:val="bottom"/>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0" w:type="dxa"/>
            <w:vAlign w:val="bottom"/>
          </w:tcPr>
          <w:p>
            <w:pPr>
              <w:spacing w:after="0"/>
              <w:rPr>
                <w:sz w:val="1"/>
                <w:szCs w:val="1"/>
                <w:color w:val="auto"/>
              </w:rPr>
            </w:pPr>
          </w:p>
        </w:tc>
      </w:tr>
      <w:tr>
        <w:trPr>
          <w:trHeight w:val="223"/>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Capital Stock, Dividends and Share Repurchases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Stock</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have 1.5 billion shares of authorized common stock with a par value of $0.01 per common share. As of December 31, 2014, we had 458.5 million shares of common stock issued and outstanding. The Board of Directors is authorized to issue preferred stock in series, and with respect to each series, to fix its designation, relative rights (including voting, dividend, conversion, sinking fund, and redemption rights), preferences (including dividends and liquidation) and limitations. We have 10 million shares of authorized preferred stock, $0.01 par value, none of which is currently outstanding.</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Our quarterly dividends have been declared and paid in accordance with our financial plans approved by our Board of Directors. Cash dividends declared and paid were $693 million in 2014, or $1.50 per common share, $683 million in 2013, or $1.46 per common share and $658 million in 2012, or $1.42 per common share.</w:t>
      </w:r>
    </w:p>
    <w:p>
      <w:pPr>
        <w:spacing w:after="0" w:line="176"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In February 2015, we announced that our Board of Directors expects to increase the quarterly dividend from $0.375 to $0.385 per share for dividends declared in 2015. However, all future dividend declarations are at the discretion of the Board of Directors and depend on various factors, including our net earnings, financial condition, cash required for future business plans and other factors the Board may deem relevant.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share repurchases have been made in accordance with financial plans approved by our Board of Directors. The following is a summary of our share repurchases for the periods presented. We did not repurchase any shares of common stock in 2012.</w:t>
      </w:r>
    </w:p>
    <w:p>
      <w:pPr>
        <w:spacing w:after="0" w:line="182"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236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320" w:type="dxa"/>
            <w:vAlign w:val="bottom"/>
          </w:tcPr>
          <w:p>
            <w:pPr>
              <w:spacing w:after="0"/>
              <w:rPr>
                <w:sz w:val="12"/>
                <w:szCs w:val="12"/>
                <w:color w:val="auto"/>
              </w:rPr>
            </w:pPr>
          </w:p>
        </w:tc>
        <w:tc>
          <w:tcPr>
            <w:tcW w:w="102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2014(a)</w:t>
            </w:r>
          </w:p>
        </w:tc>
        <w:tc>
          <w:tcPr>
            <w:tcW w:w="13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 (in thousands)</w:t>
            </w: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9,569</w:t>
            </w:r>
          </w:p>
        </w:tc>
        <w:tc>
          <w:tcPr>
            <w:tcW w:w="4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5,368</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per share purchase price</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$43.89</w:t>
            </w:r>
          </w:p>
        </w:tc>
        <w:tc>
          <w:tcPr>
            <w:tcW w:w="44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$43.48 - $45.95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 (in millions)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80" w:hanging="452"/>
        <w:spacing w:after="0" w:line="258"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2014, the Board of Directors authorized up to $600 million in share repurchases. During the third quarter of 2014, we entered into accelerated share repurchase (“ASR”) agreements with two financial institutions to repurchase an aggregate of $600 million of our common stock. At the beginning of the ASR repurchase periods, we delivered the $600 million in cash and received 9.6 million shares, which represented 70% of the shares expected to be repurchased based on then-current market prices. These agreements were completed in February 2015 and we received approximately 2.8 million additional shares. The final weighted average per share purchase price for the completed ASR agreements was $48.58.</w:t>
      </w:r>
    </w:p>
    <w:p>
      <w:pPr>
        <w:spacing w:after="0" w:line="184"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ASR agreements were accounted for as two separate transactions: (i) as shares of reacquired common stock for the shares delivered to us upon effectiveness of the ASR agreements and (ii) as a forward contract indexed to our own common stock for the undelivered shares. The initial delivery of shares is included in treasury stock at a cost of $420 million and resulted in an immediate reduction of the outstanding shares used to calculate the weighted-average common shares outstanding for basic and diluted earnings per share. The $180 million forward contract indexed to our own stock met the criteria for equity classification and this amount was recorded in additional paid-in capital.</w:t>
      </w:r>
    </w:p>
    <w:p>
      <w:pPr>
        <w:spacing w:after="0" w:line="184" w:lineRule="exact"/>
        <w:rPr>
          <w:sz w:val="20"/>
          <w:szCs w:val="20"/>
          <w:color w:val="auto"/>
        </w:rPr>
      </w:pPr>
    </w:p>
    <w:p>
      <w:pPr>
        <w:ind w:right="220" w:firstLine="456"/>
        <w:spacing w:after="0" w:line="313" w:lineRule="auto"/>
        <w:rPr>
          <w:sz w:val="20"/>
          <w:szCs w:val="20"/>
          <w:color w:val="auto"/>
        </w:rPr>
      </w:pPr>
      <w:r>
        <w:rPr>
          <w:rFonts w:ascii="Times New Roman" w:cs="Times New Roman" w:eastAsia="Times New Roman" w:hAnsi="Times New Roman"/>
          <w:sz w:val="17"/>
          <w:szCs w:val="17"/>
          <w:color w:val="auto"/>
        </w:rPr>
        <w:t>We announced in February 2015 that the Board of Directors has authorized up to $1 billion in future share repurchases. Any future share repurchases will be made at the discretion of management, and will depend on factors similar to those considered by the Board in making dividend declarations.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have an Employee Stock Purchase Plan (“ESPP”) under which employees that have been employed for at least 30 days may purchase shares of our common stock at a discount. The plan provides for two offering periods for purchases: January through June and July through December. At the end of each offering period, employees are able to purchase shares of our common stock at a price equal to 85% of the lesser of the market value of the stock on the first and last day of such offering period. The purchases are made at the end of an offering period with funds accumulated through payroll deductions over the course of the offering period, and the number of shares that may be purchased is limited by IRS regulations. The total number of shares issued under the plan for the offering periods in each of 2014, 2013 and 2012 was approximately 774,000, 928,000 and 1 million, respectively. Including the impact of the January 2015 issuance of shares associated with the July to December 2014 offering period, approximately 1.0 million shares remain available for issuance under the plan.</w:t>
      </w:r>
    </w:p>
    <w:p>
      <w:pPr>
        <w:spacing w:after="0" w:line="18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Accounting for our ESPP increased annual compensation expense by approximately by $6 million, or $4 million net of tax, for both 2014 and 2013 and by $7 million, or $4 million net of tax, for 2012.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420"/>
          </w:cols>
          <w:pgMar w:left="240" w:top="455" w:right="23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Incentive Plans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May 2014, our stockholders approved our 2014 Stock Incentive Plan (the “2014 Plan”) to replace our 2009 Stock Incentive Plan (the “2009 Plan”). The 2014 Plan authorized 23.8 million shares of our common stock for issuance pursuant to the 2014 Plan, plus the approximately 1.1 million shares that then remained available for issuance under the 2009 Plan, and any shares subject to outstanding awards under the 2009 Plan that are subsequently cancelled, forfeited, terminate, expire or lapse. As of December 31, 2014, approximately 25.9 million shares were available for future grants under the 2014 Plan. All of our stock-based compensation awards described herein have been made pursuant to either our 2009 Plan or our 2014 Plan, collectively referred to as the “Incentive Plans.” We currently utilize treasury shares to meet the needs of our equity-based compensation programs.</w:t>
      </w:r>
    </w:p>
    <w:p>
      <w:pPr>
        <w:spacing w:after="0" w:line="188" w:lineRule="exact"/>
        <w:rPr>
          <w:sz w:val="20"/>
          <w:szCs w:val="20"/>
          <w:color w:val="auto"/>
        </w:rPr>
      </w:pPr>
    </w:p>
    <w:p>
      <w:pPr>
        <w:jc w:val="both"/>
        <w:ind w:right="500" w:firstLine="456"/>
        <w:spacing w:after="0" w:line="266" w:lineRule="auto"/>
        <w:rPr>
          <w:sz w:val="20"/>
          <w:szCs w:val="20"/>
          <w:color w:val="auto"/>
        </w:rPr>
      </w:pPr>
      <w:r>
        <w:rPr>
          <w:rFonts w:ascii="Times New Roman" w:cs="Times New Roman" w:eastAsia="Times New Roman" w:hAnsi="Times New Roman"/>
          <w:sz w:val="18"/>
          <w:szCs w:val="18"/>
          <w:color w:val="auto"/>
        </w:rPr>
        <w:t>Pursuant to the Incentive Plans, we have the ability to issue stock options, stock appreciation rights and stock awards, including restricted stock, restricted stock units, or RSUs, and performance share units, or PSUs. The terms and conditions of equity awards granted under the Incentive Plans are determined by the Management Development and Compensation Committee of our Board of Directors.</w:t>
      </w:r>
    </w:p>
    <w:p>
      <w:pPr>
        <w:spacing w:after="0" w:line="176"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2014 annual Incentive Plan awards granted to the Company’s senior leadership team, which generally includes the Company’s executive officers, included a combination of PSUs and stock options. The annual Incentive Plan awards granted to certain key employees included a combination of PSUs, RSUs and stock options in 2014. The Company has also periodically granted RSUs and stock options to employees working on key initiatives, in connection with new hires and promotions and to field-based managers.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Stock Units — </w:t>
      </w:r>
      <w:r>
        <w:rPr>
          <w:rFonts w:ascii="Times New Roman" w:cs="Times New Roman" w:eastAsia="Times New Roman" w:hAnsi="Times New Roman"/>
          <w:sz w:val="18"/>
          <w:szCs w:val="18"/>
          <w:color w:val="auto"/>
        </w:rPr>
        <w:t>A summary of our RSUs is presented in the table below (units in thousands):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76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76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2014</w:t>
            </w:r>
          </w:p>
        </w:tc>
        <w:tc>
          <w:tcPr>
            <w:tcW w:w="1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960" w:type="dxa"/>
            <w:vAlign w:val="bottom"/>
          </w:tcPr>
          <w:p>
            <w:pPr>
              <w:spacing w:after="0"/>
              <w:rPr>
                <w:sz w:val="19"/>
                <w:szCs w:val="19"/>
                <w:color w:val="auto"/>
              </w:rPr>
            </w:pPr>
          </w:p>
        </w:tc>
        <w:tc>
          <w:tcPr>
            <w:tcW w:w="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19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total fair market value of RSUs that vested during the years ended December 31, 2014, 2013 and 2012 was $3 million, $1 million and $11 million, respectively. Net of units deferred and units used for payment of associated taxes, we issued approximately 42,000 shares of common stock for RSUs that vested during the year ended December 31, 2014.</w:t>
      </w:r>
    </w:p>
    <w:p>
      <w:pPr>
        <w:spacing w:after="0" w:line="176"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RSUs may not be voted or sold by award recipients until time-based vesting restrictions have lapsed. RSUs primarily provide for three-year cliff vesting and include divided equivalents accumulated during the vesting period. Unvested units are subject to forfeiture in the event of voluntary or for-cause termination. RSUs are subject to pro-rata vesting upon an employee’s retirement or involuntary termination other than for cause and become immediately vested in the event of an employee’s death or disability.</w:t>
      </w:r>
    </w:p>
    <w:p>
      <w:pPr>
        <w:spacing w:after="0" w:line="180"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Compensation expense associated with RSUs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expected forfeitures.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 </w:t>
      </w:r>
      <w:r>
        <w:rPr>
          <w:rFonts w:ascii="Times New Roman" w:cs="Times New Roman" w:eastAsia="Times New Roman" w:hAnsi="Times New Roman"/>
          <w:sz w:val="18"/>
          <w:szCs w:val="18"/>
          <w:color w:val="auto"/>
        </w:rPr>
        <w:t>Three types of PSUs are currently outstanding: (i) PSUs for which payout is dependent on total shareholder return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S&amp;P 500 (“TSR PSUs”); (ii) PSUs for which payout is dependent on the Company’s performance against pre-established return on invested capital metrics (“ROIC PSUs”) and (iii) PSUs for which payout is dependent on the Company’s performance against pre-established adjusted cash flow metrics (“Cash Flow PSUs”). All types of PSUs are payable in shares of common stock after the end of a three-year performance period, when the Company’s financial performance for the entire performance period is reported, typically in mid- to late-February of the succeeding year. At the end of the performance period, the number of shares awarded can range from 0% to 200% of the targeted amount, depending on the performance against the pre-established targets. A summary of our PSUs is presented in the table below (units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9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2014</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48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(317)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(171)</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determination of achievement of performance results and corresponding vesting of PSUs for the three-year performance period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was performed by the Management Development and Compensation Committee in February 2015. Accordingly, vesting information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awards is not included in the table above as of December 31, 2014. The “vested” PSUs are for the three-year performance period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 as achievement of performance results and corresponding vesting was determined in February 2014. The Company’s financial results, as measured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of these awards, were lower than the target levels established but in excess of the threshold performance criteria. Accordingly, recipients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PSU awards were entitled to receive a payout of approximately 60% of the vested PSUs. In early 2014, we issued approximately 106,000 shares of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for these vested PSUs, net of units deferred and units used for payment of associated taxes.</w:t>
      </w:r>
    </w:p>
    <w:p>
      <w:pPr>
        <w:spacing w:after="0" w:line="207"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shares of common stock that were earned during the years ended December 31, 2014, 2013 and 2012 on account of PSU awards had a fair market value of $8 million, $14 million and $32 million, respectively. PSUs have no voting rights. PSUs receive dividend equivalents that are paid out in cash based on actual performance at the end of the awards’ performance period. PSUs are payable to an employee (or his beneficiary) upon death or disability as if that employee had remained employed until the end of the performance period, are subject to pro-rata vesting upon an employee’s retirement or involuntary termination other than for cause and are subject to forfeiture in the event of voluntary or for-cause termination.</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associated with our ROIC PSUs and Cash Flow PSUs that continue to vest based on future performance is measured based on the fair value of our common stock at the end of each reporting period until the performance period ends.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expected forfeitures.</w:t>
      </w:r>
    </w:p>
    <w:p>
      <w:pPr>
        <w:spacing w:after="0" w:line="18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grant-date fair value of our TSR PSUs is based on a Monte Carlo valuation and compensation expense is recognized on a straight-line basis over the vesting period. Compensation expense is recognized for all TSR PSUs whether or not the market conditions are achieved less expected forfeitures.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240" w:top="455" w:right="31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jc w:val="both"/>
        <w:ind w:right="4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Deferred Units — </w:t>
      </w:r>
      <w:r>
        <w:rPr>
          <w:rFonts w:ascii="Times New Roman" w:cs="Times New Roman" w:eastAsia="Times New Roman" w:hAnsi="Times New Roman"/>
          <w:sz w:val="18"/>
          <w:szCs w:val="18"/>
          <w:color w:val="auto"/>
        </w:rPr>
        <w:t>Recipients can elect to defer some or all of the vested RSU or PSU awards until a specified date or dates they choose.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are not invested, nor do they earn interest, but deferred amounts do earn dividend equivalents during deferral. Deferred amounts are paid out in shares of common stock at the end of the deferral period. At December 31, 2014, we had approximately 295,000 vested deferred units outstanding.</w:t>
      </w:r>
    </w:p>
    <w:p>
      <w:pPr>
        <w:spacing w:after="0" w:line="174" w:lineRule="exact"/>
        <w:rPr>
          <w:sz w:val="20"/>
          <w:szCs w:val="20"/>
          <w:color w:val="auto"/>
        </w:rPr>
      </w:pPr>
    </w:p>
    <w:p>
      <w:pPr>
        <w:ind w:right="1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Options — </w:t>
      </w:r>
      <w:r>
        <w:rPr>
          <w:rFonts w:ascii="Times New Roman" w:cs="Times New Roman" w:eastAsia="Times New Roman" w:hAnsi="Times New Roman"/>
          <w:sz w:val="18"/>
          <w:szCs w:val="18"/>
          <w:color w:val="auto"/>
        </w:rPr>
        <w:t>Stock options granted primarily vest in 25% increments on the first two anniversaries of the date of grant with the remaining 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on the third anniversary. The exercise price of the options is the average of the high and low market value of our common stock on the date of grant, and the options have a term of 10 years. A summary of our stock options is presented in the table below (options in thousands):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2014</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80" w:type="dxa"/>
            <w:vAlign w:val="bottom"/>
          </w:tcPr>
          <w:p>
            <w:pPr>
              <w:spacing w:after="0"/>
              <w:rPr>
                <w:sz w:val="18"/>
                <w:szCs w:val="18"/>
                <w:color w:val="auto"/>
              </w:rPr>
            </w:pP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(2,798)</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(597)</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2014(a)</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2014(b)</w:t>
            </w: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40" w:type="dxa"/>
            <w:vAlign w:val="bottom"/>
            <w:gridSpan w:val="2"/>
            <w:vMerge w:val="continue"/>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480" w:type="dxa"/>
            <w:vAlign w:val="bottom"/>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outstanding as of December 31, 2014 have a weighted average remaining contractual term of 7.2 years and an aggregate intrinsic value of $118 million based on the market value of our common stock on December 31, 2014.</w:t>
      </w:r>
    </w:p>
    <w:p>
      <w:pPr>
        <w:ind w:left="460" w:right="20" w:hanging="452"/>
        <w:spacing w:after="0" w:line="25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exercisable as of December 31, 2014 have a weighted average remaining contractual term of 6.2 years and an aggregate intrinsic value of $68 million based on the market value of our common stock on December 31, 2014. Stock options exercisable at December 31, 2014 have an exercise price ranging from $32.18 to $40.62.</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received cash proceeds of $93 million, $132 million and $43 million during the years ended December 31, 2014, 2013 and 2012, respectively, from employee stock option exercises. We also realized tax benefits from these stock option exercises during the years ended December 31, 2014, 2013 and 2012 of $5 million, $10 million and $5 million, respectively. These amounts have been presented as cash inflows in the “Cash flows from financing activities” section of our Consolidated Statements of Cash Flows. The aggregate intrinsic value of stock options exercised during the years ended December 31, 2014, 2013 and 2012 was $27 million, $41 million and $15 million, respectively.</w:t>
      </w:r>
    </w:p>
    <w:p>
      <w:pPr>
        <w:spacing w:after="0" w:line="184"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All unvested stock options shall become exercisable upon the award recipient’s death or disability. In the event of a recipient’s retirement, stock options shall continue to vest pursuant to the original schedule set forth in the award agreement. If the recipient is terminated by the Company without cause or voluntarily resigns, the recipient shall be entitled to exercise all stock options outstanding and exercisable within a specified time frame after such termination. All outstanding stock options, whether exercisable or not, are forfeited upon termination for cause.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account for our employee stock options under the fair value method of accounting using a Black-Scholes methodology to measure stock option expense at the date of grant. The weighted average grant-date fair value of stock options granted during the years ended December 31, 2014, 2013 and 2012 was $4.55, $4.26 and $4.66, respectively.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 The following table presents the weighted average assumptions used to value employee stock options granted during the years ended December 31 under the Black-Scholes valuation model:</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4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w:t>
            </w: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 years</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5.4 years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5.5 years</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18.4%</w:t>
            </w:r>
          </w:p>
        </w:tc>
        <w:tc>
          <w:tcPr>
            <w:tcW w:w="2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w:t>
            </w: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1.6%</w:t>
            </w:r>
          </w:p>
        </w:tc>
        <w:tc>
          <w:tcPr>
            <w:tcW w:w="2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The Company bases its expected option life on the expected exercise and termination behavior of its optionees and an appropriate model of the Company’s future stock price. The expected volatility assumption is derived from the historical volatility of the Company’s common stock over the most recent period commensurate with the estimated expected life of the Company’s stock options, combined with other relevant factors including implied volatility in market-traded options on the Company’s stock. The dividend yield is the annual rate of dividends per share over the exercise price of the option as of the grant date.</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2014, 2013 and 2012 we recognized $59 million, $54 million and $22 million, respectively, of compensation expense associated with RSU, PSU and stock option awards as a component of “Selling, general and administrative” expenses in our Consolidated Statement of Operations. Our “Provision for income taxes” for the years ended December 31, 2014, 2013 and 2012 includes related deferred income tax benefits of $23 million, $21 million and $9 million, respectively. We have not capitalized any equity-based compensation costs during the years ended December 31, 2014, 2013 and 2012.</w:t>
      </w:r>
    </w:p>
    <w:p>
      <w:pPr>
        <w:spacing w:after="0" w:line="184"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Compensation expense recognized in 2014 increased when compared to 2013, in part due to the increase in expected payout of our PSUs. Compensation expense recognized in 2013 increased when compared to 2012, in part due to the payout of PSUs granted in 2010, which was approved in 2013. Expense associated with these awards had been reversed in 2012 when it no longer appeared probable that threshold performance would be achieved. As of December 31, 2014 we estimate that a total of approximately $46 million of currently unrecognized compensation expense will be recognized over a weighted average period of 1.4 years for unvested RSU, PSU and stock option awards issued and outstanding.</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Plan</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Our non-employee directors currently receive annual grants of shares of our common stock, generally payable in two equal installments, under the Incentive Plans described above.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240" w:top="455" w:right="3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Basic and diluted earnings per share were computed using the following common share data (shares in millions):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23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year-end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462.6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465.6</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Potentially issuable shares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anti-dilutive potentially issuable shares excluded from diluted common shares outstanding</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Fair Value Measurements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Accounted for at Fair Value</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in an orderly transaction between market participants at the measurement date. When measuring assets and liabilities that are required to be recorded at fair value, the Company considers the principal or most advantageous market in which the Company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17" w:lineRule="exact"/>
        <w:rPr>
          <w:sz w:val="20"/>
          <w:szCs w:val="20"/>
          <w:color w:val="auto"/>
        </w:rPr>
      </w:pPr>
    </w:p>
    <w:p>
      <w:pPr>
        <w:jc w:val="both"/>
        <w:ind w:lef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 inactive markets, or other inputs that are observable or can be corroborated by observable market data for substantially the full term of the assets or liabilities.</w:t>
      </w:r>
    </w:p>
    <w:p>
      <w:pPr>
        <w:spacing w:after="0" w:line="65" w:lineRule="exact"/>
        <w:rPr>
          <w:sz w:val="20"/>
          <w:szCs w:val="20"/>
          <w:color w:val="auto"/>
        </w:rPr>
      </w:pPr>
    </w:p>
    <w:p>
      <w:pPr>
        <w:ind w:left="460"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00"/>
          </w:cols>
          <w:pgMar w:left="240" w:top="455" w:right="2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 Our assets and liabilities that are measured at fair value on a recurring basis include the following (in millions):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December 31, 2014 Using</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540" w:type="dxa"/>
            <w:vAlign w:val="bottom"/>
          </w:tcPr>
          <w:p>
            <w:pPr>
              <w:spacing w:after="0"/>
              <w:rPr>
                <w:sz w:val="10"/>
                <w:szCs w:val="10"/>
                <w:color w:val="auto"/>
              </w:rPr>
            </w:pPr>
          </w:p>
        </w:tc>
        <w:tc>
          <w:tcPr>
            <w:tcW w:w="1420" w:type="dxa"/>
            <w:vAlign w:val="bottom"/>
            <w:gridSpan w:val="3"/>
          </w:tcPr>
          <w:p>
            <w:pPr>
              <w:jc w:val="center"/>
              <w:ind w:right="70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540" w:type="dxa"/>
            <w:vAlign w:val="bottom"/>
          </w:tcPr>
          <w:p>
            <w:pPr>
              <w:spacing w:after="0"/>
              <w:rPr>
                <w:sz w:val="12"/>
                <w:szCs w:val="12"/>
                <w:color w:val="auto"/>
              </w:rPr>
            </w:pPr>
          </w:p>
        </w:tc>
        <w:tc>
          <w:tcPr>
            <w:tcW w:w="1420" w:type="dxa"/>
            <w:vAlign w:val="bottom"/>
            <w:gridSpan w:val="3"/>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$1,335</w:t>
            </w:r>
          </w:p>
        </w:tc>
        <w:tc>
          <w:tcPr>
            <w:tcW w:w="14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$ 1,335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Fixed-income securities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6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1,445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$ 1,335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gridSpan w:val="4"/>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December 31, 2013 Using</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560" w:type="dxa"/>
            <w:vAlign w:val="bottom"/>
          </w:tcPr>
          <w:p>
            <w:pPr>
              <w:spacing w:after="0"/>
              <w:rPr>
                <w:sz w:val="10"/>
                <w:szCs w:val="10"/>
                <w:color w:val="auto"/>
              </w:rPr>
            </w:pPr>
          </w:p>
        </w:tc>
        <w:tc>
          <w:tcPr>
            <w:tcW w:w="1440" w:type="dxa"/>
            <w:vAlign w:val="bottom"/>
            <w:gridSpan w:val="3"/>
          </w:tcPr>
          <w:p>
            <w:pPr>
              <w:jc w:val="center"/>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56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6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99</w:t>
            </w: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Fixed-income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99</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Electricity commodity derivatives(a)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160" w:hanging="452"/>
        <w:spacing w:after="0" w:line="282"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electricity commodity derivatives were associated with our Wheelabrator business and were divested in conjunction with the sale of that business in December 2014.</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Money Market Funds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invest portions of our “Cash and cash equivalents” and restricted trust and escrow account balances in money market funds. We measure the fair value of these investments using quoted prices in active markets for identical assets. The fair value of our money market funds approximates our cost basis in the investments. The increase in the fair value at December 31, 2014 compared to December 31, 2013 is primarily attributable to cash proceeds received from the sale of our Wheelabrator business.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20"/>
          </w:cols>
          <w:pgMar w:left="240" w:top="455" w:right="23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Fixed-Income Securities</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invest a portion of our restricted trust and escrow balances in fixed-income securities, including U.S. Treasury securities, U.S. agency securities, municipal securities and mortgage- and asset-backed securities. We measure the fair value of these securities using quoted prices for identical or similar assets in inactive markets. The fair value of our fixed-income securities approximates our cost basis in these investments.</w:t>
      </w:r>
    </w:p>
    <w:p>
      <w:pPr>
        <w:spacing w:after="0" w:line="28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Redeemable Preferred Stock</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In 2011, we made a noncontrolling investment in redeemable preferred stock of an unconsolidated entity. The fair value of this investment increased by $4 million during 2014 due to an increase in the price per share established in a recent stock issuance. In addition, we received $15 million of redeemable preferred stock in conjunction with the sale of our Puerto Rico operations and certain other collection and landfill assets in the second quarter of 2014, as discussed in Note 19.</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Such preferred stock is included in “Investments in unconsolidated entities” in our Consolidated Balance Sheet. The fair values of these investments have been measured based on third-party investors’ recent or pending transactions in these securities, which are considered the best evidence of fair value currently available. When this evidence is not available, we use other valuation techniques as appropriate and available. These valuation methodologies may include transactions in similar instruments, discounted cash flow techniques, third-party appraisals or industry multiples and public comparables.</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Foreign Currency Derivatives</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foreign currency derivatives are valued using a third-party pricing model that incorporates information about forward Canadian dollar rates, or observable market data, as of the reporting date. The third-party pricing model used to value our foreign currency derivatives also incorporates Company and counterparty credit valuation adjustments, as appropriate. Counterparties to these contracts are financial institutions who participate in our $2.25 billion revolving credit facility. Valuations may fluctuate significantly from period-to-period due to volatility in the Canadian dollar to U.S. dollar exchange rate.</w:t>
      </w:r>
    </w:p>
    <w:p>
      <w:pPr>
        <w:spacing w:after="0" w:line="2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color w:val="auto"/>
        </w:rPr>
        <w:t>As of December 31, 2013, we were party to forward-starting interest rate swaps that were designated as cash flow hedges of anticipated interest payments for future fixed-rate debt issuances. Our forward-starting interest rate swaps were LIBOR-based instruments. Accordingly, these derivatives were valued using a third-party pricing model that incorporated information about LIBOR yield curves, which is considered observable market data, for each instrument’s respective term. The third-party pricing model used to value our interest rate derivatives also incorporated Company and counterparty credit valuation adjustments, as appropriate. Counterparties to our interest rate contracts are financial institutions who participate in our $2.25 billion revolving credit facility. During the first quarter of 2014, our forward-starting interest rate swaps matured.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 to Notes 8 and 14 for additional information regarding our derivative instruments discussed above.</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December 31, 2014 the carrying value of our debt was approximately $9.4 billion compared with approximately $10.2 billion at December 31,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our debt includes adjustments associated with fair value hedge accounting related to our interest rate swaps as discussed in Note 8.</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20"/>
          </w:cols>
          <w:pgMar w:left="240" w:top="455" w:right="23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estimated fair value of our debt was approximately $10.6 billion at December 31, 2014 and approximately $11.0 billion at December 31, 2013. The estimated fair value of our senior notes is based on quoted market prices. The carrying value of remarketable debt and borrowings under our revolving credit facilities approximates fair value due to the short-term nature of the interest rates. The fair value of our other debt is estimated using discounted cash flow analysis, based on current market rates for similar types of instruments. The decrease in the fair value of our debt when comparing December 31, 2014 with December 31, 2013 is primarily related to $751 million of net repayments during 2014, partially offset by increases in the fair value attributable to an increase in market prices for fixed-rate corporate debt securities as a result of recent decreases in long-term interest rates.</w:t>
      </w:r>
    </w:p>
    <w:p>
      <w:pPr>
        <w:spacing w:after="0" w:line="188"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Level 2 inputs of the fair value hierarchy available as of December 31, 2014 and 2013. These amounts have not been revalued since those dates, and current estimates of fair value could differ significantly from the amounts presented.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Acquisitions and Divestitures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Pending Acquisition</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September 17, 2014, the Company signed a definitive agreement to acquire the outstanding stock of Deffenbaugh Disposal, Inc., one of the largest privately owned collection and disposal firms in the Midwest. Closing of the acquisition is expected to occur in early 2015, subject to the receipt of regulatory approvals and the satisfaction of customary closing conditions.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 Year Acquisitions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continue to pursue the acquisition of businesses that are accretive to our Solid Waste business and enhance and expand our existing service offerings. During the year ended December 31, 2014, we acquired 15 businesses related to our Solid Waste business. Total consideration, net of cash acquired, for all acquisitions was $32 million, which included $26 million in cash paid in 2014 and a liability for contingent consideration with a preliminary estimated fair value of $6 million. The contingent consideration is primarily based on achievement by the acquired businesses of certain negotiated goals, which generally include targeted revenues. Our estimated maximum obligations for the contingent cash payments were $6 million at the dates of acquisition. As of December 31, 2014, we had paid $4 million of this contingent consideration. In 2014, we also paid $5 million of contingent consideration associated with acquisitions completed prior to 2014.</w:t>
      </w:r>
    </w:p>
    <w:p>
      <w:pPr>
        <w:spacing w:after="0" w:line="189" w:lineRule="exact"/>
        <w:rPr>
          <w:sz w:val="20"/>
          <w:szCs w:val="20"/>
          <w:color w:val="auto"/>
        </w:rPr>
      </w:pPr>
    </w:p>
    <w:p>
      <w:pPr>
        <w:jc w:val="both"/>
        <w:ind w:right="360" w:firstLine="456"/>
        <w:spacing w:after="0" w:line="261" w:lineRule="auto"/>
        <w:rPr>
          <w:sz w:val="20"/>
          <w:szCs w:val="20"/>
          <w:color w:val="auto"/>
        </w:rPr>
      </w:pPr>
      <w:r>
        <w:rPr>
          <w:rFonts w:ascii="Times New Roman" w:cs="Times New Roman" w:eastAsia="Times New Roman" w:hAnsi="Times New Roman"/>
          <w:sz w:val="18"/>
          <w:szCs w:val="18"/>
          <w:color w:val="auto"/>
        </w:rPr>
        <w:t>The allocation of purchase price for 2014 acquisitions was primarily to “Property and equipment,” which had an estimated fair value of $6 million; “Other intangible assets,” which had an estimated fair value of $9 million; and “Goodwill” of $17 million. Other intangible assets included $7 million of customer and supplier relationships and $2 million of covenants not-to-compete. Goodwill is primarily a result of expected synergies from combining the acquired businesses with our existing operations and is tax deductible.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Prior Year Acquisitions</w:t>
      </w:r>
    </w:p>
    <w:p>
      <w:pPr>
        <w:spacing w:after="0" w:line="121"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we acquired Greenstar and substantially all of the assets of RCI, which are discussed further below. Additionally, we acquired 14 other businesses primarily related to our Solid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Waste business and energy services operations. Total consideration, inclusive of $7 million for estimated working capital, for all acquisitions was $772 million, which included $714 million in cash paid in 2013, debt of $22 million and a liability for contingent consideration with an estimated fair value of $29 million. The contingent consideration is primarily based on changes in certain recycling commodity indexes and, to a lesser extent, contingent upon achievement by the acquired businesses of certain negotiated goals, which generally include targeted revenues. Our estimated maximum obligations for the contingent cash payments were $33 million at the dates of acquisition. As of December 31, 2013, we had paid $4 million of this contingent consideration. In 2013, we also paid $6 million of contingent consideration associated with acquisitions completed prior to 2013.</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allocation of purchase price for 2013 acquisitions was primarily to “Property and equipment,” which had an estimated fair value of $195 million; “Other intangible assets,” which had an estimated fair value of $232 million; and “Goodwill” of $327 million. Other intangible assets included $218 million of customer and supplier relationships, $5 million of covenants not-to-compete and $9 million of other intangible assets. Goodwill is primarily a result of expected synergies from combining the acquired businesses with our existing operations and is generally tax deductible.</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 of Greenstar, LLC</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January 31, 2013, we paid $170 million inclusive of certain adjustments, to acquire Greenstar. Pursuant to the sale and purchase agreement, up to an additional $40 million is payable to the sellers during the period from 2014 to 2018, of which $20 million is guaranteed. The remaining $20 million of this consideration is contingent based on changes in certain recyclable commodity indexes and had an estimated fair value at closing of $16 million. Greenstar was an operator of recycling and resource recovery facilities. This acquisition provides the Company’s customers with greater access to recycling solutions, having supplemented our extensive nationwide recycling network with the operations of one of the nation’s largest private recyclers.</w:t>
      </w:r>
    </w:p>
    <w:p>
      <w:pPr>
        <w:spacing w:after="0" w:line="184"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Goodwill of $122 million was calculated as the excess of the consideration paid over the net assets recognized and represents the future economic benefits expected to arise from other assets acquired that could not be individually identified and separately recognized. Goodwill has been assigned predominantly to our Areas and, to a lesser extent, our recycling brokerage services, as they are expected to benefit from the synergies of the combination. Goodwill related to this acquisition is deductible for income tax purposes. There have been no material adjustments to the purchase price allocation since the date of acquisition.</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Acquisition of RCI Environnement, Inc.</w:t>
      </w:r>
    </w:p>
    <w:p>
      <w:pPr>
        <w:spacing w:after="0" w:line="11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On July 5, 2013, we paid C$509 million, or $481 million, to acquire substantially all of the assets of RCI, the largest waste management company in Quebec, and certain related entities. Total consideration, inclusive of amounts for estimated working capital, was C$515 million, or $487 million. RCI provides collection, transfer, recycling and disposal operations throughout the Greater Montreal area. The acquired RCI operations complement and expand the Company’s existing assets and operations in Quebec.</w:t>
      </w:r>
    </w:p>
    <w:p>
      <w:pPr>
        <w:spacing w:after="0" w:line="180"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Goodwill of $191 million was calculated as the excess of the consideration paid over the net assets recognized and represents the future economic benefits expected to arise from other assets acquired that could not be individually identified and separately recognized. Goodwill has been assigned to our Eastern Canada Area as it is expected to benefit from the synergies of the combination. A portion of goodwill related to this acquisition is deductible for income tax purposes in accordance with Canadian tax law. There have been no material adjustments to the purchase price allocation since the date of acquisition.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00"/>
          </w:cols>
          <w:pgMar w:left="240" w:top="455" w:right="25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final allocations of the purchase price for the Greenstar and RCI acquisitions (in millions):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6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Greenstar</w:t>
            </w:r>
          </w:p>
        </w:tc>
        <w:tc>
          <w:tcPr>
            <w:tcW w:w="340" w:type="dxa"/>
            <w:vAlign w:val="bottom"/>
          </w:tcPr>
          <w:p>
            <w:pPr>
              <w:spacing w:after="0"/>
              <w:rPr>
                <w:sz w:val="15"/>
                <w:szCs w:val="15"/>
                <w:color w:val="auto"/>
              </w:rPr>
            </w:pP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RCI</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Parts and supplies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117</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191</w:t>
            </w:r>
          </w:p>
        </w:tc>
        <w:tc>
          <w:tcPr>
            <w:tcW w:w="1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169</w:t>
            </w:r>
          </w:p>
        </w:tc>
        <w:tc>
          <w:tcPr>
            <w:tcW w:w="12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Landfill and environmental remediation liabilities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18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487</w:t>
            </w:r>
          </w:p>
        </w:tc>
        <w:tc>
          <w:tcPr>
            <w:tcW w:w="12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final allocations of the purchase price to intangible assets (amounts in millions, except for amortization periods):</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Greenstar</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gridSpan w:val="3"/>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RCI</w:t>
            </w:r>
          </w:p>
        </w:tc>
        <w:tc>
          <w:tcPr>
            <w:tcW w:w="0" w:type="dxa"/>
            <w:vAlign w:val="bottom"/>
          </w:tcPr>
          <w:p>
            <w:pPr>
              <w:spacing w:after="0"/>
              <w:rPr>
                <w:sz w:val="1"/>
                <w:szCs w:val="1"/>
                <w:color w:val="auto"/>
              </w:rPr>
            </w:pPr>
          </w:p>
        </w:tc>
      </w:tr>
      <w:tr>
        <w:trPr>
          <w:trHeight w:val="117"/>
        </w:trPr>
        <w:tc>
          <w:tcPr>
            <w:tcW w:w="4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Pr>
          <w:p>
            <w:pPr>
              <w:spacing w:after="0"/>
              <w:rPr>
                <w:sz w:val="12"/>
                <w:szCs w:val="12"/>
                <w:color w:val="auto"/>
              </w:rPr>
            </w:pPr>
          </w:p>
        </w:tc>
        <w:tc>
          <w:tcPr>
            <w:tcW w:w="156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42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40" w:type="dxa"/>
            <w:vAlign w:val="bottom"/>
          </w:tcPr>
          <w:p>
            <w:pPr>
              <w:spacing w:after="0"/>
              <w:rPr>
                <w:sz w:val="12"/>
                <w:szCs w:val="12"/>
                <w:color w:val="auto"/>
              </w:rPr>
            </w:pPr>
          </w:p>
        </w:tc>
        <w:tc>
          <w:tcPr>
            <w:tcW w:w="12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Periods</w:t>
            </w: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4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Lease agreements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2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162</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7</w:t>
            </w:r>
          </w:p>
        </w:tc>
        <w:tc>
          <w:tcPr>
            <w:tcW w:w="300" w:type="dxa"/>
            <w:vAlign w:val="bottom"/>
          </w:tcPr>
          <w:p>
            <w:pPr>
              <w:spacing w:after="0"/>
              <w:rPr>
                <w:sz w:val="19"/>
                <w:szCs w:val="19"/>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6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22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169</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 Forma Consolidated Results of Operations</w:t>
      </w:r>
    </w:p>
    <w:p>
      <w:pPr>
        <w:spacing w:after="0" w:line="11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following pro forma consolidated results of operations have been prepared as if the acquisitions of RCI and Greenstar occurred at January 1, 2012 (in millions, except per share amounts):</w:t>
      </w:r>
    </w:p>
    <w:p>
      <w:pPr>
        <w:spacing w:after="0" w:line="182"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8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8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$14,085</w:t>
            </w: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8"/>
                <w:szCs w:val="18"/>
                <w:color w:val="auto"/>
              </w:rPr>
            </w:pPr>
          </w:p>
        </w:tc>
      </w:t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r>
      <w:tr>
        <w:trPr>
          <w:trHeight w:val="346"/>
        </w:trPr>
        <w:tc>
          <w:tcPr>
            <w:tcW w:w="3960" w:type="dxa"/>
            <w:vAlign w:val="bottom"/>
          </w:tcPr>
          <w:p>
            <w:pPr>
              <w:spacing w:after="0"/>
              <w:rPr>
                <w:sz w:val="24"/>
                <w:szCs w:val="24"/>
                <w:color w:val="auto"/>
              </w:rPr>
            </w:pPr>
          </w:p>
        </w:tc>
        <w:tc>
          <w:tcPr>
            <w:tcW w:w="282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5"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2012, we paid $94 million for interests in oil and gas producing properties through two transactions. The purchase price was allocated primarily to “Property and equipment.” Additionally, we acquired 32 other businesses related to our Solid Waste business. Total consideration, net of cash acquired, for all acquisitions was $244 million, which included $207 million in cash paid in 2012, deposits paid during 2011 for acquisitions completed in 2012 of $7 million, a liability for additional cash payments with a preliminary estimated fair value of $22 million, and assumed liabilities of $8 million. The additional cash payments are contingent upon achievement by the acquired businesses of certain negotiated goals, which generally include targeted revenues. At the dates of acquisition, our estimated maximum obligations for the contingent cash payments were $57 million. As of December 31, 2012, we had paid $9 million of this contingent consideration. In 2012, we also paid $34 million of contingent consideration associated with acquisitions completed prior to 2012.</w:t>
      </w:r>
    </w:p>
    <w:p>
      <w:pPr>
        <w:spacing w:after="0" w:line="189"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allocation of purchase price for 2012 acquisitions was primarily to “Property and equipment,” which had an estimated fair value of $126 million; “Other intangible assets,” which had an estimated fair value of $43 million; and “Goodwill” of $69 million. Other intangible assets included $34 million of customer contracts and customer relationships and $9 million of covenants not-to-compete. Goodwill is primarily a result of expected synergies from combining the acquired businesses with our existing operations and is tax deductible.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Current Year Divestitures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aggregate sales price for divestitures of operations was $2.09 billion in 2014, primarily related to (i) the sale of our Wheelabrator business in December 2014; (ii) the sale of certain landfill and collection operations in our Eastern Canada Area in the third quarter of 2014 and (iii) the sale of our Puerto Rico operations and certain other collection and landfill assets in the second quarter of 2014, as discussed further below. We recognized net gains on these divestitures of $515 million in 2014. These divestitures were made as part of our initiative to improve or divest certain non-strategic or underperforming operations. The remaining amounts reported in the Consolidated Statement of Cash Flows generally relate to the sale of fixed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Divestiture of Wheelabrator Business</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December 19, 2014, we sold our Wheelabrator business to an affiliate of Energy Capital Partners and received cash proceeds of $1.95 billion, net of cash divested, subject to certain post-closing adjustments. We recognized a gain of $519 million on this sale which is included within “(Income) expense from divestitures, asset impairments (other than goodwill) and unusual items” in the Consolidated Statement of Operations. In conjunction with the sale, the Company entered into several agreements to dispose of a minimum number of tons of waste at certain Wheelabrator facilities. These agreements generally provide for fixed volume commitments, with certain market price resets, for up to seven years.</w:t>
      </w:r>
    </w:p>
    <w:p>
      <w:pPr>
        <w:spacing w:after="0" w:line="184"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Our Wheelabrator business met the criteria to be classified as held-for-sale and was classified as “Businesses held-for-sale” within our Condensed Consolidated Balance Sheet at September 30, 2014.</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Wheelabrator provides waste-to-energy services and manages waste-to-energy facilities and independent power production plants. Wheelabrator owns or operates 16 waste-to-energy facilities and four independent power production plants. Prior to the sale, our Wheelabrator business constituted a reportable segment, as discussed in Note 21. We concluded that the sale of our Wheelabrator business did not qualify for discontinued operations accounting under current authoritative guidance based on our significant continuing obligations under the long-term waste supply agreements referred to above and in Note 11.</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carrying amounts of our Wheelabrator business as of December 19, 2014 (in millions):</w:t>
      </w:r>
    </w:p>
    <w:p>
      <w:pPr>
        <w:sectPr>
          <w:pgSz w:w="11900" w:h="16838" w:orient="portrait"/>
          <w:cols w:equalWidth="0" w:num="1">
            <w:col w:w="11400"/>
          </w:cols>
          <w:pgMar w:left="240" w:top="455" w:right="259" w:bottom="1440" w:gutter="0" w:footer="0" w:header="0"/>
        </w:sectPr>
      </w:pPr>
    </w:p>
    <w:p>
      <w:pPr>
        <w:spacing w:after="0" w:line="2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Parts and supplies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Other assets</w:t>
      </w:r>
    </w:p>
    <w:p>
      <w:pPr>
        <w:spacing w:after="0" w:line="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Other intangible assets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200"/>
        <w:spacing w:after="0"/>
        <w:rPr>
          <w:sz w:val="20"/>
          <w:szCs w:val="20"/>
          <w:color w:val="auto"/>
        </w:rPr>
      </w:pPr>
      <w:r>
        <w:rPr>
          <w:rFonts w:ascii="Times New Roman" w:cs="Times New Roman" w:eastAsia="Times New Roman" w:hAnsi="Times New Roman"/>
          <w:sz w:val="18"/>
          <w:szCs w:val="18"/>
          <w:color w:val="auto"/>
        </w:rPr>
        <w:t>Total assets</w:t>
      </w:r>
    </w:p>
    <w:p>
      <w:pPr>
        <w:spacing w:after="0" w:line="63"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Accrued liabilities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Current portion of long-term debt</w:t>
      </w:r>
    </w:p>
    <w:p>
      <w:pPr>
        <w:spacing w:after="0" w:line="1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Long-term debt, less current portion</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7"/>
          <w:szCs w:val="17"/>
          <w:color w:val="auto"/>
        </w:rPr>
        <w:t>Landfill and environmental remediation liabilities</w:t>
      </w:r>
    </w:p>
    <w:p>
      <w:pPr>
        <w:spacing w:after="0" w:line="2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24" w:hanging="324"/>
        <w:spacing w:after="0"/>
        <w:tabs>
          <w:tab w:leader="none" w:pos="32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pacing w:after="0" w:line="27"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9" w:lineRule="exact"/>
        <w:rPr>
          <w:rFonts w:ascii="Times New Roman" w:cs="Times New Roman" w:eastAsia="Times New Roman" w:hAnsi="Times New Roman"/>
          <w:sz w:val="18"/>
          <w:szCs w:val="18"/>
          <w:color w:val="auto"/>
        </w:rPr>
      </w:pPr>
    </w:p>
    <w:p>
      <w:pPr>
        <w:ind w:left="4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17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jc w:val="right"/>
        <w:ind w:right="1900"/>
        <w:spacing w:after="0"/>
        <w:rPr>
          <w:sz w:val="20"/>
          <w:szCs w:val="20"/>
          <w:color w:val="auto"/>
        </w:rPr>
      </w:pPr>
      <w:r>
        <w:rPr>
          <w:rFonts w:ascii="Times New Roman" w:cs="Times New Roman" w:eastAsia="Times New Roman" w:hAnsi="Times New Roman"/>
          <w:sz w:val="18"/>
          <w:szCs w:val="18"/>
          <w:color w:val="auto"/>
        </w:rPr>
        <w:t>168</w:t>
      </w:r>
    </w:p>
    <w:p>
      <w:pPr>
        <w:spacing w:after="0" w:line="27"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1,155</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305</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3</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17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u w:val="single" w:color="auto"/>
          <w:color w:val="auto"/>
        </w:rPr>
        <w:t>$1,846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317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43" w:lineRule="exact"/>
        <w:rPr>
          <w:sz w:val="20"/>
          <w:szCs w:val="20"/>
          <w:color w:val="auto"/>
        </w:rPr>
      </w:pPr>
    </w:p>
    <w:p>
      <w:pPr>
        <w:ind w:left="324" w:hanging="324"/>
        <w:spacing w:after="0"/>
        <w:tabs>
          <w:tab w:leader="none" w:pos="3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7"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9" w:lineRule="exact"/>
        <w:rPr>
          <w:rFonts w:ascii="Times New Roman" w:cs="Times New Roman" w:eastAsia="Times New Roman" w:hAnsi="Times New Roman"/>
          <w:sz w:val="18"/>
          <w:szCs w:val="18"/>
          <w:color w:val="auto"/>
        </w:rPr>
      </w:pPr>
    </w:p>
    <w:p>
      <w:pPr>
        <w:ind w:left="4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9" w:lineRule="exact"/>
        <w:rPr>
          <w:rFonts w:ascii="Times New Roman" w:cs="Times New Roman" w:eastAsia="Times New Roman" w:hAnsi="Times New Roman"/>
          <w:sz w:val="18"/>
          <w:szCs w:val="18"/>
          <w:color w:val="auto"/>
        </w:rPr>
      </w:pPr>
    </w:p>
    <w:p>
      <w:pPr>
        <w:ind w:left="40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17"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-136525</wp:posOffset>
            </wp:positionV>
            <wp:extent cx="317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7"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14</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344</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18</w:t>
      </w:r>
    </w:p>
    <w:p>
      <w:pPr>
        <w:spacing w:after="0" w:line="9" w:lineRule="exact"/>
        <w:rPr>
          <w:sz w:val="20"/>
          <w:szCs w:val="20"/>
          <w:color w:val="auto"/>
        </w:rPr>
      </w:pPr>
    </w:p>
    <w:p>
      <w:pPr>
        <w:jc w:val="right"/>
        <w:ind w:right="190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sectPr>
          <w:pgSz w:w="11900" w:h="16838" w:orient="portrait"/>
          <w:cols w:equalWidth="0" w:num="2">
            <w:col w:w="8276" w:space="720"/>
            <w:col w:w="2404"/>
          </w:cols>
          <w:pgMar w:left="240" w:top="455" w:right="259" w:bottom="1440" w:gutter="0" w:footer="0" w:header="0"/>
          <w:type w:val="continuous"/>
        </w:sectPr>
      </w:pPr>
    </w:p>
    <w:tbl>
      <w:tblPr>
        <w:tblLayout w:type="fixed"/>
        <w:tblInd w:w="1840" w:type="dxa"/>
        <w:tblCellMar>
          <w:top w:w="0" w:type="dxa"/>
          <w:left w:w="0" w:type="dxa"/>
          <w:bottom w:w="0" w:type="dxa"/>
          <w:right w:w="0" w:type="dxa"/>
        </w:tblCellMar>
      </w:tblPr>
      <w:tr>
        <w:trPr>
          <w:trHeight w:val="223"/>
        </w:trPr>
        <w:tc>
          <w:tcPr>
            <w:tcW w:w="7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Divestitures</w:t>
      </w:r>
    </w:p>
    <w:p>
      <w:pPr>
        <w:spacing w:after="0" w:line="11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the second quarter of 2014, we sold our Puerto Rico operations and certain other collection and landfill assets which were included in Tier 3 and Tier 1, respectively, of our Solid Waste business. We received proceeds from the sale of $80 million, consisting of $65 million of cash and $15 million of preferred stock and recognized a loss on the sale of $25 million.</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In the third quarter of 2014, we sold certain landfill and collection operations in our Eastern Canada Area, which were included in Tier 3. We received cash proceeds from the sale of $39 million and recognized a gain of $18 million.</w:t>
      </w:r>
    </w:p>
    <w:p>
      <w:pPr>
        <w:spacing w:after="0" w:line="162"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gain or loss on these divestitures is included within “(Income) expense from divestitures, asset impairments (other than goodwill) and unusual items” in the Consolidated Statement of Operations. The remaining proceeds from divestitures in 2014 were comprised substantially of cash.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Prior Year Divestitures</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aggregate sales price for divestitures of operations was $70 million in 2013 and $7 million in 2012 and proceeds from these divestitures were comprised substantially of cash. We recognized net gains on these divestitures of $8 million and less than $1 million in 2013, and 2012, respectively. These divestitures were made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400"/>
          </w:cols>
          <w:pgMar w:left="240" w:top="455" w:right="259" w:bottom="1440" w:gutter="0" w:footer="0" w:header="0"/>
          <w:type w:val="continuous"/>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part of our initiative to improve or divest certain non-strategic or underperforming operations. The remaining amounts reported in the Consolidated Statement of Cash Flows generally relate to the sale of fixed assets.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Variable Interest Entities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(ii) those that represent a significant interest in an unconsolidated entity and (iii) trusts for final capping, closure, post-closure or environmental remediation obligations for both consolidated and unconsolidated variable interest entities.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Consolidated Variable Interest Entities</w:t>
      </w:r>
    </w:p>
    <w:p>
      <w:pPr>
        <w:spacing w:after="0" w:line="119"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Waste-to-Energy LLCs </w:t>
      </w:r>
      <w:r>
        <w:rPr>
          <w:rFonts w:ascii="Times New Roman" w:cs="Times New Roman" w:eastAsia="Times New Roman" w:hAnsi="Times New Roman"/>
          <w:sz w:val="18"/>
          <w:szCs w:val="18"/>
          <w:color w:val="auto"/>
        </w:rPr>
        <w:t>— In June 2000, two limited liability companies were established to purchase interests in existing leveraged lease financings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waste-to-energy facilities that we leased, operated and maintained. Prior to the acquisitions of the noncontrolling interests, we owned a 0.5% interest in one of the LLCs (“LLC I”) and a 0.25% interest in the second LLC (“LLC II”). John Hancock Life Insurance Company (“Hancock”) owned 99.5% of LLC I and 99.75% of LLC II was owned by LLC I and the CIT Group (“CIT”).</w:t>
      </w:r>
    </w:p>
    <w:p>
      <w:pPr>
        <w:spacing w:after="0" w:line="182" w:lineRule="exact"/>
        <w:rPr>
          <w:sz w:val="20"/>
          <w:szCs w:val="20"/>
          <w:color w:val="auto"/>
        </w:rPr>
      </w:pPr>
    </w:p>
    <w:p>
      <w:pPr>
        <w:jc w:val="both"/>
        <w:ind w:right="500" w:firstLine="456"/>
        <w:spacing w:after="0" w:line="282" w:lineRule="auto"/>
        <w:rPr>
          <w:sz w:val="20"/>
          <w:szCs w:val="20"/>
          <w:color w:val="auto"/>
        </w:rPr>
      </w:pPr>
      <w:r>
        <w:rPr>
          <w:rFonts w:ascii="Times New Roman" w:cs="Times New Roman" w:eastAsia="Times New Roman" w:hAnsi="Times New Roman"/>
          <w:sz w:val="18"/>
          <w:szCs w:val="18"/>
          <w:color w:val="auto"/>
        </w:rPr>
        <w:t>In December 2014, we purchased the noncontrolling interests in the LLCs from Hancock and CIT in anticipation of our sale of our Wheelabrator business. The LLCs were then subsequently sold as part of the divestment. See Note 19 for further discussion of the sale of our Wheelabrator business.</w:t>
      </w:r>
    </w:p>
    <w:p>
      <w:pPr>
        <w:spacing w:after="0" w:line="162"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Prior to the acquisitions of the noncontrolling interests, we had determined that we were the primary beneficiary of the LLCs and consolidated these entities in our Consolidated Financial Statements because (i) all of the equity owners of the LLCs were considered related parties for purposes of applying this accounting guidance; (ii) the equity owners shared power over the significant activities of the LLCs and (iii) we were the entity within the related party group whose activities were most closely associated with the LLCs.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2013, our Consolidated Balance Sheets included $284 million of net property and equipment associated with the LLCs’ waste-to-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energy facilities and $239 million in noncontrolling interests associated with Hancock’s and CIT’s interests in the LLCs. During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2013 and 2012, we recognized reductions in earnings of $39 million, $43 million and $45 million, respectively, for Hancock’s and CIT’s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in the LLCs’ earnings, which are included in our consolidated net income. The LLCs’ earnings related to the rental income generated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leasing the facilities to our subsidiaries, reduced by depreciation expense. The LLCs’ rental income is eliminated in WM’s consolidation.</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Significant Unconsolidated Variable Interest Entities</w:t>
      </w:r>
    </w:p>
    <w:p>
      <w:pPr>
        <w:spacing w:after="0" w:line="11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Investment in U.K. Waste-to-Energy and Recycling Entity — </w:t>
      </w:r>
      <w:r>
        <w:rPr>
          <w:rFonts w:ascii="Times New Roman" w:cs="Times New Roman" w:eastAsia="Times New Roman" w:hAnsi="Times New Roman"/>
          <w:sz w:val="18"/>
          <w:szCs w:val="18"/>
          <w:color w:val="auto"/>
        </w:rPr>
        <w:t>In the first quarter of 2012, we formed a U.K. joint venture (the “JV”), together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waste management company (“Partner”), to develop, construct, operate and maintain a waste-to-energy and recycling facility in England. We owned a 50% interest in the JV. We determined that we were not the primary beneficiary of the JV, as all major decisions of the JV require either majority vote or unanimous consent of the directors (who were appointed in equal numbers by us and our Partner) or unanimous consent of the two shareholders of the JV. As such, our Partner shared equally in the power to direct the activities of the JV that most significantly impacted its economic performance. Accordingly, we accounted for this investment under the equity method of accounting and did not consolidate this entity.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Following delays in obtaining planning approval, the Norfolk County Council (the “Council”), which had awarded the project to the JV, held a special meeting on April 7, 2014 and voted to terminate the project agreement with the JV. The JV then exercised its right to accelerate the effective date of the project agreement’s termination to May 16, 2014. The Council subsequently reimbursed project development costs and losses incurred on certain foreign currency and interest rate derivatives as determined under the project agreement. Our portion of the loss recognized by the JV for unreimbursed costs was not material and was reflected in our “Equity in net losses of unconsolidated entities.”</w:t>
      </w:r>
    </w:p>
    <w:p>
      <w:pPr>
        <w:spacing w:after="0" w:line="18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Investment in Refined Coal Facility </w:t>
      </w:r>
      <w:r>
        <w:rPr>
          <w:rFonts w:ascii="Times New Roman" w:cs="Times New Roman" w:eastAsia="Times New Roman" w:hAnsi="Times New Roman"/>
          <w:sz w:val="18"/>
          <w:szCs w:val="18"/>
          <w:color w:val="auto"/>
        </w:rPr>
        <w:t>— In 2011, we acquired a noncontrolling interest in a limited liability company established to invest in and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refined coal facility. Along with the other equity investor, we support the operations of the entity in exchange for a pro-rata share of the tax credits it generates. Our initial consideration for this investment consisted of a cash payment of $48 million. At December 31, 2014 and 2013, our investment balance was $32 million and $27 million, respectively, representing our current maximum pre-tax exposure to loss. Under the terms and conditions of the transaction, we do not believe that we have any material exposure to loss. Required capital contributions commenced in the first quarter of 2013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189" w:lineRule="exact"/>
        <w:rPr>
          <w:sz w:val="20"/>
          <w:szCs w:val="20"/>
          <w:color w:val="auto"/>
        </w:rPr>
      </w:pPr>
    </w:p>
    <w:p>
      <w:pPr>
        <w:ind w:right="20" w:firstLine="45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Investment in Low-Income Housing Properties </w:t>
      </w:r>
      <w:r>
        <w:rPr>
          <w:rFonts w:ascii="Times New Roman" w:cs="Times New Roman" w:eastAsia="Times New Roman" w:hAnsi="Times New Roman"/>
          <w:sz w:val="17"/>
          <w:szCs w:val="17"/>
          <w:color w:val="auto"/>
        </w:rPr>
        <w:t>— In 2010, we acquired a noncontrolling interest in a limited liability company established to invest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manage 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December 31, 2014 and 2013, our investment balance was $104 million and $129 million, respectively, and our debt balance was $104 million and $128 million, respectively.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9.</w:t>
      </w:r>
    </w:p>
    <w:p>
      <w:pPr>
        <w:spacing w:after="0" w:line="172"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Trusts for Final Capping, Closure, Post-Closure or Environmental Remediation Obligations </w:t>
      </w:r>
      <w:r>
        <w:rPr>
          <w:rFonts w:ascii="Times New Roman" w:cs="Times New Roman" w:eastAsia="Times New Roman" w:hAnsi="Times New Roman"/>
          <w:sz w:val="17"/>
          <w:szCs w:val="17"/>
          <w:color w:val="auto"/>
        </w:rPr>
        <w:t>— We have significant financial interests in trust funds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were created to settle certain of our final capping, closure, post-closure or environmental remediation obligations. Generally, we are the sole beneficiary of these restricted balances; however, certain of the funds have been established for the benefit of both the Company and the host community in which we operate. We have determined that these trust funds are variable interest entities; however, we are not the primary beneficiary of certain of these entities because either (i) we do not have the power to direct the significant activities of the trusts or (ii) power over the trusts’ significant activities is shared.</w:t>
      </w:r>
    </w:p>
    <w:p>
      <w:pPr>
        <w:spacing w:after="0" w:line="170" w:lineRule="exact"/>
        <w:rPr>
          <w:sz w:val="20"/>
          <w:szCs w:val="20"/>
          <w:color w:val="auto"/>
        </w:rPr>
      </w:pPr>
    </w:p>
    <w:p>
      <w:pPr>
        <w:jc w:val="both"/>
        <w:ind w:right="40" w:firstLine="456"/>
        <w:spacing w:after="0" w:line="255" w:lineRule="auto"/>
        <w:rPr>
          <w:sz w:val="20"/>
          <w:szCs w:val="20"/>
          <w:color w:val="auto"/>
        </w:rPr>
      </w:pPr>
      <w:r>
        <w:rPr>
          <w:rFonts w:ascii="Times New Roman" w:cs="Times New Roman" w:eastAsia="Times New Roman" w:hAnsi="Times New Roman"/>
          <w:sz w:val="18"/>
          <w:szCs w:val="18"/>
          <w:color w:val="auto"/>
        </w:rPr>
        <w:t>We account for the trusts for which we are the sole beneficiary as long-term “Other assets” in our Consolidated Balance Sheet. We reflect our interests in the unrealized gains and losses on available-for-sale securities held by these trusts as a component of “Accumulated other comprehensive income.” These trusts had a fair value of $129 million at December 31, 2014 and $125 million at December 31, 2013. Our interests in the trusts that have been established for the benefit of both the Company and the host community in which we operate are accounted for as investments in unconsolidated entities and receivables.</w:t>
      </w:r>
    </w:p>
    <w:p>
      <w:pPr>
        <w:spacing w:after="0" w:line="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These amounts are recorded in “Other receivables,” “Investments in unconsolidated entities” and long-term “Other assets” in our Consolidated Balance Sheet, as appropriate. Our investments and receivables related to these trusts had an aggregate carrying value of $113 million and $110 million as of December 31, 2014 and December 31, 2013,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00"/>
          </w:cols>
          <w:pgMar w:left="240" w:top="455" w:right="25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Segment and Related Information</w:t>
      </w:r>
    </w:p>
    <w:p>
      <w:pPr>
        <w:spacing w:after="0" w:line="121"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We evaluate, oversee and manage the financial performance of our Solid Waste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geography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is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 As a result of our consideration of economic and other similarities, we have established the following three reportable segments for our Solid Waste business: Tier 1, which is comprised almost exclusively of Areas in the Southern United States; Tier 2, which is comprised predominately of Areas located in the Midwest and Northeast United States; and Tier 3, which encompasses all remaining Areas, including the Northwest and Mid-Atlantic regions of the United States and Eastern Canada.</w:t>
      </w:r>
    </w:p>
    <w:p>
      <w:pPr>
        <w:spacing w:after="0" w:line="174"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Our Wheelabrator business, which managed waste-to-energy facilities and independent power production plants, continued to be a separate reportable segment until the sale of the business in the fourth quarter of 2014 as it met the quantitative disclosure thresholds.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62"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for the respective years ended December 31 is shown in the following table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00" w:type="dxa"/>
            <w:vAlign w:val="bottom"/>
          </w:tcPr>
          <w:p>
            <w:pPr>
              <w:spacing w:after="0"/>
              <w:rPr>
                <w:sz w:val="13"/>
                <w:szCs w:val="13"/>
                <w:color w:val="auto"/>
              </w:rPr>
            </w:pPr>
          </w:p>
        </w:tc>
        <w:tc>
          <w:tcPr>
            <w:tcW w:w="7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Revenues(c)</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w:t>
            </w:r>
          </w:p>
        </w:tc>
        <w:tc>
          <w:tcPr>
            <w:tcW w:w="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(g),(h)</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3,495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2,958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Tier 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Other(b)</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22,003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3"/>
                <w:szCs w:val="13"/>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00" w:type="dxa"/>
            <w:vAlign w:val="bottom"/>
          </w:tcPr>
          <w:p>
            <w:pPr>
              <w:spacing w:after="0"/>
              <w:rPr>
                <w:sz w:val="13"/>
                <w:szCs w:val="13"/>
                <w:color w:val="auto"/>
              </w:rPr>
            </w:pPr>
          </w:p>
        </w:tc>
        <w:tc>
          <w:tcPr>
            <w:tcW w:w="7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3"/>
                <w:szCs w:val="13"/>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6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80" w:type="dxa"/>
            <w:vAlign w:val="bottom"/>
          </w:tcPr>
          <w:p>
            <w:pPr>
              <w:spacing w:after="0"/>
              <w:rPr>
                <w:sz w:val="12"/>
                <w:szCs w:val="12"/>
                <w:color w:val="auto"/>
              </w:rPr>
            </w:pPr>
          </w:p>
        </w:tc>
        <w:tc>
          <w:tcPr>
            <w:tcW w:w="12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c>
          <w:tcPr>
            <w:tcW w:w="80" w:type="dxa"/>
            <w:vAlign w:val="bottom"/>
          </w:tcPr>
          <w:p>
            <w:pPr>
              <w:spacing w:after="0"/>
              <w:rPr>
                <w:sz w:val="12"/>
                <w:szCs w:val="12"/>
                <w:color w:val="auto"/>
              </w:rPr>
            </w:pPr>
          </w:p>
        </w:tc>
        <w:tc>
          <w:tcPr>
            <w:tcW w:w="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Revenues(c)</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w:t>
            </w:r>
          </w:p>
        </w:tc>
        <w:tc>
          <w:tcPr>
            <w:tcW w:w="160" w:type="dxa"/>
            <w:vAlign w:val="bottom"/>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(f)</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(g),(h)</w:t>
            </w:r>
          </w:p>
        </w:tc>
        <w:tc>
          <w:tcPr>
            <w:tcW w:w="0" w:type="dxa"/>
            <w:vAlign w:val="bottom"/>
          </w:tcPr>
          <w:p>
            <w:pPr>
              <w:spacing w:after="0"/>
              <w:rPr>
                <w:sz w:val="1"/>
                <w:szCs w:val="1"/>
                <w:color w:val="auto"/>
              </w:rPr>
            </w:pPr>
          </w:p>
        </w:tc>
      </w:tr>
      <w:tr>
        <w:trPr>
          <w:trHeight w:val="196"/>
        </w:trPr>
        <w:tc>
          <w:tcPr>
            <w:tcW w:w="1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2013</w:t>
            </w:r>
          </w:p>
        </w:tc>
        <w:tc>
          <w:tcPr>
            <w:tcW w:w="2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3,487</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2,934</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6,438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3,552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21,756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2012</w:t>
            </w:r>
          </w:p>
        </w:tc>
        <w:tc>
          <w:tcPr>
            <w:tcW w:w="2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Solid Waste: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3,370</w:t>
            </w:r>
          </w:p>
        </w:tc>
        <w:tc>
          <w:tcPr>
            <w:tcW w:w="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851</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Tier 2</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6,273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Tier 3</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Other(b)</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00" w:hanging="452"/>
        <w:spacing w:after="0" w:line="254"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net operating revenues and “Other” income from operations include (i) the effects of those elements of our landfill gas-to-energy operations and third-party subcontract and administration revenues managed by our Energy and Environmental Services and Renewable Energy organizations, that are not included with the operations of our reportable segments; (ii) our recycling brokerage and electronic recycling services; and (iii) the impacts of investments in expanded service offerings, such as portable self-storage, fluorescent lamp recycling and oil and gas producing properties. In addition, our “Other” income from operations reflects the impacts of non-operating entities that provide financial assurance and self-insurance support for the segments or financing for our Canadian operations.</w:t>
      </w:r>
    </w:p>
    <w:p>
      <w:pPr>
        <w:ind w:left="460" w:right="18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operating results reflect the costs incurred for various support services that are not allocated to our reportable segments.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any administrative expenses or revisions to our estimated obligations associated with divested operations.</w:t>
      </w:r>
    </w:p>
    <w:p>
      <w:pPr>
        <w:spacing w:after="0" w:line="1" w:lineRule="exact"/>
        <w:rPr>
          <w:rFonts w:ascii="Times New Roman" w:cs="Times New Roman" w:eastAsia="Times New Roman" w:hAnsi="Times New Roman"/>
          <w:sz w:val="18"/>
          <w:szCs w:val="18"/>
          <w:color w:val="auto"/>
        </w:rPr>
      </w:pPr>
    </w:p>
    <w:p>
      <w:pPr>
        <w:ind w:left="460" w:right="700" w:hanging="452"/>
        <w:spacing w:after="0" w:line="265" w:lineRule="auto"/>
        <w:tabs>
          <w:tab w:leader="none" w:pos="4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ind w:left="460" w:right="320" w:hanging="452"/>
        <w:spacing w:after="0" w:line="250"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items included in the determination of income from operations, the accounting policies of the segments are the same as those described in Note 3.</w:t>
      </w:r>
    </w:p>
    <w:p>
      <w:pPr>
        <w:ind w:left="460" w:right="120" w:hanging="452"/>
        <w:spacing w:after="0" w:line="255" w:lineRule="auto"/>
        <w:tabs>
          <w:tab w:leader="none" w:pos="4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from operations provided by our Solid Waste business is generally indicative of the margins provided by our collection, landfill, transfer and recycling businesses. From time to time the operating results of our reportable segments are significantly affected by certain transactions or events that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right="140"/>
        <w:spacing w:after="0" w:line="255" w:lineRule="auto"/>
        <w:rPr>
          <w:sz w:val="20"/>
          <w:szCs w:val="20"/>
          <w:color w:val="auto"/>
        </w:rPr>
      </w:pPr>
      <w:r>
        <w:rPr>
          <w:rFonts w:ascii="Times New Roman" w:cs="Times New Roman" w:eastAsia="Times New Roman" w:hAnsi="Times New Roman"/>
          <w:sz w:val="18"/>
          <w:szCs w:val="18"/>
          <w:color w:val="auto"/>
        </w:rPr>
        <w:t>management believes are not indicative or representative of our results. In 2014, we recognized a $519 million gain on the sale of our Wheelabrator business during the fourth quarter. In 2013, we recognized $981 million of impairment charges, the most significant of which impacted our Tier 3 and Wheelabrator segments by $253 million and $627 million, respectively. Refer to Note 12 and Note 13 for an explanation of certain other transactions and events affecting our operating results.</w:t>
      </w:r>
    </w:p>
    <w:p>
      <w:pPr>
        <w:spacing w:after="0" w:line="3" w:lineRule="exact"/>
        <w:rPr>
          <w:sz w:val="20"/>
          <w:szCs w:val="20"/>
          <w:color w:val="auto"/>
        </w:rPr>
      </w:pPr>
    </w:p>
    <w:p>
      <w:pPr>
        <w:ind w:left="460" w:hanging="452"/>
        <w:spacing w:after="0" w:line="250" w:lineRule="auto"/>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items. Capital expenditures are reported in our reportable segments at the time they are recorded within the segments’ property, plant and equipment balances and, therefore, may include amounts that have been accrued but not yet paid.</w:t>
      </w:r>
    </w:p>
    <w:p>
      <w:pPr>
        <w:ind w:left="460" w:hanging="452"/>
        <w:spacing w:after="0"/>
        <w:tabs>
          <w:tab w:leader="none" w:pos="4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of total assets reported above to “Total assets” in the Consolidated Balance Sheet is as follows (in millions):</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6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2"/>
                <w:szCs w:val="12"/>
                <w:color w:val="auto"/>
              </w:rPr>
            </w:pPr>
          </w:p>
        </w:tc>
        <w:tc>
          <w:tcPr>
            <w:tcW w:w="900" w:type="dxa"/>
            <w:vAlign w:val="bottom"/>
            <w:gridSpan w:val="2"/>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60" w:type="dxa"/>
            <w:vAlign w:val="bottom"/>
          </w:tcPr>
          <w:p>
            <w:pPr>
              <w:spacing w:after="0"/>
              <w:rPr>
                <w:sz w:val="12"/>
                <w:szCs w:val="12"/>
                <w:color w:val="auto"/>
              </w:rPr>
            </w:pPr>
          </w:p>
        </w:tc>
        <w:tc>
          <w:tcPr>
            <w:tcW w:w="580" w:type="dxa"/>
            <w:vAlign w:val="bottom"/>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19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as reported above</w:t>
            </w:r>
          </w:p>
        </w:tc>
        <w:tc>
          <w:tcPr>
            <w:tcW w:w="1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$22,003</w:t>
            </w: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$23,215</w:t>
            </w:r>
          </w:p>
        </w:tc>
        <w:tc>
          <w:tcPr>
            <w:tcW w:w="5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$23,797</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Elimination of intercompany investments and advances</w:t>
            </w:r>
          </w:p>
        </w:tc>
        <w:tc>
          <w:tcPr>
            <w:tcW w:w="14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(591)</w:t>
            </w:r>
          </w:p>
        </w:tc>
        <w:tc>
          <w:tcPr>
            <w:tcW w:w="14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(612)</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(700)</w:t>
            </w:r>
          </w:p>
        </w:tc>
      </w:tr>
      <w:tr>
        <w:trPr>
          <w:trHeight w:val="27"/>
        </w:trPr>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 per Consolidated Balance Sheet</w:t>
            </w:r>
          </w:p>
        </w:tc>
        <w:tc>
          <w:tcPr>
            <w:tcW w:w="2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21,412</w:t>
            </w:r>
          </w:p>
        </w:tc>
        <w:tc>
          <w:tcPr>
            <w:tcW w:w="14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22,603</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23,097</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460" w:right="80" w:hanging="452"/>
        <w:spacing w:after="0" w:line="258" w:lineRule="auto"/>
        <w:tabs>
          <w:tab w:leader="none" w:pos="4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included within each segment’s total assets. For segment reporting purposes, our material recovery facilities and secondary processing facilities are included as a component of their respective Areas and our recycling brokerage business and electronics recycling services are included as part of our “Other” operations. As discussed in Note 19, the goodwill associated with our acquisition of Greenstar, has been assigned to our Areas and to a lesser extent “Other”. Our acquisition of RCI has been assigned to our Eastern Canada Area, which is included in Tier 3. The following table presents changes in goodwill during 2013 and 2014 by reportable segment (in millions):</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Solid Waste</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Wheelabrator</w:t>
            </w:r>
          </w:p>
        </w:tc>
        <w:tc>
          <w:tcPr>
            <w:tcW w:w="6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Tier 1</w:t>
            </w:r>
          </w:p>
        </w:tc>
        <w:tc>
          <w:tcPr>
            <w:tcW w:w="180" w:type="dxa"/>
            <w:vAlign w:val="bottom"/>
          </w:tcPr>
          <w:p>
            <w:pPr>
              <w:spacing w:after="0"/>
              <w:rPr>
                <w:sz w:val="12"/>
                <w:szCs w:val="12"/>
                <w:color w:val="auto"/>
              </w:rPr>
            </w:pPr>
          </w:p>
        </w:tc>
        <w:tc>
          <w:tcPr>
            <w:tcW w:w="720" w:type="dxa"/>
            <w:vAlign w:val="bottom"/>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Tier 2</w:t>
            </w: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Tier 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2012</w:t>
            </w:r>
          </w:p>
        </w:tc>
        <w:tc>
          <w:tcPr>
            <w:tcW w:w="1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$1,186</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86"/>
              </w:rPr>
              <w:t>788</w:t>
            </w:r>
          </w:p>
        </w:tc>
        <w:tc>
          <w:tcPr>
            <w:tcW w:w="3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$ 115</w:t>
            </w: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Acquired goodwill</w:t>
            </w: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41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20</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Divested goodwill, net of assets held-for-sale</w:t>
            </w: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Impairments</w:t>
            </w:r>
          </w:p>
        </w:tc>
        <w:tc>
          <w:tcPr>
            <w:tcW w:w="1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(483)</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Translation and other adjustments</w:t>
            </w:r>
          </w:p>
        </w:tc>
        <w:tc>
          <w:tcPr>
            <w:tcW w:w="1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December 31, 2013</w:t>
            </w:r>
          </w:p>
        </w:tc>
        <w:tc>
          <w:tcPr>
            <w:tcW w:w="128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$1,221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w w:val="86"/>
              </w:rPr>
              <w:t>305</w:t>
            </w:r>
          </w:p>
        </w:tc>
        <w:tc>
          <w:tcPr>
            <w:tcW w:w="320" w:type="dxa"/>
            <w:vAlign w:val="bottom"/>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$ 115</w:t>
            </w:r>
          </w:p>
        </w:tc>
        <w:tc>
          <w:tcPr>
            <w:tcW w:w="3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Acquired goodwill</w:t>
            </w:r>
          </w:p>
        </w:tc>
        <w:tc>
          <w:tcPr>
            <w:tcW w:w="1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Divested goodwill, net of assets held-for-sale</w:t>
            </w:r>
          </w:p>
        </w:tc>
        <w:tc>
          <w:tcPr>
            <w:tcW w:w="12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(305)</w:t>
            </w:r>
          </w:p>
        </w:tc>
        <w:tc>
          <w:tcPr>
            <w:tcW w:w="68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Impairments</w:t>
            </w:r>
          </w:p>
        </w:tc>
        <w:tc>
          <w:tcPr>
            <w:tcW w:w="1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Translation and other adjustments</w:t>
            </w:r>
          </w:p>
        </w:tc>
        <w:tc>
          <w:tcPr>
            <w:tcW w:w="128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2014</w:t>
            </w:r>
          </w:p>
        </w:tc>
        <w:tc>
          <w:tcPr>
            <w:tcW w:w="1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1,216</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2,895</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1,524</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3"/>
              </w:rPr>
              <w:t>$ 105</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5,740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80"/>
          </w:cols>
          <w:pgMar w:left="240" w:top="455" w:right="2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mix of operating revenues from our major lines of business is reflected in the table below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c>
          <w:tcPr>
            <w:tcW w:w="10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collection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8,405</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Wheelabrator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Other(a)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Intercompany(b)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(2,359)</w:t>
            </w:r>
          </w:p>
        </w:tc>
      </w:tr>
      <w:tr>
        <w:trPr>
          <w:trHeight w:val="223"/>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13,996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13,983</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13,649</w:t>
            </w:r>
          </w:p>
        </w:tc>
        <w:tc>
          <w:tcPr>
            <w:tcW w:w="10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hanging="452"/>
        <w:spacing w:after="0" w:line="261"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line of business includes Strategic Business Solutions, landfill gas-to-energy operations, Port-O-Let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services, portable self-storage, fluorescent lamp recycling, and oil and gas producing properties.</w:t>
      </w:r>
    </w:p>
    <w:p>
      <w:pPr>
        <w:ind w:left="460" w:right="1140" w:hanging="452"/>
        <w:spacing w:after="0" w:line="502" w:lineRule="auto"/>
        <w:tabs>
          <w:tab w:leader="none" w:pos="44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within the Consolidated Financial Statements included herein. Net operating revenues relating to operations in the United States and Puerto Rico, as well as Canada are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1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54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Rico(a)</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$13,064</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$13,054</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$12,812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13,996</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13,983</w:t>
            </w:r>
          </w:p>
        </w:tc>
        <w:tc>
          <w:tcPr>
            <w:tcW w:w="5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13,649</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ind w:left="460" w:hanging="452"/>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our Puerto Rico operations in the second quarter of 2014. Refer to Note 19 for additional information.</w:t>
      </w:r>
    </w:p>
    <w:p>
      <w:pPr>
        <w:spacing w:after="0" w:line="22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 relating to operations in the United States and Puerto Rico, as well as Canada are as follows (in millions):</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2"/>
                <w:szCs w:val="12"/>
                <w:color w:val="auto"/>
              </w:rPr>
            </w:pPr>
          </w:p>
        </w:tc>
        <w:tc>
          <w:tcPr>
            <w:tcW w:w="94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40" w:type="dxa"/>
            <w:vAlign w:val="bottom"/>
          </w:tcPr>
          <w:p>
            <w:pPr>
              <w:spacing w:after="0"/>
              <w:rPr>
                <w:sz w:val="12"/>
                <w:szCs w:val="12"/>
                <w:color w:val="auto"/>
              </w:rPr>
            </w:pPr>
          </w:p>
        </w:tc>
        <w:tc>
          <w:tcPr>
            <w:tcW w:w="800" w:type="dxa"/>
            <w:vAlign w:val="bottom"/>
            <w:gridSpan w:val="2"/>
          </w:tcPr>
          <w:p>
            <w:pPr>
              <w:jc w:val="center"/>
              <w:ind w:left="139"/>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and Puerto Rico(a)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$11,198</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10,657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12,344</w:t>
            </w:r>
          </w:p>
        </w:tc>
        <w:tc>
          <w:tcPr>
            <w:tcW w:w="3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12,651</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5580" w:right="2500" w:hanging="5572"/>
        <w:spacing w:after="0" w:line="454" w:lineRule="auto"/>
        <w:tabs>
          <w:tab w:leader="none" w:pos="45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our Puerto Rico operations in the second quarter of 2014. Refer to Note 19 for additional information. 140</w:t>
      </w:r>
    </w:p>
    <w:p>
      <w:pPr>
        <w:sectPr>
          <w:pgSz w:w="11900" w:h="16838" w:orient="portrait"/>
          <w:cols w:equalWidth="0" w:num="1">
            <w:col w:w="10920"/>
          </w:cols>
          <w:pgMar w:left="240" w:top="455" w:right="7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Quarterly Financial Data (Unaudited)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unaudited quarterly results of operations for 2014 and 2013 (in millions, except per share amounts):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73"/>
        </w:trPr>
        <w:tc>
          <w:tcPr>
            <w:tcW w:w="74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4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Quarter</w:t>
            </w: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2014</w:t>
            </w: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$3,396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$3,561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532</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546</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281</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270</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0.49</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0.59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0.49</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0.58</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2013</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$3,526</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510</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577</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 (loss)</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Waste Management, Inc.</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168</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291</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common share</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0.36</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0.62</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common share</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0.36</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0.62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79"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Basic and diluted earnings per common share for each of the quarters presented above is based on the respective weighted average number of common and dilutive potential common shares outstanding for each quarter and the sum of the quarters may not necessarily be equal to the full year basic and diluted earnings per common share amounts.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operating revenues normally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Through 2014, the operating results of our first quarter also often reflected higher repair and maintenance expenses because, prior to the sale of our Wheelabrator business, we relied on the slower winter months, when waste flows are generally lower, to perform scheduled maintenance at our waste-to-energy facilities. Additionally, from time to time, our operating results are significantly affected by certain transactions or events that management believes are not indicative or representative of our results. The following significant items have affected the comparison of our operating results during the periods indicated: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2014</w:t>
      </w:r>
    </w:p>
    <w:p>
      <w:pPr>
        <w:spacing w:after="0" w:line="133" w:lineRule="exact"/>
        <w:rPr>
          <w:sz w:val="20"/>
          <w:szCs w:val="20"/>
          <w:color w:val="auto"/>
        </w:rPr>
      </w:pPr>
    </w:p>
    <w:p>
      <w:pPr>
        <w:jc w:val="both"/>
        <w:ind w:left="900" w:right="60" w:hanging="325"/>
        <w:spacing w:after="0" w:line="266" w:lineRule="auto"/>
        <w:tabs>
          <w:tab w:leader="none" w:pos="9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2014, we experienced significantly higher revenues in our Wheelabrator business and the renewable energy operations in Solid Waste from temporarily higher electricity prices driven by weather-related demand. This increase in revenues offset reduced revenues in our collection and disposal operations due to inclement weather.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2014</w:t>
      </w:r>
    </w:p>
    <w:p>
      <w:pPr>
        <w:spacing w:after="0" w:line="133" w:lineRule="exact"/>
        <w:rPr>
          <w:sz w:val="20"/>
          <w:szCs w:val="20"/>
          <w:color w:val="auto"/>
        </w:rPr>
      </w:pPr>
    </w:p>
    <w:p>
      <w:pPr>
        <w:ind w:left="900" w:right="220" w:hanging="325"/>
        <w:spacing w:after="0" w:line="282"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 pre-tax loss of $25 million on the divestiture of our Puerto Rico operations and certain other collection and landfill assets. No tax benefit was recorded in connection with the loss. 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920" w:right="180"/>
        <w:spacing w:after="0" w:line="282" w:lineRule="auto"/>
        <w:rPr>
          <w:sz w:val="20"/>
          <w:szCs w:val="20"/>
          <w:color w:val="auto"/>
        </w:rPr>
      </w:pPr>
      <w:r>
        <w:rPr>
          <w:rFonts w:ascii="Times New Roman" w:cs="Times New Roman" w:eastAsia="Times New Roman" w:hAnsi="Times New Roman"/>
          <w:sz w:val="18"/>
          <w:szCs w:val="18"/>
          <w:color w:val="auto"/>
        </w:rPr>
        <w:t>addition, we incurred $32 million of tax charges to repatriate accumulated cash prior to the divestment. These charges had a negative impact of $0.12 on our diluted earnings per share.</w:t>
      </w:r>
    </w:p>
    <w:p>
      <w:pPr>
        <w:spacing w:after="0" w:line="67" w:lineRule="exact"/>
        <w:rPr>
          <w:sz w:val="20"/>
          <w:szCs w:val="20"/>
          <w:color w:val="auto"/>
        </w:rPr>
      </w:pPr>
    </w:p>
    <w:p>
      <w:pPr>
        <w:ind w:left="900" w:right="20" w:hanging="325"/>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other net pre-tax charges of $16 million, primarily as a result of a $12 million impairment charge due to the decision to close a waste processing facility. These charges had a negative impact of $0.03 on our diluted earnings per share.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2014</w:t>
      </w:r>
    </w:p>
    <w:p>
      <w:pPr>
        <w:spacing w:after="0" w:line="133" w:lineRule="exact"/>
        <w:rPr>
          <w:sz w:val="20"/>
          <w:szCs w:val="20"/>
          <w:color w:val="auto"/>
        </w:rPr>
      </w:pPr>
    </w:p>
    <w:p>
      <w:pPr>
        <w:ind w:left="900" w:right="280" w:hanging="325"/>
        <w:spacing w:after="0" w:line="282"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$67 million of pre-tax restructuring charges primarily related to our August 2014 restructuring. These items had a negative impact of $0.09 on our diluted earnings per share.</w:t>
      </w:r>
    </w:p>
    <w:p>
      <w:pPr>
        <w:spacing w:after="0" w:line="67"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pre-tax charges aggregating $20 million comprised of (i) litigation reserves and (ii) the write down of an investment in a waste diversion technology company, partially offset by a gain on the sale of certain landfill and collection operations in our Eastern Canada Area. These items had a negative impact of $0.05 on our diluted earnings per share.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2014</w:t>
      </w:r>
    </w:p>
    <w:p>
      <w:pPr>
        <w:spacing w:after="0" w:line="133" w:lineRule="exact"/>
        <w:rPr>
          <w:sz w:val="20"/>
          <w:szCs w:val="20"/>
          <w:color w:val="auto"/>
        </w:rPr>
      </w:pPr>
    </w:p>
    <w:p>
      <w:pPr>
        <w:ind w:left="900" w:right="32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 pre-tax gain of $519 million on the sale of our Wheelabrator business, which positively affected our diluted earnings per share by $1.12.</w:t>
      </w:r>
    </w:p>
    <w:p>
      <w:pPr>
        <w:spacing w:after="0" w:line="67" w:lineRule="exact"/>
        <w:rPr>
          <w:rFonts w:ascii="Times New Roman" w:cs="Times New Roman" w:eastAsia="Times New Roman" w:hAnsi="Times New Roman"/>
          <w:sz w:val="18"/>
          <w:szCs w:val="18"/>
          <w:color w:val="auto"/>
        </w:rPr>
      </w:pPr>
    </w:p>
    <w:p>
      <w:pPr>
        <w:ind w:left="900" w:right="60" w:hanging="325"/>
        <w:spacing w:after="0" w:line="256"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negatively impacted by the recognition of net pre-tax charges aggregating $364 million comprised of (i) $270 million of charges to impair our oil and gas producing properties; (ii) $25 million of charges to write down assets related to waste diversion technology companies; (iii) $20 million of other-than-temporary declines in the value of investments in waste diversion technology companies accounted for under the cost method; (iv) $10 million of goodwill impairment charges associated with our recycling operations and (v) other charges to write down the carrying value of assets to their estimated fair values related to certain of our operations. These items had a negative impact of $0.49 on our diluted earnings per share.</w:t>
      </w:r>
    </w:p>
    <w:p>
      <w:pPr>
        <w:spacing w:after="0" w:line="93" w:lineRule="exact"/>
        <w:rPr>
          <w:rFonts w:ascii="Times New Roman" w:cs="Times New Roman" w:eastAsia="Times New Roman" w:hAnsi="Times New Roman"/>
          <w:sz w:val="18"/>
          <w:szCs w:val="18"/>
          <w:color w:val="auto"/>
        </w:rPr>
      </w:pPr>
    </w:p>
    <w:p>
      <w:pPr>
        <w:ind w:left="900" w:right="100" w:hanging="325"/>
        <w:spacing w:after="0" w:line="282"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pre-tax restructuring charges of $13 million, which negatively affected our diluted earnings per share by $0.02.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Quarter 2013</w:t>
      </w:r>
    </w:p>
    <w:p>
      <w:pPr>
        <w:spacing w:after="0" w:line="133" w:lineRule="exact"/>
        <w:rPr>
          <w:sz w:val="20"/>
          <w:szCs w:val="20"/>
          <w:color w:val="auto"/>
        </w:rPr>
      </w:pPr>
    </w:p>
    <w:p>
      <w:pPr>
        <w:ind w:left="900" w:right="160" w:hanging="325"/>
        <w:spacing w:after="0" w:line="266"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negatively impacted by pre-tax impairment charges aggregating $15 million attributable to investments in waste diversion technology companies and goodwill related to certain of our operations. These items had a negative impact of $0.03 on our diluted earnings per share.</w:t>
      </w:r>
    </w:p>
    <w:p>
      <w:pPr>
        <w:spacing w:after="0" w:line="81"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$8 million of pre-tax restructuring charges related to our acquisition of Greenstar and our July 2012 restructuring. These items had a negative impact of $0.01 on our diluted earnings per share.</w:t>
      </w:r>
    </w:p>
    <w:p>
      <w:pPr>
        <w:spacing w:after="0" w:line="67"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bad debt expense associated with collection issues in our Puerto Rico operations, which negatively affected our diluted earnings per share by $0.01.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2013</w:t>
      </w:r>
    </w:p>
    <w:p>
      <w:pPr>
        <w:spacing w:after="0" w:line="133" w:lineRule="exact"/>
        <w:rPr>
          <w:sz w:val="20"/>
          <w:szCs w:val="20"/>
          <w:color w:val="auto"/>
        </w:rPr>
      </w:pPr>
    </w:p>
    <w:p>
      <w:pPr>
        <w:ind w:left="900" w:right="460" w:hanging="325"/>
        <w:spacing w:after="0" w:line="282"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the recognition of pre-tax impairment and restructuring charges primarily related to an impairment of a waste-to-energy facility as result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400"/>
          </w:cols>
          <w:pgMar w:left="240" w:top="455" w:right="2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projected operating losses partially offset by gains on divestitures. These items had a negative impact of $0.02 on our diluted earnings per share.</w:t>
      </w:r>
    </w:p>
    <w:p>
      <w:pPr>
        <w:spacing w:after="0" w:line="131" w:lineRule="exact"/>
        <w:rPr>
          <w:sz w:val="20"/>
          <w:szCs w:val="20"/>
          <w:color w:val="auto"/>
        </w:rPr>
      </w:pPr>
    </w:p>
    <w:p>
      <w:pPr>
        <w:ind w:left="90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impacted by a favorable adjustment to “Operating” expenses due to an increase in the risk-free discount rate used to measure our environmental remediation liabilities and recovery assets, which positively affected our diluted earnings per share by $0.01.</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2013</w:t>
      </w:r>
    </w:p>
    <w:p>
      <w:pPr>
        <w:spacing w:after="0" w:line="133" w:lineRule="exact"/>
        <w:rPr>
          <w:sz w:val="20"/>
          <w:szCs w:val="20"/>
          <w:color w:val="auto"/>
        </w:rPr>
      </w:pPr>
    </w:p>
    <w:p>
      <w:pPr>
        <w:ind w:left="900" w:right="100" w:hanging="325"/>
        <w:spacing w:after="0" w:line="289" w:lineRule="auto"/>
        <w:tabs>
          <w:tab w:leader="none" w:pos="90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income was negatively impacted by the recognition of pre-tax charges aggregating $23 million comprised of (i) $18 million related to impairments, primarily attributable to an investment in a majority-owned waste diversion technology company and (ii) $5 million of losses on divestitures, primarily related to oil and gas producing properties. These items had a negative impact of $0.02 on our diluted earnings per share.</w:t>
      </w:r>
    </w:p>
    <w:p>
      <w:pPr>
        <w:spacing w:after="0" w:line="63" w:lineRule="exact"/>
        <w:rPr>
          <w:rFonts w:ascii="Times New Roman" w:cs="Times New Roman" w:eastAsia="Times New Roman" w:hAnsi="Times New Roman"/>
          <w:sz w:val="17"/>
          <w:szCs w:val="17"/>
          <w:color w:val="auto"/>
        </w:rPr>
      </w:pPr>
    </w:p>
    <w:p>
      <w:pPr>
        <w:ind w:left="900" w:right="380" w:hanging="325"/>
        <w:spacing w:after="0" w:line="266"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the recognition of pre-tax charges aggregating $8 million primarily associated with the partial withdrawal from an underfunded multiemployer pension plan and, to a lesser extent, other restructuring charges. These items had a negative impact of $0.01 on our diluted earnings per share.</w:t>
      </w:r>
    </w:p>
    <w:p>
      <w:pPr>
        <w:spacing w:after="0" w:line="81"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positively impacted as a result of the collection of certain fully reserved receivables related to our Puerto Rico operations, which positively affected our diluted earnings per share by $0.01.</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Fourth Quarter 2013</w:t>
      </w:r>
    </w:p>
    <w:p>
      <w:pPr>
        <w:spacing w:after="0" w:line="133" w:lineRule="exact"/>
        <w:rPr>
          <w:sz w:val="20"/>
          <w:szCs w:val="20"/>
          <w:color w:val="auto"/>
        </w:rPr>
      </w:pPr>
    </w:p>
    <w:p>
      <w:pPr>
        <w:ind w:left="900" w:right="180" w:hanging="325"/>
        <w:spacing w:after="0" w:line="255"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negatively impacted by the recognition of net pre-tax charges aggregating $1 billion comprised of (i) a $483 million charge to impair goodwill associated with our Wheelabrator business; (ii) $262 million of charges to impair certain landfills, primarily in our Eastern Canada Area; (iii) $130 million of charges to write down the carrying value of three waste-to-energy facilities; (iv) $61 million of charges attributable to investments in waste diversion technology companies; (v) $31 million of charges to impair various recycling assets; (vi) a $15 million charge to write down the carrying value of an oil and gas property to its estimated fair value and (vii) other charges to impair goodwill and write down the carrying value of assets to their estimated fair values related to certain of our operations, partially offset by gains on divestitures. These items had a negative impact of $1.84 on our diluted earnings per share.</w:t>
      </w:r>
    </w:p>
    <w:p>
      <w:pPr>
        <w:spacing w:after="0" w:line="94"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negatively impacted by pre-tax restructuring charges of $5 million which negatively affected our diluted earnings per share by $0.01.</w:t>
      </w:r>
    </w:p>
    <w:p>
      <w:pPr>
        <w:spacing w:after="0" w:line="67" w:lineRule="exact"/>
        <w:rPr>
          <w:rFonts w:ascii="Times New Roman" w:cs="Times New Roman" w:eastAsia="Times New Roman" w:hAnsi="Times New Roman"/>
          <w:sz w:val="18"/>
          <w:szCs w:val="18"/>
          <w:color w:val="auto"/>
        </w:rPr>
      </w:pPr>
    </w:p>
    <w:p>
      <w:pPr>
        <w:ind w:left="900" w:hanging="325"/>
        <w:spacing w:after="0" w:line="266" w:lineRule="auto"/>
        <w:tabs>
          <w:tab w:leader="none" w:pos="90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was positively impacted by net adjustments associated with changes in our expectations for the timing and cost of future final capping, closure and post-closure of fully utilized airspace, and by an increase in the risk-free discount rate used to measure environmental remediation liabilities and recovery assets. These items positively affected our diluted earnings per share by $0.02.</w:t>
      </w:r>
    </w:p>
    <w:p>
      <w:pPr>
        <w:spacing w:after="0" w:line="28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Condensed Consolidating Financial Statements</w:t>
      </w:r>
    </w:p>
    <w:p>
      <w:pPr>
        <w:spacing w:after="0" w:line="12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240" w:top="455" w:right="31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WM</w:t>
            </w:r>
          </w:p>
        </w:tc>
        <w:tc>
          <w:tcPr>
            <w:tcW w:w="160" w:type="dxa"/>
            <w:vAlign w:val="bottom"/>
          </w:tcPr>
          <w:p>
            <w:pPr>
              <w:spacing w:after="0"/>
              <w:rPr>
                <w:sz w:val="13"/>
                <w:szCs w:val="13"/>
                <w:color w:val="auto"/>
              </w:rPr>
            </w:pPr>
          </w:p>
        </w:tc>
        <w:tc>
          <w:tcPr>
            <w:tcW w:w="11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WM</w:t>
            </w: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86"/>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23"/>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3,641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10,657</w:t>
            </w:r>
          </w:p>
        </w:tc>
        <w:tc>
          <w:tcPr>
            <w:tcW w:w="18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10,657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and advances to affiliates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17,312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17,782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(41,839)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18,602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17,816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26,833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(41,839)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60" w:type="dxa"/>
            <w:vAlign w:val="bottom"/>
          </w:tcPr>
          <w:p>
            <w:pPr>
              <w:spacing w:after="0"/>
              <w:rPr>
                <w:sz w:val="24"/>
                <w:szCs w:val="24"/>
                <w:color w:val="auto"/>
              </w:rPr>
            </w:pPr>
          </w:p>
        </w:tc>
        <w:tc>
          <w:tcPr>
            <w:tcW w:w="3640" w:type="dxa"/>
            <w:vAlign w:val="bottom"/>
            <w:gridSpan w:val="7"/>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LIABILITIES AND EQUITY</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3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2,395</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Due to affiliates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(6,745)</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23"/>
        </w:trPr>
        <w:tc>
          <w:tcPr>
            <w:tcW w:w="4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12,736</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5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17,312</w:t>
            </w:r>
          </w:p>
        </w:tc>
        <w:tc>
          <w:tcPr>
            <w:tcW w:w="16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17,782</w:t>
            </w: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(35,094)</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17,312</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(35,094)</w:t>
            </w:r>
          </w:p>
        </w:tc>
        <w:tc>
          <w:tcPr>
            <w:tcW w:w="6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6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18,602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6"/>
              </w:rPr>
              <w:t>17,816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26,833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(41,839)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21,412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SHEETS (Continued)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WM</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WM</w:t>
            </w: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360" w:type="dxa"/>
            <w:vAlign w:val="bottom"/>
            <w:gridSpan w:val="3"/>
            <w:vMerge w:val="continue"/>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71"/>
              </w:rPr>
              <w:t>ASSETS</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2,435</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2,493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12,344</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12,344</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and advances to affiliates(a)</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6"/>
              </w:rPr>
              <w:t>15,802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2"/>
              </w:rPr>
              <w:t>16,845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4,268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(36,915)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7,706</w:t>
            </w:r>
          </w:p>
        </w:tc>
        <w:tc>
          <w:tcPr>
            <w:tcW w:w="16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7,760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15,844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2"/>
              </w:rPr>
              <w:t>16,863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(36,915)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460" w:type="dxa"/>
            <w:vAlign w:val="bottom"/>
            <w:gridSpan w:val="8"/>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587</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2,166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696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3,279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 affiliates(a)</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18"/>
                <w:szCs w:val="18"/>
                <w:color w:val="auto"/>
              </w:rPr>
            </w:pPr>
          </w:p>
        </w:tc>
        <w:tc>
          <w:tcPr>
            <w:tcW w:w="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4,087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3"/>
        </w:trPr>
        <w:tc>
          <w:tcPr>
            <w:tcW w:w="40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10,137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2"/>
              </w:rPr>
              <w:t>15,802</w:t>
            </w:r>
          </w:p>
        </w:tc>
        <w:tc>
          <w:tcPr>
            <w:tcW w:w="1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16,845</w:t>
            </w:r>
          </w:p>
        </w:tc>
        <w:tc>
          <w:tcPr>
            <w:tcW w:w="16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(32,647)</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5,707</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15,802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17,140</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(32,647)</w:t>
            </w:r>
          </w:p>
        </w:tc>
        <w:tc>
          <w:tcPr>
            <w:tcW w:w="5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100" w:type="dxa"/>
            <w:vAlign w:val="bottom"/>
            <w:gridSpan w:val="4"/>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15,844</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2"/>
              </w:rPr>
              <w:t>16,863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26,811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(36,915)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22,603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220" w:hanging="452"/>
        <w:spacing w:after="0" w:line="266" w:lineRule="auto"/>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conjunction with the preparation of our September 30, 2014 Condensed Consolidating Financial Statements, we identified corrections associated with the presentation of affiliate obligations previously reported in WM and WM Holdings’ “Investments in and advances to affiliates.” Accordingly, the 2013 Condensed Consolidating Balance Sheet included herein has been revised.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OPERATIONS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5"/>
              </w:rPr>
              <w:t>WM</w:t>
            </w:r>
          </w:p>
        </w:tc>
        <w:tc>
          <w:tcPr>
            <w:tcW w:w="10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WM</w:t>
            </w: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00" w:type="dxa"/>
            <w:vAlign w:val="bottom"/>
          </w:tcPr>
          <w:p>
            <w:pPr>
              <w:spacing w:after="0"/>
              <w:rPr>
                <w:sz w:val="13"/>
                <w:szCs w:val="13"/>
                <w:color w:val="auto"/>
              </w:rPr>
            </w:pPr>
          </w:p>
        </w:tc>
        <w:tc>
          <w:tcPr>
            <w:tcW w:w="1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5"/>
                <w:szCs w:val="15"/>
                <w:color w:val="auto"/>
              </w:rPr>
            </w:pPr>
          </w:p>
        </w:tc>
        <w:tc>
          <w:tcPr>
            <w:tcW w:w="11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0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b w:val="1"/>
                <w:bCs w:val="1"/>
                <w:color w:val="auto"/>
              </w:rPr>
              <w:t>Year Ended December 31, 2014</w:t>
            </w:r>
          </w:p>
        </w:tc>
        <w:tc>
          <w:tcPr>
            <w:tcW w:w="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13,996</w:t>
            </w:r>
          </w:p>
        </w:tc>
        <w:tc>
          <w:tcPr>
            <w:tcW w:w="44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Costs and expenses(b)</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(459)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12,156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11,697</w:t>
            </w:r>
          </w:p>
        </w:tc>
        <w:tc>
          <w:tcPr>
            <w:tcW w:w="0" w:type="dxa"/>
            <w:vAlign w:val="bottom"/>
          </w:tcPr>
          <w:p>
            <w:pPr>
              <w:spacing w:after="0"/>
              <w:rPr>
                <w:sz w:val="1"/>
                <w:szCs w:val="1"/>
                <w:color w:val="auto"/>
              </w:rPr>
            </w:pPr>
          </w:p>
        </w:tc>
      </w:tr>
      <w:tr>
        <w:trPr>
          <w:trHeight w:val="176"/>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ind w:left="220"/>
              <w:spacing w:after="0" w:line="169" w:lineRule="exact"/>
              <w:rPr>
                <w:sz w:val="20"/>
                <w:szCs w:val="20"/>
                <w:color w:val="auto"/>
              </w:rPr>
            </w:pPr>
            <w:r>
              <w:rPr>
                <w:rFonts w:ascii="Times New Roman" w:cs="Times New Roman" w:eastAsia="Times New Roman" w:hAnsi="Times New Roman"/>
                <w:sz w:val="15"/>
                <w:szCs w:val="15"/>
                <w:color w:val="auto"/>
                <w:w w:val="88"/>
              </w:rPr>
              <w:t>459</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2,299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income (expense):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3"/>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(351)</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Equity in earnings of subsidiaries, net of taxes</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1,510</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1,070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(2,580)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1,159</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1,039</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(166)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(2,580)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(548)</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before income taxes</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1,159</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1,498</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1,674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(2,580)</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1,751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Provision for (benefit from) income taxes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(139)</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564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413</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Consolidated net income</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1,298</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1,510</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1,110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(2,580)</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Net income attributable to Waste Management, Inc.</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u w:val="single" w:color="auto"/>
                <w:color w:val="auto"/>
                <w:w w:val="79"/>
              </w:rPr>
              <w:t>$</w:t>
            </w:r>
          </w:p>
        </w:tc>
        <w:tc>
          <w:tcPr>
            <w:tcW w:w="3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1,298</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1,510</w:t>
            </w: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(2,580)</w:t>
            </w:r>
          </w:p>
        </w:tc>
        <w:tc>
          <w:tcPr>
            <w:tcW w:w="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1,298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Year Ended December 31, 2013</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13,983</w:t>
            </w:r>
          </w:p>
        </w:tc>
        <w:tc>
          <w:tcPr>
            <w:tcW w:w="44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13,983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Costs and expenses(b)</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12,904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12,904</w:t>
            </w:r>
          </w:p>
        </w:tc>
        <w:tc>
          <w:tcPr>
            <w:tcW w:w="0" w:type="dxa"/>
            <w:vAlign w:val="bottom"/>
          </w:tcPr>
          <w:p>
            <w:pPr>
              <w:spacing w:after="0"/>
              <w:rPr>
                <w:sz w:val="1"/>
                <w:szCs w:val="1"/>
                <w:color w:val="auto"/>
              </w:rPr>
            </w:pPr>
          </w:p>
        </w:tc>
      </w:tr>
      <w:tr>
        <w:trPr>
          <w:trHeight w:val="176"/>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ind w:left="220"/>
              <w:spacing w:after="0" w:line="169"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income (expense):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3"/>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(355)</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Equity in earnings of subsidiaries, net of taxes</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313</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(645)</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300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(198)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(645)</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(585)</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before income taxes</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(42)</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20"/>
              <w:spacing w:after="0" w:line="169" w:lineRule="exact"/>
              <w:rPr>
                <w:sz w:val="20"/>
                <w:szCs w:val="20"/>
                <w:color w:val="auto"/>
              </w:rPr>
            </w:pPr>
            <w:r>
              <w:rPr>
                <w:rFonts w:ascii="Times New Roman" w:cs="Times New Roman" w:eastAsia="Times New Roman" w:hAnsi="Times New Roman"/>
                <w:sz w:val="15"/>
                <w:szCs w:val="15"/>
                <w:color w:val="auto"/>
                <w:w w:val="88"/>
              </w:rPr>
              <w:t>300</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881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(645)</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Provision for (benefit from) income taxes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(140)</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517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364</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Consolidated net income</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98</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ind w:left="220"/>
              <w:spacing w:after="0" w:line="169" w:lineRule="exact"/>
              <w:rPr>
                <w:sz w:val="20"/>
                <w:szCs w:val="20"/>
                <w:color w:val="auto"/>
              </w:rPr>
            </w:pPr>
            <w:r>
              <w:rPr>
                <w:rFonts w:ascii="Times New Roman" w:cs="Times New Roman" w:eastAsia="Times New Roman" w:hAnsi="Times New Roman"/>
                <w:sz w:val="15"/>
                <w:szCs w:val="15"/>
                <w:color w:val="auto"/>
                <w:w w:val="88"/>
              </w:rPr>
              <w:t>313</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364</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(645)</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Net income attributable to Waste Management, Inc.</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98</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ind w:left="220"/>
              <w:spacing w:after="0" w:line="169" w:lineRule="exact"/>
              <w:rPr>
                <w:sz w:val="20"/>
                <w:szCs w:val="20"/>
                <w:color w:val="auto"/>
              </w:rPr>
            </w:pPr>
            <w:r>
              <w:rPr>
                <w:rFonts w:ascii="Times New Roman" w:cs="Times New Roman" w:eastAsia="Times New Roman" w:hAnsi="Times New Roman"/>
                <w:sz w:val="15"/>
                <w:szCs w:val="15"/>
                <w:color w:val="auto"/>
                <w:w w:val="88"/>
              </w:rPr>
              <w:t>313</w:t>
            </w: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332</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(645)</w:t>
            </w:r>
          </w:p>
        </w:tc>
        <w:tc>
          <w:tcPr>
            <w:tcW w:w="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Year Ended December 31, 2012</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revenues</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13,649</w:t>
            </w:r>
          </w:p>
        </w:tc>
        <w:tc>
          <w:tcPr>
            <w:tcW w:w="44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13,649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Costs and expenses(b)</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11,805</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11,798</w:t>
            </w:r>
          </w:p>
        </w:tc>
        <w:tc>
          <w:tcPr>
            <w:tcW w:w="0" w:type="dxa"/>
            <w:vAlign w:val="bottom"/>
          </w:tcPr>
          <w:p>
            <w:pPr>
              <w:spacing w:after="0"/>
              <w:rPr>
                <w:sz w:val="1"/>
                <w:szCs w:val="1"/>
                <w:color w:val="auto"/>
              </w:rPr>
            </w:pPr>
          </w:p>
        </w:tc>
      </w:tr>
      <w:tr>
        <w:trPr>
          <w:trHeight w:val="176"/>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from operations</w:t>
            </w:r>
          </w:p>
        </w:tc>
        <w:tc>
          <w:tcPr>
            <w:tcW w:w="80" w:type="dxa"/>
            <w:vAlign w:val="bottom"/>
            <w:tcBorders>
              <w:top w:val="single" w:sz="8" w:color="auto"/>
              <w:bottom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7</w:t>
            </w:r>
          </w:p>
        </w:tc>
        <w:tc>
          <w:tcPr>
            <w:tcW w:w="4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1,844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3"/>
              <w:spacing w:after="0" w:line="169"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1,851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income (expense):</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Interest expense, net</w:t>
            </w:r>
          </w:p>
        </w:tc>
        <w:tc>
          <w:tcPr>
            <w:tcW w:w="80" w:type="dxa"/>
            <w:vAlign w:val="bottom"/>
          </w:tcPr>
          <w:p>
            <w:pPr>
              <w:spacing w:after="0"/>
              <w:rPr>
                <w:sz w:val="14"/>
                <w:szCs w:val="14"/>
                <w:color w:val="auto"/>
              </w:rPr>
            </w:pPr>
          </w:p>
        </w:tc>
        <w:tc>
          <w:tcPr>
            <w:tcW w:w="840" w:type="dxa"/>
            <w:vAlign w:val="bottom"/>
            <w:gridSpan w:val="3"/>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(358)</w:t>
            </w:r>
          </w:p>
        </w:tc>
        <w:tc>
          <w:tcPr>
            <w:tcW w:w="100" w:type="dxa"/>
            <w:vAlign w:val="bottom"/>
          </w:tcPr>
          <w:p>
            <w:pPr>
              <w:spacing w:after="0"/>
              <w:rPr>
                <w:sz w:val="14"/>
                <w:szCs w:val="14"/>
                <w:color w:val="auto"/>
              </w:rPr>
            </w:pPr>
          </w:p>
        </w:tc>
        <w:tc>
          <w:tcPr>
            <w:tcW w:w="920" w:type="dxa"/>
            <w:vAlign w:val="bottom"/>
            <w:gridSpan w:val="2"/>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(94)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(484)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Equity in earnings of subsidiaries, net of taxes</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1,034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1,046</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(2,080)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net</w:t>
            </w:r>
          </w:p>
        </w:tc>
        <w:tc>
          <w:tcPr>
            <w:tcW w:w="80" w:type="dxa"/>
            <w:vAlign w:val="bottom"/>
          </w:tcPr>
          <w:p>
            <w:pPr>
              <w:spacing w:after="0"/>
              <w:rPr>
                <w:sz w:val="14"/>
                <w:szCs w:val="14"/>
                <w:color w:val="auto"/>
              </w:rPr>
            </w:pPr>
          </w:p>
        </w:tc>
        <w:tc>
          <w:tcPr>
            <w:tcW w:w="36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6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676</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1,014</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(158)</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(2,080)</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(548)</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Income before income taxes</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676</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1,021</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1,686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(2,080)</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Provision for (benefit from) income taxes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(141)</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line="162" w:lineRule="exact"/>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597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443</w:t>
            </w: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Consolidated net income</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817</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1,034</w:t>
            </w:r>
          </w:p>
        </w:tc>
        <w:tc>
          <w:tcPr>
            <w:tcW w:w="4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1,089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(2,080)</w:t>
            </w:r>
          </w:p>
        </w:tc>
        <w:tc>
          <w:tcPr>
            <w:tcW w:w="4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8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Less: Net income attributable to noncontrolling interests</w:t>
            </w:r>
          </w:p>
        </w:tc>
        <w:tc>
          <w:tcPr>
            <w:tcW w:w="8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gridSpan w:val="2"/>
          </w:tcPr>
          <w:p>
            <w:pPr>
              <w:spacing w:after="0" w:line="169" w:lineRule="exact"/>
              <w:rPr>
                <w:sz w:val="20"/>
                <w:szCs w:val="20"/>
                <w:color w:val="auto"/>
              </w:rPr>
            </w:pPr>
            <w:r>
              <w:rPr>
                <w:rFonts w:ascii="Times New Roman" w:cs="Times New Roman" w:eastAsia="Times New Roman" w:hAnsi="Times New Roman"/>
                <w:sz w:val="15"/>
                <w:szCs w:val="15"/>
                <w:color w:val="auto"/>
              </w:rPr>
              <w:t>Net income attributable to Waste Management, Inc.</w:t>
            </w: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3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817</w:t>
            </w:r>
          </w:p>
        </w:tc>
        <w:tc>
          <w:tcPr>
            <w:tcW w:w="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1,034</w:t>
            </w:r>
          </w:p>
        </w:tc>
        <w:tc>
          <w:tcPr>
            <w:tcW w:w="4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1,046</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(2,080)</w:t>
            </w:r>
          </w:p>
        </w:tc>
        <w:tc>
          <w:tcPr>
            <w:tcW w:w="48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5" w:lineRule="exact"/>
        <w:rPr>
          <w:sz w:val="20"/>
          <w:szCs w:val="20"/>
          <w:color w:val="auto"/>
        </w:rPr>
      </w:pPr>
    </w:p>
    <w:p>
      <w:pPr>
        <w:ind w:left="340" w:right="80" w:hanging="332"/>
        <w:spacing w:after="0" w:line="261" w:lineRule="auto"/>
        <w:tabs>
          <w:tab w:leader="none" w:pos="34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“Goodwill impairments” and “(Income) expense from divestitures, asset impairments (other than goodwill) and unusual items” as reported in our Consolidated Statements of Operations.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420"/>
          </w:cols>
          <w:pgMar w:left="240" w:top="455" w:right="23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COMPREHENSIVE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WM</w:t>
            </w:r>
          </w:p>
        </w:tc>
        <w:tc>
          <w:tcPr>
            <w:tcW w:w="12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WM</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80" w:type="dxa"/>
            <w:vAlign w:val="bottom"/>
          </w:tcPr>
          <w:p>
            <w:pPr>
              <w:spacing w:after="0"/>
              <w:rPr>
                <w:sz w:val="13"/>
                <w:szCs w:val="13"/>
                <w:color w:val="auto"/>
              </w:rPr>
            </w:pPr>
          </w:p>
        </w:tc>
        <w:tc>
          <w:tcPr>
            <w:tcW w:w="136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8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977</w:t>
            </w:r>
          </w:p>
        </w:tc>
        <w:tc>
          <w:tcPr>
            <w:tcW w:w="4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(2,580)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1,300</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112</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1,120</w:t>
            </w:r>
          </w:p>
        </w:tc>
        <w:tc>
          <w:tcPr>
            <w:tcW w:w="4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(2,080)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Waste Management, Inc.</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807</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580" w:type="dxa"/>
            <w:vAlign w:val="bottom"/>
          </w:tcPr>
          <w:p>
            <w:pPr>
              <w:jc w:val="right"/>
              <w:ind w:right="44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WM</w:t>
            </w:r>
          </w:p>
        </w:tc>
        <w:tc>
          <w:tcPr>
            <w:tcW w:w="100" w:type="dxa"/>
            <w:vAlign w:val="bottom"/>
          </w:tcPr>
          <w:p>
            <w:pPr>
              <w:spacing w:after="0"/>
              <w:rPr>
                <w:sz w:val="13"/>
                <w:szCs w:val="13"/>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WM</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260" w:type="dxa"/>
            <w:vAlign w:val="bottom"/>
          </w:tcPr>
          <w:p>
            <w:pPr>
              <w:spacing w:after="0"/>
              <w:rPr>
                <w:sz w:val="13"/>
                <w:szCs w:val="13"/>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60" w:type="dxa"/>
            <w:vAlign w:val="bottom"/>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2014</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$ 1,298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1,110</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(2,580)</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earnings of subsidiaries, net of taxes</w:t>
            </w: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(1,070)</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14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1,030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439</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cash divested)</w:t>
            </w:r>
          </w:p>
        </w:tc>
        <w:tc>
          <w:tcPr>
            <w:tcW w:w="260" w:type="dxa"/>
            <w:vAlign w:val="bottom"/>
          </w:tcPr>
          <w:p>
            <w:pPr>
              <w:spacing w:after="0"/>
              <w:rPr>
                <w:sz w:val="20"/>
                <w:szCs w:val="20"/>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receipts from restricted trust and escrow accounts and</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borrowings</w:t>
            </w: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repayments</w:t>
            </w:r>
          </w:p>
        </w:tc>
        <w:tc>
          <w:tcPr>
            <w:tcW w:w="14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(3,005)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4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w:t>
            </w:r>
          </w:p>
        </w:tc>
        <w:tc>
          <w:tcPr>
            <w:tcW w:w="14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4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Acquisitions of and distributions paid to noncontrolling</w:t>
            </w: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interests and other</w:t>
            </w:r>
          </w:p>
        </w:tc>
        <w:tc>
          <w:tcPr>
            <w:tcW w:w="140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 intercompany and investments, net</w:t>
            </w:r>
          </w:p>
        </w:tc>
        <w:tc>
          <w:tcPr>
            <w:tcW w:w="2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5"/>
              </w:rPr>
              <w:t>(2,057)</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95"/>
              </w:rPr>
              <w:t>(2,057)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9"/>
              </w:rPr>
              <w:t>$ 1,235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WM</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WM</w:t>
            </w:r>
          </w:p>
        </w:tc>
        <w:tc>
          <w:tcPr>
            <w:tcW w:w="300" w:type="dxa"/>
            <w:vAlign w:val="bottom"/>
          </w:tcPr>
          <w:p>
            <w:pPr>
              <w:spacing w:after="0"/>
              <w:rPr>
                <w:sz w:val="13"/>
                <w:szCs w:val="13"/>
                <w:color w:val="auto"/>
              </w:rPr>
            </w:pPr>
          </w:p>
        </w:tc>
        <w:tc>
          <w:tcPr>
            <w:tcW w:w="16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30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2013</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(645)</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earnings of subsidiaries, net of taxes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adjustments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2,327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w:t>
            </w:r>
          </w:p>
        </w:tc>
        <w:tc>
          <w:tcPr>
            <w:tcW w:w="6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(724)</w:t>
            </w:r>
          </w:p>
        </w:tc>
        <w:tc>
          <w:tcPr>
            <w:tcW w:w="2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(1,271)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assets (net of cash divested)</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138</w:t>
            </w:r>
          </w:p>
        </w:tc>
        <w:tc>
          <w:tcPr>
            <w:tcW w:w="28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receipts from restricted trust and escrow accounts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other, net</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6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borrowings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1,092</w:t>
            </w:r>
          </w:p>
        </w:tc>
        <w:tc>
          <w:tcPr>
            <w:tcW w:w="2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repayments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(1,120)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Acquisitions of and distributions paid to</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noncontrolling interests and other</w:t>
            </w: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(Increase) decrease in intercompany and investments,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(863)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05"/>
        </w:trPr>
        <w:tc>
          <w:tcPr>
            <w:tcW w:w="45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equivalents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96"/>
              </w:rPr>
              <w:t>149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STATEMENTS OF CASH FLOWS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WM</w:t>
            </w:r>
          </w:p>
        </w:tc>
        <w:tc>
          <w:tcPr>
            <w:tcW w:w="100" w:type="dxa"/>
            <w:vAlign w:val="bottom"/>
          </w:tcPr>
          <w:p>
            <w:pPr>
              <w:spacing w:after="0"/>
              <w:rPr>
                <w:sz w:val="13"/>
                <w:szCs w:val="13"/>
                <w:color w:val="auto"/>
              </w:rPr>
            </w:pPr>
          </w:p>
        </w:tc>
        <w:tc>
          <w:tcPr>
            <w:tcW w:w="10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WM</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00" w:type="dxa"/>
            <w:vAlign w:val="bottom"/>
          </w:tcPr>
          <w:p>
            <w:pPr>
              <w:spacing w:after="0"/>
              <w:rPr>
                <w:sz w:val="15"/>
                <w:szCs w:val="15"/>
                <w:color w:val="auto"/>
              </w:rPr>
            </w:pP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Year Ended December 31, 2012</w:t>
            </w:r>
          </w:p>
        </w:tc>
        <w:tc>
          <w:tcPr>
            <w:tcW w:w="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Consolidated 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1,089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(2,080)</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Equity in earnings of subsidiaries, net of taxes</w:t>
            </w:r>
          </w:p>
        </w:tc>
        <w:tc>
          <w:tcPr>
            <w:tcW w:w="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(1,034)</w:t>
            </w:r>
          </w:p>
        </w:tc>
        <w:tc>
          <w:tcPr>
            <w:tcW w:w="100" w:type="dxa"/>
            <w:vAlign w:val="bottom"/>
          </w:tcPr>
          <w:p>
            <w:pPr>
              <w:spacing w:after="0"/>
              <w:rPr>
                <w:sz w:val="17"/>
                <w:szCs w:val="17"/>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w w:val="96"/>
              </w:rPr>
              <w:t>(1,046)</w:t>
            </w:r>
          </w:p>
        </w:tc>
        <w:tc>
          <w:tcPr>
            <w:tcW w:w="100" w:type="dxa"/>
            <w:vAlign w:val="bottom"/>
          </w:tcPr>
          <w:p>
            <w:pPr>
              <w:spacing w:after="0"/>
              <w:rPr>
                <w:sz w:val="17"/>
                <w:szCs w:val="17"/>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2,080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adjustments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1,354</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1,435</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2,443</w:t>
            </w:r>
          </w:p>
        </w:tc>
        <w:tc>
          <w:tcPr>
            <w:tcW w:w="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Acquisitions of businesses, net of cash acquired</w:t>
            </w:r>
          </w:p>
        </w:tc>
        <w:tc>
          <w:tcPr>
            <w:tcW w:w="80" w:type="dxa"/>
            <w:vAlign w:val="bottom"/>
          </w:tcPr>
          <w:p>
            <w:pPr>
              <w:spacing w:after="0"/>
              <w:rPr>
                <w:sz w:val="17"/>
                <w:szCs w:val="17"/>
                <w:color w:val="auto"/>
              </w:rPr>
            </w:pP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(250)</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(1,510)</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tcPr>
          <w:p>
            <w:pPr>
              <w:ind w:left="340"/>
              <w:spacing w:after="0" w:line="181" w:lineRule="exact"/>
              <w:rPr>
                <w:sz w:val="20"/>
                <w:szCs w:val="20"/>
                <w:color w:val="auto"/>
              </w:rPr>
            </w:pPr>
            <w:r>
              <w:rPr>
                <w:rFonts w:ascii="Times New Roman" w:cs="Times New Roman" w:eastAsia="Times New Roman" w:hAnsi="Times New Roman"/>
                <w:sz w:val="17"/>
                <w:szCs w:val="17"/>
                <w:color w:val="auto"/>
              </w:rPr>
              <w:t>Proceeds from divestitures of businesses and other assets (net</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of cash divested)</w:t>
            </w:r>
          </w:p>
        </w:tc>
        <w:tc>
          <w:tcPr>
            <w:tcW w:w="80" w:type="dxa"/>
            <w:vAlign w:val="bottom"/>
          </w:tcPr>
          <w:p>
            <w:pPr>
              <w:spacing w:after="0"/>
              <w:rPr>
                <w:sz w:val="19"/>
                <w:szCs w:val="19"/>
                <w:color w:val="auto"/>
              </w:rPr>
            </w:pP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44</w:t>
            </w:r>
          </w:p>
        </w:tc>
        <w:tc>
          <w:tcPr>
            <w:tcW w:w="22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40" w:type="dxa"/>
            <w:vAlign w:val="bottom"/>
            <w:shd w:val="clear" w:color="auto" w:fill="CCEEFF"/>
          </w:tcPr>
          <w:p>
            <w:pPr>
              <w:ind w:left="340"/>
              <w:spacing w:after="0" w:line="182" w:lineRule="exact"/>
              <w:rPr>
                <w:sz w:val="20"/>
                <w:szCs w:val="20"/>
                <w:color w:val="auto"/>
              </w:rPr>
            </w:pPr>
            <w:r>
              <w:rPr>
                <w:rFonts w:ascii="Times New Roman" w:cs="Times New Roman" w:eastAsia="Times New Roman" w:hAnsi="Times New Roman"/>
                <w:sz w:val="17"/>
                <w:szCs w:val="17"/>
                <w:color w:val="auto"/>
              </w:rPr>
              <w:t>Net receipts from restricted trust and escrow accounts and</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net</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(114)</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New borrowings</w:t>
            </w:r>
          </w:p>
        </w:tc>
        <w:tc>
          <w:tcPr>
            <w:tcW w:w="80" w:type="dxa"/>
            <w:vAlign w:val="bottom"/>
          </w:tcPr>
          <w:p>
            <w:pPr>
              <w:spacing w:after="0"/>
              <w:rPr>
                <w:sz w:val="17"/>
                <w:szCs w:val="17"/>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1,145</w:t>
            </w:r>
          </w:p>
        </w:tc>
        <w:tc>
          <w:tcPr>
            <w:tcW w:w="100" w:type="dxa"/>
            <w:vAlign w:val="bottom"/>
          </w:tcPr>
          <w:p>
            <w:pPr>
              <w:spacing w:after="0"/>
              <w:rPr>
                <w:sz w:val="17"/>
                <w:szCs w:val="17"/>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475</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Debt repayments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(835)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(663)</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 repurchases</w:t>
            </w:r>
          </w:p>
        </w:tc>
        <w:tc>
          <w:tcPr>
            <w:tcW w:w="80" w:type="dxa"/>
            <w:vAlign w:val="bottom"/>
          </w:tcPr>
          <w:p>
            <w:pPr>
              <w:spacing w:after="0"/>
              <w:rPr>
                <w:sz w:val="17"/>
                <w:szCs w:val="17"/>
                <w:color w:val="auto"/>
              </w:rPr>
            </w:pPr>
          </w:p>
        </w:tc>
        <w:tc>
          <w:tcPr>
            <w:tcW w:w="10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dividends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Exercise of common stock options</w:t>
            </w:r>
          </w:p>
        </w:tc>
        <w:tc>
          <w:tcPr>
            <w:tcW w:w="80" w:type="dxa"/>
            <w:vAlign w:val="bottom"/>
          </w:tcPr>
          <w:p>
            <w:pPr>
              <w:spacing w:after="0"/>
              <w:rPr>
                <w:sz w:val="17"/>
                <w:szCs w:val="17"/>
                <w:color w:val="auto"/>
              </w:rPr>
            </w:pP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7"/>
                <w:szCs w:val="17"/>
                <w:color w:val="auto"/>
              </w:rPr>
            </w:pPr>
          </w:p>
        </w:tc>
        <w:tc>
          <w:tcPr>
            <w:tcW w:w="10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4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Acquisitions of and distributions paid to noncontrolling</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interests and other</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(52)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decrease in intercompany and investments, net</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7"/>
                <w:szCs w:val="17"/>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(379)</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(619)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(530)</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6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(decrease) in cash and cash equivalents</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139</w:t>
            </w:r>
          </w:p>
        </w:tc>
        <w:tc>
          <w:tcPr>
            <w:tcW w:w="22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7"/>
                <w:szCs w:val="17"/>
                <w:color w:val="auto"/>
              </w:rPr>
              <w:t>134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New Accounting Standard Pending Adoption (Unaudited)</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May 2014, the FASB amended authoritative guidance associated with revenue recognition. The amended 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authoritative guidance associated with revenue recognition is effective for the Company on January 1, 2017. The amended guidance may be applied retrospectively for all periods presented or retrospectively with the cumulative effect of initially applying the amended guidance recognized at the date of initial application. We are in the process of assessing the provisions of the amended guidance and have not determined whether the adoption will have a material impact on our consolidated 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Controls and Procedures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December 31, 2014 (the end of the period covered by this Annual Report on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19" w:lineRule="exact"/>
        <w:rPr>
          <w:sz w:val="20"/>
          <w:szCs w:val="20"/>
          <w:color w:val="auto"/>
        </w:rPr>
      </w:pPr>
    </w:p>
    <w:p>
      <w:pPr>
        <w:ind w:right="40" w:firstLine="456"/>
        <w:spacing w:after="0" w:line="267" w:lineRule="auto"/>
        <w:rPr>
          <w:sz w:val="20"/>
          <w:szCs w:val="20"/>
          <w:color w:val="auto"/>
        </w:rPr>
      </w:pPr>
      <w:r>
        <w:rPr>
          <w:rFonts w:ascii="Times New Roman" w:cs="Times New Roman" w:eastAsia="Times New Roman" w:hAnsi="Times New Roman"/>
          <w:sz w:val="18"/>
          <w:szCs w:val="18"/>
          <w:color w:val="auto"/>
        </w:rPr>
        <w:t xml:space="preserve">Management’s report on our internal control over financial reporting can be found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xml:space="preserve"> of this report. Ernst &amp; Young LLP, an independent registered public accounting firm, has audited the effectiveness of our internal control over financial reporting as of December 31, 2014 as stated in their report, which appears in Item 8 of this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Management, together with our CEO and CFO, evaluated the changes in our internal control over financial reporting during the quarter ended December 31, 2014. We determined that there were no changes in our internal control over financial reporting during the quarter ended December 31, 2014 that have materially affected, or are reasonably likely to materially affect, our internal control over financial reporting.</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sections entitled “Board of Directors,” “Section 16(a) Beneficial Ownership Reporting Compliance,” and “Executive Officers,” in the Company’s definitive Proxy Statement for its 2014 Annual Meeting of Stockholders (the “Proxy Statement”), to be held May 12, 2015. The Proxy Statement will be filed with the SEC within 120 days of the end of our fiscal year.</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have adopted a code of ethics that applies to our CEO, CFO and Chief Accounting Officer, as well as other officers, directors and employees of the Company. The code of ethics, entitled “Code of Conduct,” is posted on our website at www.wm.com under the section “Corporate Governance” within the “Investor Relations” tab.</w:t>
      </w:r>
    </w:p>
    <w:p>
      <w:pPr>
        <w:spacing w:after="0" w:line="3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Executive Compensation.</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“Board of Directors — Non-Employee Director Compensation,” “— Compensation Committee Report,” “— Compensation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340"/>
          </w:cols>
          <w:pgMar w:left="240" w:top="455" w:right="31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Committee Interlocks and Insider Participation,” “Executive Compensation — Compensation Discussion and Analysis” and “— Executive Compensation Tables” in the Proxy Statement.</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660" w:firstLine="456"/>
        <w:spacing w:after="0" w:line="313"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sections entitled “Equity Compensation Plan Table,” “Director Nominee and Officer Stock Ownership,” and “Persons Owning More than 5% of Waste Management Common Stock” in the Proxy Statement.</w:t>
      </w:r>
    </w:p>
    <w:p>
      <w:pPr>
        <w:spacing w:after="0" w:line="28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“Board of Directors — Related Party Transactions” and “— Independence of Board Members” in the Proxy Statement.</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Accounting Fees and Services.</w:t>
      </w:r>
    </w:p>
    <w:p>
      <w:pPr>
        <w:spacing w:after="0" w:line="121" w:lineRule="exact"/>
        <w:rPr>
          <w:sz w:val="20"/>
          <w:szCs w:val="20"/>
          <w:color w:val="auto"/>
        </w:rPr>
      </w:pPr>
    </w:p>
    <w:p>
      <w:pPr>
        <w:ind w:right="640" w:firstLine="45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“Ratification of Independent Registered Public Accounting Firm — Independent Registered Public Accounting Firm Fee Information” in the Proxy Statement.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jc w:val="center"/>
        <w:ind w:right="7460"/>
        <w:spacing w:after="0"/>
        <w:tabs>
          <w:tab w:leader="none" w:pos="2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Financial Statement Schedules</w:t>
      </w:r>
    </w:p>
    <w:p>
      <w:pPr>
        <w:spacing w:after="0" w:line="121" w:lineRule="exact"/>
        <w:rPr>
          <w:sz w:val="20"/>
          <w:szCs w:val="20"/>
          <w:color w:val="auto"/>
        </w:rPr>
      </w:pPr>
    </w:p>
    <w:p>
      <w:pPr>
        <w:jc w:val="center"/>
        <w:ind w:right="7420"/>
        <w:spacing w:after="0"/>
        <w:rPr>
          <w:sz w:val="20"/>
          <w:szCs w:val="20"/>
          <w:color w:val="auto"/>
        </w:rPr>
      </w:pPr>
      <w:r>
        <w:rPr>
          <w:rFonts w:ascii="Times New Roman" w:cs="Times New Roman" w:eastAsia="Times New Roman" w:hAnsi="Times New Roman"/>
          <w:sz w:val="18"/>
          <w:szCs w:val="18"/>
          <w:color w:val="auto"/>
        </w:rPr>
        <w:t>(a) (1) Consolidated Financial Statements:</w:t>
      </w:r>
    </w:p>
    <w:p>
      <w:pPr>
        <w:spacing w:after="0" w:line="131"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Reports of Independent Registered Public Accounting Firm</w:t>
        </w:r>
      </w:hyperlink>
    </w:p>
    <w:p>
      <w:pPr>
        <w:spacing w:after="0" w:line="27"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Consolidated Balance Sheets as of December 31, 2014 and 2013</w:t>
        </w:r>
      </w:hyperlink>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Statements of Operations for the years ended December 31, 2014, 2013 and 2012</w:t>
        </w:r>
      </w:hyperlink>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Consolidated Statements of Comprehensive Income for the years ended December 31, 2014, 2013 and 2012</w:t>
        </w:r>
      </w:hyperlink>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Consolidated Statements of Cash Flows for the years ended December 31, 2014, 2013 and 2012</w:t>
        </w:r>
      </w:hyperlink>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79">
        <w:r>
          <w:rPr>
            <w:rFonts w:ascii="Times New Roman" w:cs="Times New Roman" w:eastAsia="Times New Roman" w:hAnsi="Times New Roman"/>
            <w:sz w:val="18"/>
            <w:szCs w:val="18"/>
            <w:u w:val="single" w:color="auto"/>
            <w:color w:val="0000EE"/>
          </w:rPr>
          <w:t>Consolidated Statements of Changes in Equity for the years ended December 31, 2014, 2013 and 2012</w:t>
        </w:r>
      </w:hyperlink>
    </w:p>
    <w:p>
      <w:pPr>
        <w:spacing w:after="0" w:line="9"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Notes to Consolidated Financial Statements</w:t>
        </w:r>
      </w:hyperlink>
    </w:p>
    <w:p>
      <w:pPr>
        <w:spacing w:after="0" w:line="97" w:lineRule="exact"/>
        <w:rPr>
          <w:sz w:val="20"/>
          <w:szCs w:val="20"/>
          <w:color w:val="auto"/>
        </w:rPr>
      </w:pPr>
    </w:p>
    <w:p>
      <w:pPr>
        <w:ind w:left="700" w:hanging="236"/>
        <w:spacing w:after="0"/>
        <w:tabs>
          <w:tab w:leader="none" w:pos="7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i w:val="1"/>
          <w:iCs w:val="1"/>
          <w:color w:val="auto"/>
        </w:rPr>
        <w:t>Consolidated Financial Statement Schedules:</w:t>
      </w:r>
    </w:p>
    <w:p>
      <w:pPr>
        <w:spacing w:after="0" w:line="133" w:lineRule="exact"/>
        <w:rPr>
          <w:sz w:val="20"/>
          <w:szCs w:val="20"/>
          <w:color w:val="auto"/>
        </w:rPr>
      </w:pPr>
    </w:p>
    <w:p>
      <w:pPr>
        <w:ind w:left="460"/>
        <w:spacing w:after="0"/>
        <w:rPr>
          <w:rFonts w:ascii="Times New Roman" w:cs="Times New Roman" w:eastAsia="Times New Roman" w:hAnsi="Times New Roman"/>
          <w:sz w:val="18"/>
          <w:szCs w:val="18"/>
          <w:u w:val="single" w:color="auto"/>
          <w:color w:val="0000EE"/>
        </w:rPr>
      </w:pPr>
      <w:hyperlink w:anchor="page155">
        <w:r>
          <w:rPr>
            <w:rFonts w:ascii="Times New Roman" w:cs="Times New Roman" w:eastAsia="Times New Roman" w:hAnsi="Times New Roman"/>
            <w:sz w:val="18"/>
            <w:szCs w:val="18"/>
            <w:u w:val="single" w:color="auto"/>
            <w:color w:val="0000EE"/>
          </w:rPr>
          <w:t>Schedule II — Valuation and Qualifying Accounts</w:t>
        </w:r>
      </w:hyperlink>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All other schedules have been omitted because the required information is not significant or is included in the financial statements or notes thereto, or is not applicable.</w:t>
      </w:r>
    </w:p>
    <w:p>
      <w:pPr>
        <w:spacing w:after="0" w:line="160" w:lineRule="exact"/>
        <w:rPr>
          <w:sz w:val="20"/>
          <w:szCs w:val="20"/>
          <w:color w:val="auto"/>
        </w:rPr>
      </w:pPr>
    </w:p>
    <w:p>
      <w:pPr>
        <w:ind w:left="720" w:hanging="256"/>
        <w:spacing w:after="0"/>
        <w:tabs>
          <w:tab w:leader="none" w:pos="7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list required by this Item is incorporated by reference to the Exhibit Index filed as part of this report.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400"/>
          </w:cols>
          <w:pgMar w:left="240" w:top="455" w:right="2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w w:val="99"/>
              </w:rPr>
              <w:t>By:</w:t>
            </w:r>
          </w:p>
        </w:tc>
        <w:tc>
          <w:tcPr>
            <w:tcW w:w="42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/s/ DAVID P. STEINER</w:t>
            </w:r>
          </w:p>
        </w:tc>
      </w:tr>
      <w:tr>
        <w:trPr>
          <w:trHeight w:val="189"/>
        </w:trPr>
        <w:tc>
          <w:tcPr>
            <w:tcW w:w="280" w:type="dxa"/>
            <w:vAlign w:val="bottom"/>
          </w:tcPr>
          <w:p>
            <w:pPr>
              <w:spacing w:after="0"/>
              <w:rPr>
                <w:sz w:val="16"/>
                <w:szCs w:val="16"/>
                <w:color w:val="auto"/>
              </w:rPr>
            </w:pPr>
          </w:p>
        </w:tc>
        <w:tc>
          <w:tcPr>
            <w:tcW w:w="4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David P. Steiner</w:t>
            </w:r>
          </w:p>
        </w:tc>
      </w:tr>
      <w:tr>
        <w:trPr>
          <w:trHeight w:val="236"/>
        </w:trPr>
        <w:tc>
          <w:tcPr>
            <w:tcW w:w="280" w:type="dxa"/>
            <w:vAlign w:val="bottom"/>
          </w:tcPr>
          <w:p>
            <w:pPr>
              <w:spacing w:after="0"/>
              <w:rPr>
                <w:sz w:val="20"/>
                <w:szCs w:val="20"/>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Chief Executive Officer and Director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2015</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940" w:type="dxa"/>
            <w:vAlign w:val="bottom"/>
          </w:tcPr>
          <w:p>
            <w:pPr>
              <w:spacing w:after="0"/>
              <w:rPr>
                <w:sz w:val="16"/>
                <w:szCs w:val="16"/>
                <w:color w:val="auto"/>
              </w:rPr>
            </w:pP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00" w:type="dxa"/>
            <w:vAlign w:val="bottom"/>
            <w:gridSpan w:val="3"/>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DAVID P. STEINER</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President, Chief Executive Officer and Director (Principal</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David P. Steiner</w:t>
            </w:r>
          </w:p>
        </w:tc>
        <w:tc>
          <w:tcPr>
            <w:tcW w:w="4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Executive Vice President and</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178"/>
        </w:trPr>
        <w:tc>
          <w:tcPr>
            <w:tcW w:w="4500" w:type="dxa"/>
            <w:vAlign w:val="bottom"/>
            <w:gridSpan w:val="3"/>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James C. Fish, Jr.</w:t>
            </w:r>
          </w:p>
        </w:tc>
        <w:tc>
          <w:tcPr>
            <w:tcW w:w="4840" w:type="dxa"/>
            <w:vAlign w:val="bottom"/>
            <w:gridSpan w:val="3"/>
          </w:tcPr>
          <w:p>
            <w:pPr>
              <w:jc w:val="center"/>
              <w:ind w:right="120"/>
              <w:spacing w:after="0" w:line="178" w:lineRule="exact"/>
              <w:rPr>
                <w:sz w:val="20"/>
                <w:szCs w:val="20"/>
                <w:color w:val="auto"/>
              </w:rPr>
            </w:pPr>
            <w:r>
              <w:rPr>
                <w:rFonts w:ascii="Times New Roman" w:cs="Times New Roman" w:eastAsia="Times New Roman" w:hAnsi="Times New Roman"/>
                <w:sz w:val="18"/>
                <w:szCs w:val="18"/>
                <w:color w:val="auto"/>
                <w:w w:val="99"/>
              </w:rPr>
              <w:t>Chief Financial Officer</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234"/>
        </w:trPr>
        <w:tc>
          <w:tcPr>
            <w:tcW w:w="1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46"/>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DON P. CARPENTER</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Vice President and Chief Accounting Officer (Principal</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Don P. Carpenter</w:t>
            </w:r>
          </w:p>
        </w:tc>
        <w:tc>
          <w:tcPr>
            <w:tcW w:w="4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BRADBURY H. ANDERSON</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Bradbury H. Anderson</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FRANK M. CLARK</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Frank M. Clark</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ANDRÉS R. GLUSKI</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Andrés R. Gluski</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PARTICK W. GROSS</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Patrick W. Gross</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VICTORIA M. HOLT</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Victoria M. Holt</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C. POPE</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C. Pope</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 ROBERT REUM</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Chairman of the Board and 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W. Robert Reum</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7"/>
        </w:trPr>
        <w:tc>
          <w:tcPr>
            <w:tcW w:w="4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THOMAS H. WEIDEMEYER</w:t>
            </w:r>
          </w:p>
        </w:tc>
        <w:tc>
          <w:tcPr>
            <w:tcW w:w="48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00" w:type="dxa"/>
            <w:vAlign w:val="bottom"/>
            <w:gridSpan w:val="3"/>
          </w:tcPr>
          <w:p>
            <w:pPr>
              <w:jc w:val="center"/>
              <w:ind w:left="291"/>
              <w:spacing w:after="0"/>
              <w:rPr>
                <w:sz w:val="20"/>
                <w:szCs w:val="20"/>
                <w:color w:val="auto"/>
              </w:rPr>
            </w:pPr>
            <w:r>
              <w:rPr>
                <w:rFonts w:ascii="Times New Roman" w:cs="Times New Roman" w:eastAsia="Times New Roman" w:hAnsi="Times New Roman"/>
                <w:sz w:val="18"/>
                <w:szCs w:val="18"/>
                <w:color w:val="auto"/>
                <w:w w:val="99"/>
              </w:rPr>
              <w:t>February 17, 2015</w:t>
            </w:r>
          </w:p>
        </w:tc>
      </w:tr>
      <w:tr>
        <w:trPr>
          <w:trHeight w:val="228"/>
        </w:trPr>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Thomas H. Weidemeyer</w:t>
            </w:r>
          </w:p>
        </w:tc>
        <w:tc>
          <w:tcPr>
            <w:tcW w:w="2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60"/>
        </w:trPr>
        <w:tc>
          <w:tcPr>
            <w:tcW w:w="1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jc w:val="right"/>
              <w:ind w:right="791"/>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 of Waste Management, Inc.</w:t>
      </w:r>
    </w:p>
    <w:p>
      <w:pPr>
        <w:spacing w:after="0" w:line="22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audited the consolidated financial statements of Waste Management, Inc. as of December 31, 2014 and 2013, and for each of the three years in the period ended December 31, 2014, and have issued our report thereon dated February 17, 2015 (included elsewhere in this Form 10-K). Our audits also included the financial statement schedule listed in Item 15(a)(2) of this Form 10-K. This schedule is the responsibility of the Company’s management. Our responsibility is to express an opinion on this schedule based on our audits.</w:t>
      </w:r>
    </w:p>
    <w:p>
      <w:pPr>
        <w:spacing w:after="0" w:line="180"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In our opinion, the financial statement schedule referred to above, when considered in relation to the basic financial statements taken as a whole, presents fairly in all material respects the information set forth therein.</w:t>
      </w:r>
    </w:p>
    <w:p>
      <w:pPr>
        <w:spacing w:after="0" w:line="16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456" w:right="2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2"/>
            <w:vMerge w:val="restart"/>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3"/>
                <w:szCs w:val="13"/>
                <w:color w:val="auto"/>
              </w:rPr>
            </w:pPr>
          </w:p>
        </w:tc>
        <w:tc>
          <w:tcPr>
            <w:tcW w:w="150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Charged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3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(Credited) to</w:t>
            </w: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Off/Use of</w:t>
            </w:r>
          </w:p>
        </w:tc>
        <w:tc>
          <w:tcPr>
            <w:tcW w:w="6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3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5"/>
                <w:szCs w:val="15"/>
                <w:color w:val="auto"/>
              </w:rPr>
            </w:pPr>
          </w:p>
        </w:tc>
        <w:tc>
          <w:tcPr>
            <w:tcW w:w="150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15"/>
                <w:szCs w:val="15"/>
                <w:color w:val="auto"/>
              </w:rPr>
            </w:pPr>
          </w:p>
        </w:tc>
        <w:tc>
          <w:tcPr>
            <w:tcW w:w="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0" w:type="dxa"/>
            <w:vAlign w:val="bottom"/>
          </w:tcPr>
          <w:p>
            <w:pPr>
              <w:spacing w:after="0"/>
              <w:rPr>
                <w:sz w:val="1"/>
                <w:szCs w:val="1"/>
                <w:color w:val="auto"/>
              </w:rPr>
            </w:pPr>
          </w:p>
        </w:tc>
      </w:tr>
      <w:tr>
        <w:trPr>
          <w:trHeight w:val="210"/>
        </w:trPr>
        <w:tc>
          <w:tcPr>
            <w:tcW w:w="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2012</w:t>
            </w:r>
          </w:p>
        </w:tc>
        <w:tc>
          <w:tcPr>
            <w:tcW w:w="4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Reserves for doubtful accounts(a)</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73"/>
              </w:rPr>
              <w:t>(41)</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Reserves for doubtful accounts(a)</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2014</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Reserves for doubtful accounts(a)</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2012</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Merger and restructuring accruals(b)</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2013</w:t>
            </w:r>
          </w:p>
        </w:tc>
        <w:tc>
          <w:tcPr>
            <w:tcW w:w="4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Merger and restructuring accruals(b)</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2014</w:t>
            </w:r>
          </w:p>
        </w:tc>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Merger and restructuring accruals(b)</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reserves for doubtful accounts receivable and notes receivable.</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accrued liabilities in our Consolidated Balance Sheets. These accruals represent employee severance and benefit costs and transitional costs.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456" w:right="2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ectPr>
          <w:pgSz w:w="11900" w:h="16838" w:orient="portrait"/>
          <w:cols w:equalWidth="0" w:num="1">
            <w:col w:w="11420"/>
          </w:cols>
          <w:pgMar w:left="240" w:top="455" w:right="239" w:bottom="1440" w:gutter="0" w:footer="0" w:header="0"/>
        </w:sectPr>
      </w:pPr>
    </w:p>
    <w:p>
      <w:pPr>
        <w:spacing w:after="0" w:line="26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5080</wp:posOffset>
            </wp:positionV>
            <wp:extent cx="29146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2.1</w:t>
      </w:r>
    </w:p>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7" w:lineRule="exact"/>
        <w:rPr>
          <w:sz w:val="20"/>
          <w:szCs w:val="20"/>
          <w:color w:val="auto"/>
        </w:rPr>
      </w:pPr>
    </w:p>
    <w:p>
      <w:pPr>
        <w:ind w:right="20" w:hanging="446"/>
        <w:spacing w:after="0" w:line="254" w:lineRule="auto"/>
        <w:rPr>
          <w:sz w:val="20"/>
          <w:szCs w:val="20"/>
          <w:color w:val="auto"/>
        </w:rPr>
      </w:pPr>
      <w:r>
        <w:rPr>
          <w:rFonts w:ascii="Times New Roman" w:cs="Times New Roman" w:eastAsia="Times New Roman" w:hAnsi="Times New Roman"/>
          <w:sz w:val="18"/>
          <w:szCs w:val="18"/>
          <w:color w:val="auto"/>
        </w:rPr>
        <w:t>— Stock Purchase Agreement dated July 25, 2014 by and among Granite Acquisition, Inc. and Waste Management Holdings, Inc., National Guaranty Insurance Company of Vermont, Mountain Indemnity Insurance Company, Chemical Waste Management, Inc. and Wheelabrator Technologies Inc. [incorporated by reference to Exhibit 2.1 to Form 8-K dated July 29, 2014].</w:t>
      </w:r>
    </w:p>
    <w:p>
      <w:pPr>
        <w:spacing w:after="0" w:line="79" w:lineRule="exact"/>
        <w:rPr>
          <w:sz w:val="20"/>
          <w:szCs w:val="20"/>
          <w:color w:val="auto"/>
        </w:rPr>
      </w:pPr>
    </w:p>
    <w:p>
      <w:pPr>
        <w:ind w:right="380" w:hanging="446"/>
        <w:spacing w:after="0" w:line="282" w:lineRule="auto"/>
        <w:rPr>
          <w:sz w:val="20"/>
          <w:szCs w:val="20"/>
          <w:color w:val="auto"/>
        </w:rPr>
      </w:pPr>
      <w:r>
        <w:rPr>
          <w:rFonts w:ascii="Times New Roman" w:cs="Times New Roman" w:eastAsia="Times New Roman" w:hAnsi="Times New Roman"/>
          <w:sz w:val="18"/>
          <w:szCs w:val="18"/>
          <w:color w:val="auto"/>
        </w:rPr>
        <w:t>— Third Restated Certificate of Incorporation of Waste Management, Inc. [incorporated by reference to Exhibit 3.1 to Form 10-Q for the quarter ended June 30, 2010].</w:t>
      </w:r>
    </w:p>
    <w:p>
      <w:pPr>
        <w:spacing w:after="0" w:line="54" w:lineRule="exact"/>
        <w:rPr>
          <w:sz w:val="20"/>
          <w:szCs w:val="20"/>
          <w:color w:val="auto"/>
        </w:rPr>
      </w:pPr>
    </w:p>
    <w:p>
      <w:pPr>
        <w:sectPr>
          <w:pgSz w:w="11900" w:h="16838" w:orient="portrait"/>
          <w:cols w:equalWidth="0" w:num="2">
            <w:col w:w="660" w:space="720"/>
            <w:col w:w="10040"/>
          </w:cols>
          <w:pgMar w:left="240" w:top="455" w:right="239" w:bottom="1440" w:gutter="0" w:footer="0" w:header="0"/>
          <w:type w:val="continuous"/>
        </w:sectPr>
      </w:pPr>
    </w:p>
    <w:tbl>
      <w:tblPr>
        <w:tblLayout w:type="fixed"/>
        <w:tblInd w:w="100" w:type="dxa"/>
        <w:tblCellMar>
          <w:top w:w="0" w:type="dxa"/>
          <w:left w:w="0" w:type="dxa"/>
          <w:bottom w:w="0" w:type="dxa"/>
          <w:right w:w="0" w:type="dxa"/>
        </w:tblCellMar>
      </w:tblPr>
      <w:tr>
        <w:trPr>
          <w:trHeight w:val="21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Amended and Restated By-laws of Waste Management, Inc. [incorporated by reference to Exhibit 3.2 to Form 8-K dated December 6,</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2012].</w:t>
            </w:r>
          </w:p>
        </w:tc>
      </w:tr>
      <w:tr>
        <w:trPr>
          <w:trHeight w:val="324"/>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Specimen Stock Certificate [incorporated by reference to Exhibit 4.1 to Form 10-K for the year ended December 31, 1998].</w:t>
            </w:r>
          </w:p>
        </w:tc>
      </w:tr>
      <w:tr>
        <w:trPr>
          <w:trHeight w:val="324"/>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Third Restated Certificate of Incorporation of Waste Management Holdings, Inc.</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Amended and Restated By-laws of Waste Management Holdings, Inc. [incorporated by reference to Exhibit 4.3 to Form 10-Q for the</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period ended June 30, 2014].</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Indenture for Subordinated Debt Securities dated February 3, 1997, among the Registrant and The Bank of New York Mellon Trust</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Company, N.A. (the current successor to Texas Commerce Bank National Association), as trustee [incorporated by reference to Exhibit 4.1</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 Form 8-K dated February 7, 1997].</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Indenture for Senior Debt Securities dated September 10, 1997, among the Registrant and The Bank of New York Mellon Trust Company,</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 (the current successor to Texas Commerce Bank National Association), as trustee [incorporated by reference to Exhibit 4.1 to Form</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8-K dated September 10, 1997].</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Officers’ Certificate delivered pursuant to Section 301 of the Indenture dated September 10, 1997 by and between Waste Management,</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 and The Bank of New York Mellon Trust Company, N.A., as Trustee, establishing the terms and form of Waste Management, Inc.’s</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3.50% Senior Notes due 2024 [incorporated by reference to Exhibit 4.2 to Form 8-K dated May 5, 2014].</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Guarantee Agreement by Waste Management Holdings, Inc. in favor of The Bank of New York Mellon Trust Company, N.A., as Trustee</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holders of Waste Management, Inc.’s 3.50% Senior Notes due 2024 [incorporated by reference to Exhibit 4.4 to Form 8-K dated</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May 5, 2014].</w:t>
            </w:r>
          </w:p>
        </w:tc>
      </w:tr>
      <w:tr>
        <w:trPr>
          <w:trHeight w:val="306"/>
        </w:trPr>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Schedule of Officers’ Certificates delivered pursuant to Section 301 of the Indenture dated September 10, 1997 establishing the terms and</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form of Waste Management, Inc.’s Senior Notes. Waste Management and its subsidiaries are parties to debt instruments that have not been</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filed with the SEC under which the total amount of securities authorized under any single instrument does not exceed 10% of the total</w:t>
            </w:r>
          </w:p>
        </w:tc>
      </w:tr>
      <w:tr>
        <w:trPr>
          <w:trHeight w:val="216"/>
        </w:trPr>
        <w:tc>
          <w:tcPr>
            <w:tcW w:w="620" w:type="dxa"/>
            <w:vAlign w:val="bottom"/>
          </w:tcPr>
          <w:p>
            <w:pPr>
              <w:spacing w:after="0"/>
              <w:rPr>
                <w:sz w:val="18"/>
                <w:szCs w:val="18"/>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9"/>
              </w:rPr>
              <w:t>assets of Waste Management and its subsidiaries on a consolidated basis. Pursuant to paragraph 4(iii)(A) of Item 601(b) of Regulation S-K,</w:t>
            </w:r>
          </w:p>
        </w:tc>
      </w:tr>
      <w:tr>
        <w:trPr>
          <w:trHeight w:val="234"/>
        </w:trPr>
        <w:tc>
          <w:tcPr>
            <w:tcW w:w="620" w:type="dxa"/>
            <w:vAlign w:val="bottom"/>
          </w:tcPr>
          <w:p>
            <w:pPr>
              <w:spacing w:after="0"/>
              <w:rPr>
                <w:sz w:val="20"/>
                <w:szCs w:val="20"/>
                <w:color w:val="auto"/>
              </w:rPr>
            </w:pPr>
          </w:p>
        </w:tc>
        <w:tc>
          <w:tcPr>
            <w:tcW w:w="10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Waste Management agrees to furnish a copy of such instruments to the SEC upon request.</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2014 Stock Incentive Plan [incorporated by reference to Exhibit 10.1 to Form 8-K dated May 13, 2014].</w:t>
            </w:r>
          </w:p>
        </w:tc>
      </w:tr>
      <w:tr>
        <w:trPr>
          <w:trHeight w:val="32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2009 Stock Incentive Plan [incorporated by reference to Appendix B to the Proxy Statement on Schedule 14A filed March 25, 2009].</w:t>
            </w:r>
          </w:p>
        </w:tc>
      </w:tr>
      <w:tr>
        <w:trPr>
          <w:trHeight w:val="365"/>
        </w:trPr>
        <w:tc>
          <w:tcPr>
            <w:tcW w:w="620" w:type="dxa"/>
            <w:vAlign w:val="bottom"/>
          </w:tcPr>
          <w:p>
            <w:pPr>
              <w:spacing w:after="0"/>
              <w:rPr>
                <w:sz w:val="24"/>
                <w:szCs w:val="24"/>
                <w:color w:val="auto"/>
              </w:rPr>
            </w:pPr>
          </w:p>
        </w:tc>
        <w:tc>
          <w:tcPr>
            <w:tcW w:w="10700" w:type="dxa"/>
            <w:vAlign w:val="bottom"/>
          </w:tcPr>
          <w:p>
            <w:pPr>
              <w:ind w:left="4860"/>
              <w:spacing w:after="0"/>
              <w:rPr>
                <w:sz w:val="20"/>
                <w:szCs w:val="20"/>
                <w:color w:val="auto"/>
              </w:rPr>
            </w:pPr>
            <w:r>
              <w:rPr>
                <w:rFonts w:ascii="Times New Roman" w:cs="Times New Roman" w:eastAsia="Times New Roman" w:hAnsi="Times New Roman"/>
                <w:sz w:val="18"/>
                <w:szCs w:val="18"/>
                <w:color w:val="auto"/>
              </w:rPr>
              <w:t>156</w:t>
            </w:r>
          </w:p>
        </w:tc>
      </w:tr>
    </w:tbl>
    <w:p>
      <w:pPr>
        <w:sectPr>
          <w:pgSz w:w="11900" w:h="16838" w:orient="portrait"/>
          <w:cols w:equalWidth="0" w:num="1">
            <w:col w:w="11420"/>
          </w:cols>
          <w:pgMar w:left="240" w:top="455" w:right="239" w:bottom="1440" w:gutter="0" w:footer="0" w:header="0"/>
          <w:type w:val="continuous"/>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00"/>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2005 Annual Incentive Plan [incorporated by reference to Appendix D to the Proxy Statement on Schedule 14A filed April 8, 2004].</w:t>
      </w:r>
    </w:p>
    <w:p>
      <w:pPr>
        <w:spacing w:after="0" w:line="117" w:lineRule="exact"/>
        <w:rPr>
          <w:sz w:val="20"/>
          <w:szCs w:val="20"/>
          <w:color w:val="auto"/>
        </w:rPr>
      </w:pPr>
    </w:p>
    <w:p>
      <w:pPr>
        <w:ind w:left="100"/>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Employee Stock Purchase Plan [incorporated by reference to Appendix A to the Proxy Statement on Schedule 14A filed March 28,</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2012].</w:t>
      </w:r>
    </w:p>
    <w:p>
      <w:pPr>
        <w:spacing w:after="0" w:line="99" w:lineRule="exact"/>
        <w:rPr>
          <w:sz w:val="20"/>
          <w:szCs w:val="20"/>
          <w:color w:val="auto"/>
        </w:rPr>
      </w:pPr>
    </w:p>
    <w:p>
      <w:pPr>
        <w:ind w:left="1120" w:right="160" w:hanging="1395"/>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 Waste Management, Inc. 409A Deferral Savings Plan as Amended and Restated effective January 1, 2014 [incorporated by reference to Exhibit 10.2 to Form 10-Q for the period ended March 31, 2014].</w:t>
      </w:r>
    </w:p>
    <w:p>
      <w:pPr>
        <w:spacing w:after="0" w:line="54" w:lineRule="exact"/>
        <w:rPr>
          <w:sz w:val="20"/>
          <w:szCs w:val="20"/>
          <w:color w:val="auto"/>
        </w:rPr>
      </w:pPr>
    </w:p>
    <w:p>
      <w:pPr>
        <w:ind w:left="100"/>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8"/>
          <w:szCs w:val="18"/>
          <w:color w:val="auto"/>
        </w:rPr>
        <w:t>—</w:t>
        <w:tab/>
        <w:t>2000 Stock Incentive Plan [incorporated by reference to Appendix B to the Proxy Statement on Schedule 14A filed April 6, 2000].</w:t>
      </w:r>
    </w:p>
    <w:p>
      <w:pPr>
        <w:spacing w:after="0" w:line="117" w:lineRule="exact"/>
        <w:rPr>
          <w:sz w:val="20"/>
          <w:szCs w:val="20"/>
          <w:color w:val="auto"/>
        </w:rPr>
      </w:pPr>
    </w:p>
    <w:p>
      <w:pPr>
        <w:ind w:left="100"/>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2004 Stock Incentive Plan [incorporated by reference to Appendix C to Proxy Statement on Schedule 14A filed April 8, 2004].</w:t>
      </w:r>
    </w:p>
    <w:p>
      <w:pPr>
        <w:spacing w:after="0" w:line="117" w:lineRule="exact"/>
        <w:rPr>
          <w:sz w:val="20"/>
          <w:szCs w:val="20"/>
          <w:color w:val="auto"/>
        </w:rPr>
      </w:pPr>
    </w:p>
    <w:p>
      <w:pPr>
        <w:ind w:left="1120" w:hanging="1395"/>
        <w:spacing w:after="0" w:line="256" w:lineRule="auto"/>
        <w:tabs>
          <w:tab w:leader="none" w:pos="110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 $2.25 Billion Second Amended and Restated Revolving Credit Agreement by and among Waste Management, Inc. and Waste Management Holdings, Inc. and certain banks party thereto, Bank of America, N.A., as Administrative Agent, JPMorgan Chase Bank, N.A. and Barclays Bank PLC, as syndication agents, BNP Paribas, Citibank, N.A., Deutsche Bank AG New York Branch, The Bank of Tokyo-Mitsubishi UFJ, Ltd., The Royal Bank of Scotland plc, U.S. Bank National Association and Wells Fargo Bank, National Association, as co-documentation agents and J.P. Morgan Securities LLC, Merrill Lynch, Pierce, Fenner &amp; Smith Incorporated, and Barclays Bank PLC, as lead arrangers and joint bookrunners. [incorporated by reference to Exhibit 10.1 to Form 8-K filed July 30, 2013].</w:t>
      </w:r>
    </w:p>
    <w:p>
      <w:pPr>
        <w:spacing w:after="0" w:line="80" w:lineRule="exact"/>
        <w:rPr>
          <w:sz w:val="20"/>
          <w:szCs w:val="20"/>
          <w:color w:val="auto"/>
        </w:rPr>
      </w:pPr>
    </w:p>
    <w:p>
      <w:pPr>
        <w:ind w:left="1120" w:hanging="1395"/>
        <w:spacing w:after="0" w:line="256" w:lineRule="auto"/>
        <w:tabs>
          <w:tab w:leader="none" w:pos="11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 CDN$650 Million Credit Facilities Credit Agreement by and among Waste Management of Canada Corporation and WM Quebec Inc., as borrowers, Waste Management, Inc. and Waste Management Holdings, Inc., as guarantors, The Bank of Nova Scotia, as administrative agent, JP Morgan Chase Bank, N.A., Bank of America, N.A. and PNC Bank, National Association, as co-syndication agents, the Bank of Nova Scotia, J.P. Morgan Securities LLC, Merrill, Lynch, Pierce, Fenner &amp; Smith Incorporated and PNC Capital Markets LLC, as joint lead arrangers and joint bookrunners and the Lenders from time to time party thereto [incorporated by reference to Exhibit 10.2 to Form 10-Q for the quarter ended September 30, 2013].</w:t>
      </w:r>
    </w:p>
    <w:p>
      <w:pPr>
        <w:spacing w:after="0" w:line="80" w:lineRule="exact"/>
        <w:rPr>
          <w:sz w:val="20"/>
          <w:szCs w:val="20"/>
          <w:color w:val="auto"/>
        </w:rPr>
      </w:pPr>
    </w:p>
    <w:p>
      <w:pPr>
        <w:ind w:left="1120" w:right="20" w:hanging="1395"/>
        <w:spacing w:after="0" w:line="261" w:lineRule="auto"/>
        <w:tabs>
          <w:tab w:leader="none" w:pos="11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color w:val="auto"/>
        </w:rPr>
        <w:t>— First Amendment Agreement to CDN$650 Credit Facilities Credit Agreement by and among Waste Management of Canada Corporation and WM Quebec Inc., as borrowers, Waste Management, Inc. and Waste Management Holdings, Inc., as guarantors, the Lenders from time to time party thereto, and The Bank of Nova Scotia, as administrative agent [incorporated by reference to Exhibit 10.3 to Form 10-Q for the quarter ended September 30, 2013].</w:t>
      </w:r>
    </w:p>
    <w:p>
      <w:pPr>
        <w:spacing w:after="0" w:line="72" w:lineRule="exact"/>
        <w:rPr>
          <w:sz w:val="20"/>
          <w:szCs w:val="20"/>
          <w:color w:val="auto"/>
        </w:rPr>
      </w:pPr>
    </w:p>
    <w:p>
      <w:pPr>
        <w:ind w:left="100"/>
        <w:spacing w:after="0"/>
        <w:tabs>
          <w:tab w:leader="none" w:pos="1100" w:val="left"/>
          <w:tab w:leader="none" w:pos="148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Employment Agreement between the Company and David Steiner dated May 6, 2002 [incorporated by reference to Exhibit 10.1 to Form</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10-Q for the quarter ended March 31, 2002].</w:t>
      </w:r>
    </w:p>
    <w:p>
      <w:pPr>
        <w:spacing w:after="0" w:line="99" w:lineRule="exact"/>
        <w:rPr>
          <w:sz w:val="20"/>
          <w:szCs w:val="20"/>
          <w:color w:val="auto"/>
        </w:rPr>
      </w:pPr>
    </w:p>
    <w:p>
      <w:pPr>
        <w:ind w:left="1120" w:right="180" w:hanging="1395"/>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8"/>
          <w:szCs w:val="18"/>
          <w:color w:val="auto"/>
        </w:rPr>
        <w:t>— Employment Agreement between the Company and James E. Trevathan dated June 1, 2000 [incorporated by reference to Exhibit 10.20 to Form 10-K for the year ended December 31, 2000].</w:t>
      </w:r>
    </w:p>
    <w:p>
      <w:pPr>
        <w:spacing w:after="0" w:line="54" w:lineRule="exact"/>
        <w:rPr>
          <w:sz w:val="20"/>
          <w:szCs w:val="20"/>
          <w:color w:val="auto"/>
        </w:rPr>
      </w:pPr>
    </w:p>
    <w:p>
      <w:pPr>
        <w:ind w:left="1120" w:right="360" w:hanging="1395"/>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8"/>
          <w:szCs w:val="18"/>
          <w:color w:val="auto"/>
        </w:rPr>
        <w:t>— Amendment to Employment Agreement between the Company and James E. Trevathan [incorporated by reference to Exhibit 10.3 to Form 8-K dated March 9, 2011].</w:t>
      </w:r>
    </w:p>
    <w:p>
      <w:pPr>
        <w:spacing w:after="0" w:line="54" w:lineRule="exact"/>
        <w:rPr>
          <w:sz w:val="20"/>
          <w:szCs w:val="20"/>
          <w:color w:val="auto"/>
        </w:rPr>
      </w:pPr>
    </w:p>
    <w:p>
      <w:pPr>
        <w:ind w:left="1120" w:right="140" w:hanging="1395"/>
        <w:spacing w:after="0" w:line="282" w:lineRule="auto"/>
        <w:tabs>
          <w:tab w:leader="none" w:pos="110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8"/>
          <w:szCs w:val="18"/>
          <w:color w:val="auto"/>
        </w:rPr>
        <w:t>— Employment Agreement between the Company and James C. Fish, Jr. dated August 15, 2011 [incorporated by reference to Exhibit 10.2 to Form 10-Q for the quarter ended September 30, 2011].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420"/>
          </w:cols>
          <w:pgMar w:left="240" w:top="455"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120" w:type="dxa"/>
            <w:vAlign w:val="bottom"/>
          </w:tcPr>
          <w:p>
            <w:pPr>
              <w:spacing w:after="0"/>
              <w:rPr>
                <w:sz w:val="17"/>
                <w:szCs w:val="17"/>
                <w:color w:val="auto"/>
              </w:rPr>
            </w:pPr>
          </w:p>
        </w:tc>
        <w:tc>
          <w:tcPr>
            <w:tcW w:w="9920" w:type="dxa"/>
            <w:vAlign w:val="bottom"/>
          </w:tcPr>
          <w:p>
            <w:pPr>
              <w:spacing w:after="0"/>
              <w:rPr>
                <w:sz w:val="17"/>
                <w:szCs w:val="17"/>
                <w:color w:val="auto"/>
              </w:rPr>
            </w:pPr>
          </w:p>
        </w:tc>
      </w:tr>
      <w:tr>
        <w:trPr>
          <w:trHeight w:val="515"/>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First Amendment to Employment Agreement between the Company and James C. Fish, Jr. dated July 20, 2012 [incorporated by</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to Exhibit 10.3 to Form 10-Q for the quarter ended June 30, 2012].</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Jeff Harris dated December 1, 2006 [incorporated by reference to Exhibit 10.1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8-K dated December 1, 2006].</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 to Employment Agreement by and between the Company and Jeff Harris [incorporated by reference to Exhibit 10.6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10-Q for the quarter ended March 30, 2011].</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John Morris dated June 18, 2012 [incorporated by reference to Exhibit 10.4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10-Q for the quarter ended June 30, 2012].</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Barry H. Caldwell dated September 23, 2002 [incorporated by reference to Exhibit</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10.24 to Form 10-K for the year ended December 31, 2002].</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David Aardsma dated June 16, 2005 [incorporated by reference to Exhibit 10.1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8-K dated June 16, 2005].</w:t>
            </w:r>
          </w:p>
        </w:tc>
      </w:tr>
      <w:tr>
        <w:trPr>
          <w:trHeight w:val="324"/>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Separation and Release Agreement between USA Waste-Management Resources, LLC and David Aardsma dated October 31, 2014.</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Rick L Wittenbraker dated November 10, 2003 [incorporated by reference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 10.30 to Form 10-K for the year ended December 31, 2003].</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William K. Caesar dated August 23, 2011 [incorporated by reference to Exhibit</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 to Form 10-Q for the quarter ended September 30, 2011].</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Separation and Release Agreement between WM Recycle America, LLC and William K. Caesar dated September 15, 2014</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10.1 to Form 10-Q for the period ended September 30, 2014].</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Employment Agreement between the Company and Puneet Bhasin dated December 7, 2009 [incorporated by reference to Exhibit 10.12</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Form 10-K for the year ended December 31, 2009].</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Mark Schwartz dated July 5, 2012 [incorporated by reference to Exhibit 10.5 to</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10-Q for the quarter ended June 30, 2012].</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the Company and Don P. Carpenter dated July 31, 2000, as amended by First Amendment to</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USA Waste-Management Resources, LLC and Don P. Carpenter effective as of August 24, 2012</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10.23 to Form 10-K for the year ended December 31, 2012].</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Employment Agreement between Wheelabrator Technologies Inc. and Mark A. Weidman dated May 11, 2006 [incorporated by</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Form 8-K dated May 11, 2006].</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10.29†*</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Second Amendment to Employment Agreement between Wheelabrator Technologies Inc. and Mark A. Weidman dated December 23,</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2013.</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10.30†*</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Third Amendment to Employment Agreement between Wheelabrator Technologies Inc. and Mark A. Weidman dated December 23,</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2013.</w:t>
            </w:r>
          </w:p>
        </w:tc>
      </w:tr>
      <w:tr>
        <w:trPr>
          <w:trHeight w:val="306"/>
        </w:trPr>
        <w:tc>
          <w:tcPr>
            <w:tcW w:w="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10.31†*</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Fourth Amendment to Employment Agreement between Wheelabrator Technologies Inc. and Mark A. Weidman dated December 23,</w:t>
            </w:r>
          </w:p>
        </w:tc>
      </w:tr>
      <w:tr>
        <w:trPr>
          <w:trHeight w:val="234"/>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2013.</w:t>
            </w:r>
          </w:p>
        </w:tc>
      </w:tr>
      <w:tr>
        <w:trPr>
          <w:trHeight w:val="365"/>
        </w:trPr>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00"/>
              <w:spacing w:after="0"/>
              <w:rPr>
                <w:sz w:val="20"/>
                <w:szCs w:val="20"/>
                <w:color w:val="auto"/>
              </w:rPr>
            </w:pPr>
            <w:r>
              <w:rPr>
                <w:rFonts w:ascii="Times New Roman" w:cs="Times New Roman" w:eastAsia="Times New Roman" w:hAnsi="Times New Roman"/>
                <w:sz w:val="18"/>
                <w:szCs w:val="18"/>
                <w:color w:val="auto"/>
              </w:rPr>
              <w:t>158</w:t>
            </w:r>
          </w:p>
        </w:tc>
      </w:tr>
    </w:tbl>
    <w:p>
      <w:pPr>
        <w:ind w:left="4100"/>
        <w:spacing w:after="0"/>
        <w:rPr>
          <w:sz w:val="20"/>
          <w:szCs w:val="20"/>
          <w:color w:val="auto"/>
        </w:rPr>
        <w:sectPr>
          <w:pgSz w:w="11900" w:h="16838" w:orient="portrait"/>
          <w:cols w:equalWidth="0" w:num="1">
            <w:col w:w="11400"/>
          </w:cols>
          <w:pgMar w:left="240" w:top="446" w:right="2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8" w:name="page159"/>
    <w:bookmarkEnd w:id="15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2">
              <w:r>
                <w:rPr>
                  <w:rFonts w:ascii="Times New Roman" w:cs="Times New Roman" w:eastAsia="Times New Roman" w:hAnsi="Times New Roman"/>
                  <w:sz w:val="18"/>
                  <w:szCs w:val="18"/>
                  <w:b w:val="1"/>
                  <w:bCs w:val="1"/>
                  <w:color w:val="0000EE"/>
                  <w:w w:val="97"/>
                </w:rPr>
                <w:t>Table of Contents</w:t>
              </w:r>
            </w:hyperlink>
          </w:p>
        </w:tc>
        <w:tc>
          <w:tcPr>
            <w:tcW w:w="240" w:type="dxa"/>
            <w:vAlign w:val="bottom"/>
          </w:tcPr>
          <w:p>
            <w:pPr>
              <w:spacing w:after="0"/>
              <w:rPr>
                <w:sz w:val="17"/>
                <w:szCs w:val="17"/>
                <w:color w:val="auto"/>
              </w:rPr>
            </w:pPr>
          </w:p>
        </w:tc>
        <w:tc>
          <w:tcPr>
            <w:tcW w:w="9800" w:type="dxa"/>
            <w:vAlign w:val="bottom"/>
          </w:tcPr>
          <w:p>
            <w:pPr>
              <w:spacing w:after="0"/>
              <w:rPr>
                <w:sz w:val="17"/>
                <w:szCs w:val="17"/>
                <w:color w:val="auto"/>
              </w:rPr>
            </w:pPr>
          </w:p>
        </w:tc>
      </w:tr>
      <w:tr>
        <w:trPr>
          <w:trHeight w:val="515"/>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10.32†</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Director and Executive Officer Indemnity Agreement [incorporated by reference to Exhibit 10.43 to Form 10-K for the year</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ended December 31, 2012].</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Form of 2014 Senior Leadership Team Award Agreement for Long Term Incentive Compensation under the Waste Management, Inc.</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2009 Stock Incentive Plan [incorporated by reference to Exhibit 10.1 to Form 8-K dated March 7, 2014].</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10.34†</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Form of 2013 PSU Award Agreement with ROIC Performance Measure [incorporated by reference to Exhibit 10.1 to Form 8-K dated</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2013].</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10.35†</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2013 PSU Award Agreement with TSR Performance Measure [incorporated by reference to Exhibit 10.2 to Form 8-K dated</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7, 2013].</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10.36†</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2013 Stock Option Award Agreement [incorporated by reference to Exhibit 10.3 to Form 8-K dated March 7, 2013].</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10.37†</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2012 Restricted Stock Unit Award Agreement [incorporated by reference to Exhibit 10.2 to Form 8-K dated July 3, 2012].</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10.38†</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Form of 2012 Performance Share Unit Award Agreement with ROIC Performance Measure [incorporated by reference to Exhibit 10.1</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Form 8-K dated March 9, 2012].</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2012 Performance Share Unit Award Agreement with TSR Performance Measure [incorporated by reference to Exhibit 10.2</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Form 8-K dated March 9, 2012].</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10.40†</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2012 Stock Option Award Agreement [incorporated by reference to Exhibit 10.2 to Form 8-K dated March 9, 2012].</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of the Registrant.</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Rule 13a-14(a) and 15d-14(a) under the Securities Exchange Act of 1934, as amended, of David P. Steiner,</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06"/>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Rule 13a-14(a) and 15d-14(a) under the Securities Exchange Act of 1934, as amended, of James C. Fish, Jr.,</w:t>
            </w:r>
          </w:p>
        </w:tc>
      </w:tr>
      <w:tr>
        <w:trPr>
          <w:trHeight w:val="234"/>
        </w:trPr>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§1350 of David P. Steiner, President and Chief Executive Officer.</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§1350 of James C. Fish, Jr., Executive Vice President and Chief Financial Officer.</w:t>
            </w:r>
          </w:p>
        </w:tc>
      </w:tr>
      <w:tr>
        <w:trPr>
          <w:trHeight w:val="324"/>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95*</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32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 or compensatory plan or arrangement.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400"/>
          </w:cols>
          <w:pgMar w:left="240" w:top="446" w:right="25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RESTATED CERTIFICATE OF INCORPORATION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159"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Waste Management Holdings, Inc., a corporation organized and existing under the laws of the State of Delaware (the “Corporation”), hereby certifies as follows:</w:t>
      </w:r>
    </w:p>
    <w:p>
      <w:pPr>
        <w:spacing w:after="0" w:line="39" w:lineRule="exact"/>
        <w:rPr>
          <w:sz w:val="20"/>
          <w:szCs w:val="20"/>
          <w:color w:val="auto"/>
        </w:rPr>
      </w:pPr>
    </w:p>
    <w:p>
      <w:pPr>
        <w:ind w:right="860" w:firstLine="8"/>
        <w:spacing w:after="0" w:line="275" w:lineRule="auto"/>
        <w:tabs>
          <w:tab w:leader="none" w:pos="17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Waste Management Holdings, Inc., and the name under which the Corporation was originally incorporated is Waste Management, Inc. The date of filing of its original Certificate of Incorporation with the Secretary of State was September 23, 1968.</w:t>
      </w:r>
    </w:p>
    <w:p>
      <w:pPr>
        <w:spacing w:after="0" w:line="119" w:lineRule="exact"/>
        <w:rPr>
          <w:rFonts w:ascii="Times New Roman" w:cs="Times New Roman" w:eastAsia="Times New Roman" w:hAnsi="Times New Roman"/>
          <w:sz w:val="18"/>
          <w:szCs w:val="18"/>
          <w:color w:val="auto"/>
        </w:rPr>
      </w:pPr>
    </w:p>
    <w:p>
      <w:pPr>
        <w:ind w:right="300" w:firstLine="8"/>
        <w:spacing w:after="0" w:line="275" w:lineRule="auto"/>
        <w:tabs>
          <w:tab w:leader="none" w:pos="17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Restated Certificate of Incorporation amends and restates the Restated Certificate of Incorporation of the Corporation, including all amendments thereto, in its entirety.</w:t>
      </w:r>
    </w:p>
    <w:p>
      <w:pPr>
        <w:spacing w:after="0" w:line="119" w:lineRule="exact"/>
        <w:rPr>
          <w:rFonts w:ascii="Times New Roman" w:cs="Times New Roman" w:eastAsia="Times New Roman" w:hAnsi="Times New Roman"/>
          <w:sz w:val="18"/>
          <w:szCs w:val="18"/>
          <w:color w:val="auto"/>
        </w:rPr>
      </w:pPr>
    </w:p>
    <w:p>
      <w:pPr>
        <w:ind w:right="540" w:firstLine="8"/>
        <w:spacing w:after="0" w:line="275" w:lineRule="auto"/>
        <w:tabs>
          <w:tab w:leader="none" w:pos="17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Restated Certificate of Incorporation as amended or supplemented heretofore are hereby deleted in their entirety and the following provisions are substituted in their place:</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Name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name of the Corporation is Waste Management Holdings, Inc.</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Registered Office and Registered Agent</w:t>
      </w:r>
    </w:p>
    <w:p>
      <w:pPr>
        <w:spacing w:after="0" w:line="90"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The street address of the initial registered office of the Corporation in the State of Delaware is the Corporation Trust Center, 1209 Orange Street in the City of Wilmington, County of New Castle. The name of the registered agent of the Corporation is The Corporation Trust Company.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Corporate Purpose</w:t>
      </w:r>
    </w:p>
    <w:p>
      <w:pPr>
        <w:spacing w:after="0" w:line="90"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General Corporation Law of the State of Delaware (the “General Corporation Law”).</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3" w:right="239" w:bottom="1440" w:gutter="0" w:footer="0" w:header="0"/>
        </w:sectPr>
      </w:pPr>
    </w:p>
    <w:bookmarkStart w:id="160" w:name="page161"/>
    <w:bookmarkEnd w:id="16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171"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total number of shares of all classes of stock that the Corporation shall have authority to issue is 100, all of which shall be shares of Common Stock, par value $.01 per share.</w:t>
      </w:r>
    </w:p>
    <w:p>
      <w:pPr>
        <w:spacing w:after="0" w:line="28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9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Elections of directors of the Corporation need not be by written ballot, except and to the extent provided in the By-laws of the Corporation.</w:t>
      </w: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u w:val="single" w:color="auto"/>
          <w:color w:val="auto"/>
        </w:rPr>
        <w:t>Indemnification of Directors, Officers and Others</w:t>
      </w:r>
    </w:p>
    <w:p>
      <w:pPr>
        <w:spacing w:after="0" w:line="171" w:lineRule="exact"/>
        <w:rPr>
          <w:sz w:val="20"/>
          <w:szCs w:val="20"/>
          <w:color w:val="auto"/>
        </w:rPr>
      </w:pPr>
    </w:p>
    <w:p>
      <w:pPr>
        <w:jc w:val="both"/>
        <w:ind w:right="120" w:firstLine="464"/>
        <w:spacing w:after="0" w:line="258"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of the Corporation shall be personally liable to the Corporation or its stockholders for monetary damages for breach of fiduciary duty as a director, except to the extent provided by applicable law (i) for any breach of the director’s duty of loyalty to the Corporation or its stockholders, (ii) for acts or omissions not in good faith or which involve intentional misconduct or a knowing violation of law, (iii) pursuant to Section 174 of the Delaware General Corporation Law, or (iv) for any transaction from which the director derived an improper personal benefit.</w:t>
      </w:r>
    </w:p>
    <w:p>
      <w:pPr>
        <w:spacing w:after="0" w:line="136" w:lineRule="exact"/>
        <w:rPr>
          <w:rFonts w:ascii="Times New Roman" w:cs="Times New Roman" w:eastAsia="Times New Roman" w:hAnsi="Times New Roman"/>
          <w:sz w:val="18"/>
          <w:szCs w:val="18"/>
          <w:color w:val="auto"/>
        </w:rPr>
      </w:pPr>
    </w:p>
    <w:p>
      <w:pPr>
        <w:ind w:right="40" w:firstLine="464"/>
        <w:spacing w:after="0" w:line="254"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or was a director or officer of the Corporation, and each person who serves or served at the request of the Corporation as a director or officer (or equivalent) of another enterprise, shall be indemnified by the Corporation to the fullest extent authorized by the General Corporation Law of Delaware as it may be in effect from time to time, except as to any action, suit or proceeding brought by or on behalf of such director or officer without prior approval of the Board of Directors or, if there is an Interested Stockholder (as defined below) at the time such action, suit or proceeding is brought, without prior approval of the majority of the Continuing Directors (as defined below) of the Corporation. The right to indemnification conferred in this Article VI shall not be exclusive of any other right which any person may have or hereafter acquire under this Third Restated Certificate of Incorporation or any statute, by-law, agreement, vote of stockholders or disinterested directors or otherwise.</w:t>
      </w:r>
    </w:p>
    <w:p>
      <w:pPr>
        <w:spacing w:after="0" w:line="141" w:lineRule="exact"/>
        <w:rPr>
          <w:rFonts w:ascii="Times New Roman" w:cs="Times New Roman" w:eastAsia="Times New Roman" w:hAnsi="Times New Roman"/>
          <w:sz w:val="18"/>
          <w:szCs w:val="18"/>
          <w:color w:val="auto"/>
        </w:rPr>
      </w:pPr>
    </w:p>
    <w:p>
      <w:pPr>
        <w:ind w:firstLine="464"/>
        <w:spacing w:after="0" w:line="254" w:lineRule="auto"/>
        <w:tabs>
          <w:tab w:leader="none" w:pos="7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Delaware General Corporation Law is amended to further limit or eliminate liability of the Corporation’s directors for breach of fiduciary duty, then a director of the Corporation shall not be liable for any such breach to the fullest extent permitted by the Delaware General Corporation Law as so amended. If the Delaware General Corporation Law is amended to increase or expand liability of the Corporation’s directors for breach of fiduciary duty or if the foregoing provisions of this Article VI are modified or repealed by the stockholders of the Corporation, no such amendment, modification or repeal shall apply to or have any effect on the liability or alleged liability of any director of the Corporation for or with respect to any acts or omissions of such director occurring prior to the time of such amendment, modification or repeal or otherwise adversely affect any right or protection of a director of the Corporation existing at the time of such amendment, modification or repeal.</w:t>
      </w:r>
    </w:p>
    <w:p>
      <w:pPr>
        <w:spacing w:after="0" w:line="1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72" w:right="319" w:bottom="1440" w:gutter="0" w:footer="0" w:header="0"/>
        </w:sectPr>
      </w:pPr>
    </w:p>
    <w:bookmarkStart w:id="161" w:name="page162"/>
    <w:bookmarkEnd w:id="161"/>
    <w:p>
      <w:pPr>
        <w:ind w:firstLine="464"/>
        <w:spacing w:after="0" w:line="258" w:lineRule="auto"/>
        <w:tabs>
          <w:tab w:leader="none" w:pos="7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Third Restated Certificate of Incorporation or the by-laws of the Corporation (and notwithstanding the fact that a lesser percentage may be specified by law, this Third Restated Certificate of Incorporation or the by-laws of the Corporation), the amendment or repeal of Article VI of this Third Restated Certificate of Incorporation, or the adoption of any provision inconsistent herewith, shall require the approval of the holders of shares representing at least 80% of the outstanding shares of Common Stock.</w:t>
      </w:r>
    </w:p>
    <w:p>
      <w:pPr>
        <w:spacing w:after="0" w:line="136" w:lineRule="exact"/>
        <w:rPr>
          <w:rFonts w:ascii="Times New Roman" w:cs="Times New Roman" w:eastAsia="Times New Roman" w:hAnsi="Times New Roman"/>
          <w:sz w:val="18"/>
          <w:szCs w:val="18"/>
          <w:color w:val="auto"/>
        </w:rPr>
      </w:pPr>
    </w:p>
    <w:p>
      <w:pPr>
        <w:jc w:val="both"/>
        <w:ind w:right="40" w:firstLine="464"/>
        <w:spacing w:after="0" w:line="256" w:lineRule="auto"/>
        <w:tabs>
          <w:tab w:leader="none" w:pos="7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“Continuing Director” shall mean a Director who was a member of the Board of Directors of the Corporation prior to the time the Interested Stockholder in question became an Interested Stockholder and who is not an Affiliate or Associate of such Interested Stockholder and who was not proposed for election as a Director by or on behalf of such Interested Stockholder, and any successor of a Continuing Director who is not an Affiliate or Associate or representative of such Interested Stockholder and is recommended to succeed a Continuing Director by a majority of the Continuing Directors then on the Board of Directors of the Corporation.</w:t>
      </w:r>
    </w:p>
    <w:p>
      <w:pPr>
        <w:spacing w:after="0" w:line="138" w:lineRule="exact"/>
        <w:rPr>
          <w:rFonts w:ascii="Times New Roman" w:cs="Times New Roman" w:eastAsia="Times New Roman" w:hAnsi="Times New Roman"/>
          <w:sz w:val="18"/>
          <w:szCs w:val="18"/>
          <w:color w:val="auto"/>
        </w:rPr>
      </w:pPr>
    </w:p>
    <w:p>
      <w:pPr>
        <w:ind w:right="60" w:firstLine="464"/>
        <w:spacing w:after="0" w:line="254" w:lineRule="auto"/>
        <w:tabs>
          <w:tab w:leader="none" w:pos="7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“Interested Stockholder” shall mean and include any individual, corporation, partnership or other person or entity (other than the Corporation or any of its Subsidiaries or any employee benefit plan of either the Corporation or any of its Subsidiaries or any trustee or fiduciary with respect to any such plan when acting in such capacity) which, together with its “Affiliates” and “Associates” (as defined pursuant to Rule 12b-2 under the Securities Exchange Act of 1934, as such Rule was in effect on March 1, 1985), was the “Beneficial Owner” (as defined pursuant to Rule 13d-3 under such Act, as such Rule was in effect on March 1, 1985), of more than five percent of the outstanding shares of Common Stock, and any Affiliate or Associate of any such individual, corporation, partnership or other person or entity, or which was the Beneficial Owner at any time within the two-year period immediately preceding the time in question of more than five percent of the outstanding Common Stock, and any Affiliate or Associate of any such individual, corporation, partnership or other person or entity.</w:t>
      </w:r>
    </w:p>
    <w:p>
      <w:pPr>
        <w:spacing w:after="0" w:line="138" w:lineRule="exact"/>
        <w:rPr>
          <w:rFonts w:ascii="Times New Roman" w:cs="Times New Roman" w:eastAsia="Times New Roman" w:hAnsi="Times New Roman"/>
          <w:sz w:val="18"/>
          <w:szCs w:val="18"/>
          <w:color w:val="auto"/>
        </w:rPr>
      </w:pPr>
    </w:p>
    <w:p>
      <w:pPr>
        <w:ind w:right="200" w:firstLine="464"/>
        <w:spacing w:after="0" w:line="275" w:lineRule="auto"/>
        <w:tabs>
          <w:tab w:leader="none" w:pos="7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VI, the term “Subsidiary” shall mean a corporation with respect to which the Corporation is the Beneficial Owner of the majority of each class of voting securities.</w:t>
      </w:r>
    </w:p>
    <w:p>
      <w:pPr>
        <w:spacing w:after="0" w:line="2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9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u w:val="single" w:color="auto"/>
          <w:color w:val="auto"/>
        </w:rPr>
        <w:t>By-Laws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of the Corporation shall have the power to adopt, amend or repeal by-laws.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20"/>
          </w:cols>
          <w:pgMar w:left="240" w:top="274" w:right="339" w:bottom="1440" w:gutter="0" w:footer="0" w:header="0"/>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3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9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Amendment</w:t>
      </w:r>
    </w:p>
    <w:p>
      <w:pPr>
        <w:spacing w:after="0" w:line="171" w:lineRule="exact"/>
        <w:rPr>
          <w:sz w:val="20"/>
          <w:szCs w:val="20"/>
          <w:color w:val="auto"/>
        </w:rPr>
      </w:pPr>
    </w:p>
    <w:p>
      <w:pPr>
        <w:ind w:right="60" w:firstLine="456"/>
        <w:spacing w:after="0" w:line="339" w:lineRule="auto"/>
        <w:rPr>
          <w:sz w:val="20"/>
          <w:szCs w:val="20"/>
          <w:color w:val="auto"/>
        </w:rPr>
      </w:pPr>
      <w:r>
        <w:rPr>
          <w:rFonts w:ascii="Times New Roman" w:cs="Times New Roman" w:eastAsia="Times New Roman" w:hAnsi="Times New Roman"/>
          <w:sz w:val="16"/>
          <w:szCs w:val="16"/>
          <w:color w:val="auto"/>
        </w:rPr>
        <w:t>The Corporation reserves the right to amend, alter, change or repeal any provision of this Third Restated Certificate of Incorporation, in the manner now or hereafter prescribed by law, and all rights conferred on stockholders in this Third Restated Certificate of Incorporation are subject to this reservation.”</w:t>
      </w:r>
    </w:p>
    <w:p>
      <w:pPr>
        <w:spacing w:after="0" w:line="74" w:lineRule="exact"/>
        <w:rPr>
          <w:sz w:val="20"/>
          <w:szCs w:val="20"/>
          <w:color w:val="auto"/>
        </w:rPr>
      </w:pPr>
    </w:p>
    <w:p>
      <w:pPr>
        <w:ind w:right="400" w:firstLine="8"/>
        <w:spacing w:after="0" w:line="275" w:lineRule="auto"/>
        <w:tabs>
          <w:tab w:leader="none" w:pos="17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Restated Certificate of Incorporation was duly adopted by the unanimous written consent of the sole stockholder in accordance with applicable provisions of Section 228, 242 and 245 of the General Corporation Law of the State of Delaware.</w:t>
      </w:r>
    </w:p>
    <w:p>
      <w:pPr>
        <w:spacing w:after="0" w:line="120"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IN WITNESS WHEREOF, WASTE MANAGEMENT HOLDINGS, INC. has caused this Third Restated Certificate of Incorporation to be signed by Linda J. Smith, its Vice President and Secretary, this 5</w:t>
      </w:r>
      <w:r>
        <w:rPr>
          <w:rFonts w:ascii="Times New Roman" w:cs="Times New Roman" w:eastAsia="Times New Roman" w:hAnsi="Times New Roman"/>
          <w:sz w:val="11"/>
          <w:szCs w:val="11"/>
          <w:color w:val="auto"/>
        </w:rPr>
        <w:t>th</w:t>
      </w:r>
      <w:r>
        <w:rPr>
          <w:rFonts w:ascii="Times New Roman" w:cs="Times New Roman" w:eastAsia="Times New Roman" w:hAnsi="Times New Roman"/>
          <w:sz w:val="18"/>
          <w:szCs w:val="18"/>
          <w:color w:val="auto"/>
        </w:rPr>
        <w:t xml:space="preserve"> day of November,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WASTE MANAGEMENT HOLDINGS, INC.</w:t>
      </w:r>
    </w:p>
    <w:p>
      <w:pPr>
        <w:spacing w:after="0" w:line="2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Linda J. Smith</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Vice President and Secretary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163" w:name="page164"/>
    <w:bookmarkEnd w:id="163"/>
    <w:p>
      <w:pPr>
        <w:ind w:left="10600"/>
        <w:spacing w:after="0"/>
        <w:rPr>
          <w:sz w:val="20"/>
          <w:szCs w:val="20"/>
          <w:color w:val="auto"/>
        </w:rPr>
      </w:pPr>
      <w:r>
        <w:rPr>
          <w:rFonts w:ascii="Times New Roman" w:cs="Times New Roman" w:eastAsia="Times New Roman" w:hAnsi="Times New Roman"/>
          <w:sz w:val="16"/>
          <w:szCs w:val="16"/>
          <w:b w:val="1"/>
          <w:bCs w:val="1"/>
          <w:color w:val="auto"/>
        </w:rPr>
        <w:t>Exhibit 4.8</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of Officers’ Certificates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delivered pursuant to Section 301 of the Indenture dated September 10, 1997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 and between Waste Management, Inc. and The Bank of New York Mellon Trust Company, N.A.,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Trustee, establishing the terms and form of Waste Management, Inc.’s Outstanding Senior Notes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7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9"/>
        </w:trPr>
        <w:tc>
          <w:tcPr>
            <w:tcW w:w="1920" w:type="dxa"/>
            <w:vAlign w:val="bottom"/>
            <w:gridSpan w:val="2"/>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65"/>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Issued</w:t>
            </w:r>
          </w:p>
        </w:tc>
        <w:tc>
          <w:tcPr>
            <w:tcW w:w="9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(per annum)</w:t>
            </w:r>
          </w:p>
        </w:tc>
        <w:tc>
          <w:tcPr>
            <w:tcW w:w="10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8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Maturity Date</w:t>
            </w:r>
          </w:p>
        </w:tc>
        <w:tc>
          <w:tcPr>
            <w:tcW w:w="8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800" w:type="dxa"/>
            <w:vAlign w:val="bottom"/>
            <w:tcBorders>
              <w:bottom w:val="single" w:sz="8" w:color="CCEEFF"/>
            </w:tcBorders>
          </w:tcPr>
          <w:p>
            <w:pPr>
              <w:spacing w:after="0"/>
              <w:rPr>
                <w:sz w:val="14"/>
                <w:szCs w:val="14"/>
                <w:color w:val="auto"/>
              </w:rPr>
            </w:pPr>
          </w:p>
        </w:tc>
        <w:tc>
          <w:tcPr>
            <w:tcW w:w="1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5"/>
              </w:rPr>
              <w:t>Interest Payment Dates</w:t>
            </w:r>
          </w:p>
        </w:tc>
        <w:tc>
          <w:tcPr>
            <w:tcW w:w="260" w:type="dxa"/>
            <w:vAlign w:val="bottom"/>
            <w:tcBorders>
              <w:bottom w:val="single" w:sz="8" w:color="auto"/>
            </w:tcBorders>
          </w:tcPr>
          <w:p>
            <w:pPr>
              <w:spacing w:after="0"/>
              <w:rPr>
                <w:sz w:val="14"/>
                <w:szCs w:val="14"/>
                <w:color w:val="auto"/>
              </w:rPr>
            </w:pPr>
          </w:p>
        </w:tc>
      </w:tr>
      <w:tr>
        <w:trPr>
          <w:trHeight w:val="210"/>
        </w:trPr>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$ 150 million</w:t>
            </w:r>
          </w:p>
        </w:tc>
        <w:tc>
          <w:tcPr>
            <w:tcW w:w="9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7.125%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12/17/1997</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redeemed 1/20/2015</w:t>
            </w:r>
          </w:p>
        </w:tc>
        <w:tc>
          <w:tcPr>
            <w:tcW w:w="8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902917AF0</w:t>
            </w:r>
          </w:p>
        </w:tc>
        <w:tc>
          <w:tcPr>
            <w:tcW w:w="8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15; June 15</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$ 600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7.00%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7/17/1998</w:t>
            </w:r>
          </w:p>
        </w:tc>
        <w:tc>
          <w:tcPr>
            <w:tcW w:w="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7/15/2028</w:t>
            </w:r>
          </w:p>
        </w:tc>
        <w:tc>
          <w:tcPr>
            <w:tcW w:w="800" w:type="dxa"/>
            <w:vAlign w:val="bottom"/>
          </w:tcPr>
          <w:p>
            <w:pPr>
              <w:spacing w:after="0"/>
              <w:rPr>
                <w:sz w:val="18"/>
                <w:szCs w:val="18"/>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6"/>
              </w:rPr>
              <w:t>902917AH6</w:t>
            </w:r>
          </w:p>
        </w:tc>
        <w:tc>
          <w:tcPr>
            <w:tcW w:w="1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6"/>
              </w:rPr>
              <w:t>January 15; July 15</w:t>
            </w:r>
          </w:p>
        </w:tc>
        <w:tc>
          <w:tcPr>
            <w:tcW w:w="26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$ 250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7.375%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12/21/1999</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5/15/2029</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6"/>
              </w:rPr>
              <w:t>94106LAG4</w:t>
            </w:r>
          </w:p>
        </w:tc>
        <w:tc>
          <w:tcPr>
            <w:tcW w:w="1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15; November 15</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$ 500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7.75%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5/21/2002</w:t>
            </w:r>
          </w:p>
        </w:tc>
        <w:tc>
          <w:tcPr>
            <w:tcW w:w="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5/15/2032</w:t>
            </w:r>
          </w:p>
        </w:tc>
        <w:tc>
          <w:tcPr>
            <w:tcW w:w="800" w:type="dxa"/>
            <w:vAlign w:val="bottom"/>
          </w:tcPr>
          <w:p>
            <w:pPr>
              <w:spacing w:after="0"/>
              <w:rPr>
                <w:sz w:val="18"/>
                <w:szCs w:val="18"/>
                <w:color w:val="auto"/>
              </w:rPr>
            </w:pPr>
          </w:p>
        </w:tc>
        <w:tc>
          <w:tcPr>
            <w:tcW w:w="1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6"/>
              </w:rPr>
              <w:t>94106LAN9</w:t>
            </w: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15; November 15</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$ 600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6.10%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3/6/2008</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3/15/2018**</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7"/>
              </w:rPr>
              <w:t>94106LAS8</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March 15; September</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$ 350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6.375%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2/26/2009</w:t>
            </w:r>
          </w:p>
        </w:tc>
        <w:tc>
          <w:tcPr>
            <w:tcW w:w="800" w:type="dxa"/>
            <w:vAlign w:val="bottom"/>
          </w:tcPr>
          <w:p>
            <w:pPr>
              <w:spacing w:after="0"/>
              <w:rPr>
                <w:sz w:val="18"/>
                <w:szCs w:val="18"/>
                <w:color w:val="auto"/>
              </w:rPr>
            </w:pPr>
          </w:p>
        </w:tc>
        <w:tc>
          <w:tcPr>
            <w:tcW w:w="23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7"/>
              </w:rPr>
              <w:t>redeemed 1/20/2015</w:t>
            </w: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6"/>
              </w:rPr>
              <w:t>94106LAT6</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March 11; September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$ 450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7.375%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2/26/2009</w:t>
            </w:r>
          </w:p>
        </w:tc>
        <w:tc>
          <w:tcPr>
            <w:tcW w:w="8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7"/>
              </w:rPr>
              <w:t>redeemed 1/20/2015</w:t>
            </w:r>
          </w:p>
        </w:tc>
        <w:tc>
          <w:tcPr>
            <w:tcW w:w="178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6"/>
              </w:rPr>
              <w:t>94106LAU3</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March 11; September</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$ 600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6.125%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11/12/2009</w:t>
            </w:r>
          </w:p>
        </w:tc>
        <w:tc>
          <w:tcPr>
            <w:tcW w:w="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11/30/2039**</w:t>
            </w:r>
          </w:p>
        </w:tc>
        <w:tc>
          <w:tcPr>
            <w:tcW w:w="800" w:type="dxa"/>
            <w:vAlign w:val="bottom"/>
          </w:tcPr>
          <w:p>
            <w:pPr>
              <w:spacing w:after="0"/>
              <w:rPr>
                <w:sz w:val="18"/>
                <w:szCs w:val="18"/>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4"/>
              </w:rPr>
              <w:t>94106LAV1</w:t>
            </w: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May 30; November 30</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$ 600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4.75%</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6/8/2010</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6/30/2020**</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6"/>
              </w:rPr>
              <w:t>94106LAW9</w:t>
            </w:r>
          </w:p>
        </w:tc>
        <w:tc>
          <w:tcPr>
            <w:tcW w:w="1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June 30; December 30</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$ 400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4.60%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2/28/2011</w:t>
            </w:r>
          </w:p>
        </w:tc>
        <w:tc>
          <w:tcPr>
            <w:tcW w:w="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3/1/2021**</w:t>
            </w:r>
          </w:p>
        </w:tc>
        <w:tc>
          <w:tcPr>
            <w:tcW w:w="800" w:type="dxa"/>
            <w:vAlign w:val="bottom"/>
          </w:tcPr>
          <w:p>
            <w:pPr>
              <w:spacing w:after="0"/>
              <w:rPr>
                <w:sz w:val="18"/>
                <w:szCs w:val="18"/>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6"/>
              </w:rPr>
              <w:t>941063AQ2</w:t>
            </w:r>
          </w:p>
        </w:tc>
        <w:tc>
          <w:tcPr>
            <w:tcW w:w="16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March 1; September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$ 500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2.60%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8/29/2011</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9/1/2016**</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6"/>
              </w:rPr>
              <w:t>94106LAX7</w:t>
            </w: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March 1; September</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$ 500 million</w:t>
            </w:r>
          </w:p>
        </w:tc>
        <w:tc>
          <w:tcPr>
            <w:tcW w:w="180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2.90%</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9/12/2012</w:t>
            </w:r>
          </w:p>
        </w:tc>
        <w:tc>
          <w:tcPr>
            <w:tcW w:w="8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9/15/2022**</w:t>
            </w:r>
          </w:p>
        </w:tc>
        <w:tc>
          <w:tcPr>
            <w:tcW w:w="800" w:type="dxa"/>
            <w:vAlign w:val="bottom"/>
          </w:tcPr>
          <w:p>
            <w:pPr>
              <w:spacing w:after="0"/>
              <w:rPr>
                <w:sz w:val="18"/>
                <w:szCs w:val="18"/>
                <w:color w:val="auto"/>
              </w:rPr>
            </w:pPr>
          </w:p>
        </w:tc>
        <w:tc>
          <w:tcPr>
            <w:tcW w:w="178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4"/>
              </w:rPr>
              <w:t>94106LAY5</w:t>
            </w:r>
          </w:p>
        </w:tc>
        <w:tc>
          <w:tcPr>
            <w:tcW w:w="16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March 15; September</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$ 350 million</w:t>
            </w:r>
          </w:p>
        </w:tc>
        <w:tc>
          <w:tcPr>
            <w:tcW w:w="180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3.50%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5/8/2014</w:t>
            </w: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5/15/2024**</w:t>
            </w:r>
          </w:p>
        </w:tc>
        <w:tc>
          <w:tcPr>
            <w:tcW w:w="8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800"/>
              <w:spacing w:after="0"/>
              <w:rPr>
                <w:sz w:val="20"/>
                <w:szCs w:val="20"/>
                <w:color w:val="auto"/>
              </w:rPr>
            </w:pPr>
            <w:r>
              <w:rPr>
                <w:rFonts w:ascii="Times New Roman" w:cs="Times New Roman" w:eastAsia="Times New Roman" w:hAnsi="Times New Roman"/>
                <w:sz w:val="18"/>
                <w:szCs w:val="18"/>
                <w:color w:val="auto"/>
                <w:w w:val="96"/>
              </w:rPr>
              <w:t>94106LAZ2</w:t>
            </w:r>
          </w:p>
        </w:tc>
        <w:tc>
          <w:tcPr>
            <w:tcW w:w="1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May 15; November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0" w:hanging="452"/>
        <w:spacing w:after="0" w:line="257" w:lineRule="auto"/>
        <w:tabs>
          <w:tab w:leader="none" w:pos="4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series of Senior Notes have been partially redeemed, such that the remaining outstanding principal amount of such Senior Notes as of December 31, 2014 was $577.2 million, $222.9 million and $496.0 million, respectively.</w:t>
      </w:r>
    </w:p>
    <w:p>
      <w:pPr>
        <w:spacing w:after="0" w:line="1" w:lineRule="exact"/>
        <w:rPr>
          <w:sz w:val="20"/>
          <w:szCs w:val="20"/>
          <w:color w:val="auto"/>
        </w:rPr>
      </w:pPr>
    </w:p>
    <w:p>
      <w:pPr>
        <w:ind w:left="460" w:hanging="452"/>
        <w:spacing w:after="0" w:line="255" w:lineRule="auto"/>
        <w:tabs>
          <w:tab w:leader="none" w:pos="4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series of Senior Notes contain a Change of Control Offer covenant that provides, if a change of control triggering event occurs, each holder of the notes may require us to purchase all or a portion of such holder’s notes at a price equal to 101% of the principal amount, plus accrued interest, if any, to the date of purchase.</w:t>
      </w:r>
    </w:p>
    <w:p>
      <w:pPr>
        <w:spacing w:after="0" w:line="13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This schedule is provided in accordance with Instruction 2 to Regulation S-K Item 601, as each of the series of Series Notes is governed by an instrument that differs only in the material respects set forth in the schedule above from the Officers’ Certificate identified as Exhibit 4.6. Each of the series of Senior Notes identified above is also guaranteed by Waste Management Holdings, Inc. in favor of The Bank of New York Mellon Trust Company, N.A., as Trustee for the holders of Waste Management, Inc.’s Senior Notes.</w:t>
      </w:r>
    </w:p>
    <w:p>
      <w:pPr>
        <w:sectPr>
          <w:pgSz w:w="11900" w:h="16838" w:orient="portrait"/>
          <w:cols w:equalWidth="0" w:num="1">
            <w:col w:w="11420"/>
          </w:cols>
          <w:pgMar w:left="240" w:top="123" w:right="2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p>
      <w:pPr>
        <w:spacing w:after="0" w:line="22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THIS SEPARATION AND RELEASE AGREEMENT (“Separation Agreement”) is entered into between USA Waste-Management Resources, LLC (the “Company”) and David Aardsma (the “Executive”).</w:t>
      </w:r>
    </w:p>
    <w:p>
      <w:pPr>
        <w:spacing w:after="0" w:line="162"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This Separation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REAMBLE</w:t>
      </w:r>
    </w:p>
    <w:p>
      <w:pPr>
        <w:spacing w:after="0" w:line="227" w:lineRule="exact"/>
        <w:rPr>
          <w:sz w:val="20"/>
          <w:szCs w:val="20"/>
          <w:color w:val="auto"/>
        </w:rPr>
      </w:pPr>
    </w:p>
    <w:p>
      <w:pPr>
        <w:ind w:right="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WHEREAS, </w:t>
      </w:r>
      <w:r>
        <w:rPr>
          <w:rFonts w:ascii="Times New Roman" w:cs="Times New Roman" w:eastAsia="Times New Roman" w:hAnsi="Times New Roman"/>
          <w:sz w:val="18"/>
          <w:szCs w:val="18"/>
          <w:color w:val="auto"/>
        </w:rPr>
        <w:t>Waste Management, Inc. (together with any entity that is a direct or indirect majority-owned subsidiary of Waste Management,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“Waste Management”) and Executive previously entered into that certain Employment Agreement dated June 16, 2005, as may have been amended from time to time (the “Employment Agreement”);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WHEREAS, </w:t>
      </w:r>
      <w:r>
        <w:rPr>
          <w:rFonts w:ascii="Times New Roman" w:cs="Times New Roman" w:eastAsia="Times New Roman" w:hAnsi="Times New Roman"/>
          <w:sz w:val="18"/>
          <w:szCs w:val="18"/>
          <w:color w:val="auto"/>
        </w:rPr>
        <w:t>pursuant to such Employment Agreement, Executive has been continuously employed;</w:t>
      </w:r>
    </w:p>
    <w:p>
      <w:pPr>
        <w:spacing w:after="0" w:line="225" w:lineRule="exact"/>
        <w:rPr>
          <w:sz w:val="20"/>
          <w:szCs w:val="20"/>
          <w:color w:val="auto"/>
        </w:rPr>
      </w:pPr>
    </w:p>
    <w:p>
      <w:pPr>
        <w:ind w:right="5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WHEREAS, </w:t>
      </w:r>
      <w:r>
        <w:rPr>
          <w:rFonts w:ascii="Times New Roman" w:cs="Times New Roman" w:eastAsia="Times New Roman" w:hAnsi="Times New Roman"/>
          <w:sz w:val="18"/>
          <w:szCs w:val="18"/>
          <w:color w:val="auto"/>
        </w:rPr>
        <w:t>Executive has elected to participate in the Company’s 2014 voluntary early retirement program (the “VERP”) and his resignation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October 31, 2014;</w:t>
      </w:r>
    </w:p>
    <w:p>
      <w:pPr>
        <w:spacing w:after="0" w:line="158"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WHEREAS, </w:t>
      </w:r>
      <w:r>
        <w:rPr>
          <w:rFonts w:ascii="Times New Roman" w:cs="Times New Roman" w:eastAsia="Times New Roman" w:hAnsi="Times New Roman"/>
          <w:sz w:val="18"/>
          <w:szCs w:val="18"/>
          <w:color w:val="auto"/>
        </w:rPr>
        <w:t>the Parties agree that upon his separation and execution of a waiver and release of claims, Executive will receive certain benefits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Exhibit B of this Separation Agreement;</w:t>
      </w:r>
    </w:p>
    <w:p>
      <w:pPr>
        <w:spacing w:after="0" w:line="158" w:lineRule="exact"/>
        <w:rPr>
          <w:sz w:val="20"/>
          <w:szCs w:val="20"/>
          <w:color w:val="auto"/>
        </w:rPr>
      </w:pPr>
    </w:p>
    <w:p>
      <w:pPr>
        <w:ind w:right="3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WHEREAS, </w:t>
      </w:r>
      <w:r>
        <w:rPr>
          <w:rFonts w:ascii="Times New Roman" w:cs="Times New Roman" w:eastAsia="Times New Roman" w:hAnsi="Times New Roman"/>
          <w:sz w:val="18"/>
          <w:szCs w:val="18"/>
          <w:color w:val="auto"/>
        </w:rPr>
        <w:t>the Company and Executive now jointly desire to enter into this Separation Agreement to supplement the continuing provisions of 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Agreement as set forth below; and</w:t>
      </w:r>
    </w:p>
    <w:p>
      <w:pPr>
        <w:spacing w:after="0" w:line="158" w:lineRule="exact"/>
        <w:rPr>
          <w:sz w:val="20"/>
          <w:szCs w:val="20"/>
          <w:color w:val="auto"/>
        </w:rPr>
      </w:pPr>
    </w:p>
    <w:p>
      <w:pPr>
        <w:ind w:right="2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NOW, THEREFORE, </w:t>
      </w:r>
      <w:r>
        <w:rPr>
          <w:rFonts w:ascii="Times New Roman" w:cs="Times New Roman" w:eastAsia="Times New Roman" w:hAnsi="Times New Roman"/>
          <w:sz w:val="18"/>
          <w:szCs w:val="18"/>
          <w:color w:val="auto"/>
        </w:rPr>
        <w:t>in consideration of the premises and agreements contained herein, and for other good and valuable consideration,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Executive hereby agree as follows:</w:t>
      </w:r>
    </w:p>
    <w:p>
      <w:pPr>
        <w:spacing w:after="0" w:line="156" w:lineRule="exact"/>
        <w:rPr>
          <w:sz w:val="20"/>
          <w:szCs w:val="20"/>
          <w:color w:val="auto"/>
        </w:rPr>
      </w:pPr>
    </w:p>
    <w:p>
      <w:pPr>
        <w:jc w:val="both"/>
        <w:ind w:right="240" w:firstLine="464"/>
        <w:spacing w:after="0" w:line="262" w:lineRule="auto"/>
        <w:tabs>
          <w:tab w:leader="none" w:pos="636"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of Executive will terminate on October 31, 2014 (“Employment Termination Date”).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 that Executive is entitled to the certain compensation and benefits set forth in Section 6(d) of the Employment Agreement without his execution of a release, as more specifically detailed in Exhibit A to this Separation Agreement. </w:t>
      </w:r>
      <w:r>
        <w:rPr>
          <w:rFonts w:ascii="Times New Roman" w:cs="Times New Roman" w:eastAsia="Times New Roman" w:hAnsi="Times New Roman"/>
          <w:sz w:val="18"/>
          <w:szCs w:val="18"/>
          <w:u w:val="single" w:color="auto"/>
          <w:color w:val="auto"/>
        </w:rPr>
        <w:t>It is expressly agreed to and acknowledged by the parties that Executive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entitled to the compensation and benefits set forth in Exhibit A whether or not he executes this Separation Agreement.</w:t>
      </w:r>
    </w:p>
    <w:p>
      <w:pPr>
        <w:sectPr>
          <w:pgSz w:w="11900" w:h="16838" w:orient="portrait"/>
          <w:cols w:equalWidth="0" w:num="1">
            <w:col w:w="11420"/>
          </w:cols>
          <w:pgMar w:left="240" w:top="117" w:right="239" w:bottom="1440" w:gutter="0" w:footer="0" w:header="0"/>
        </w:sectPr>
      </w:pPr>
    </w:p>
    <w:bookmarkStart w:id="165" w:name="page166"/>
    <w:bookmarkEnd w:id="165"/>
    <w:p>
      <w:pPr>
        <w:ind w:right="80" w:firstLine="464"/>
        <w:spacing w:after="0" w:line="259" w:lineRule="auto"/>
        <w:tabs>
          <w:tab w:leader="none" w:pos="636"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Additional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premises and promises herein contained, and subject to Executive executing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revoking this Separation Agreement, it is agreed that the Company will provide Executive those certain benefits specifically detailed in Exhibit B to this Separation Agreement. </w:t>
      </w:r>
      <w:r>
        <w:rPr>
          <w:rFonts w:ascii="Times New Roman" w:cs="Times New Roman" w:eastAsia="Times New Roman" w:hAnsi="Times New Roman"/>
          <w:sz w:val="18"/>
          <w:szCs w:val="18"/>
          <w:u w:val="single" w:color="auto"/>
          <w:color w:val="auto"/>
        </w:rPr>
        <w:t>It is expressly agreed to and acknowledged by the parties that Executive is not entitled to the benefits set forth in Exhibit B until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time as he executes and does not revoke this Separation Agreement</w:t>
      </w:r>
      <w:r>
        <w:rPr>
          <w:rFonts w:ascii="Times New Roman" w:cs="Times New Roman" w:eastAsia="Times New Roman" w:hAnsi="Times New Roman"/>
          <w:sz w:val="18"/>
          <w:szCs w:val="18"/>
          <w:color w:val="auto"/>
        </w:rPr>
        <w:t>. The Company shall withhold, or cause to be withheld, from said payments all amounts required to be withheld pursuant to federal, state or local tax laws.</w:t>
      </w:r>
    </w:p>
    <w:p>
      <w:pPr>
        <w:spacing w:after="0" w:line="184"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The consideration set forth in this Paragraph 2 is in full, final and complete settlement of any and all claims which Executive could make in any complaint, charge, or civil action, whether for actual, nominal, compensatory, or punitive damages (including attorneys’ fees). Executive acknowledges that such consideration is being made as consideration for the releases set forth in Paragraphs 3 and 4. Executive further acknowledges that the items of consideration set forth in this Paragraph 2 are separate and distinct of and from each other, and that payment of each such item is independent valuable consideration for the release and waiver set forth in Paragraphs 3 and 4.</w:t>
      </w:r>
    </w:p>
    <w:p>
      <w:pPr>
        <w:spacing w:after="0" w:line="180" w:lineRule="exact"/>
        <w:rPr>
          <w:sz w:val="20"/>
          <w:szCs w:val="20"/>
          <w:color w:val="auto"/>
        </w:rPr>
      </w:pPr>
    </w:p>
    <w:p>
      <w:pPr>
        <w:ind w:right="20" w:firstLine="464"/>
        <w:spacing w:after="0" w:line="259" w:lineRule="auto"/>
        <w:tabs>
          <w:tab w:leader="none" w:pos="636"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exchange for the first payment made to you pursuant to Paragraph 2, Executive releases and discharge the Company, its past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present parent, subsidiary and affiliated companies, agents, directors, officers, employees, and representatives, and all persons acting by, through, under or in concert with the Company (collectively referred to as the “Released Parties”), from any and all causes of action, claims, liabilities, obligations, promises, agreements, controversies, damages, and expenses, known or unknown, which Executive ever had, or now have, against the Released Parties to the date of this Separation Agreement. The claims Executive releases include, but are not limited to, claims that the Released Parties:</w:t>
      </w:r>
    </w:p>
    <w:p>
      <w:pPr>
        <w:spacing w:after="0" w:line="89" w:lineRule="exact"/>
        <w:rPr>
          <w:rFonts w:ascii="Times New Roman" w:cs="Times New Roman" w:eastAsia="Times New Roman" w:hAnsi="Times New Roman"/>
          <w:sz w:val="18"/>
          <w:szCs w:val="18"/>
          <w:b w:val="1"/>
          <w:bCs w:val="1"/>
          <w:color w:val="auto"/>
        </w:rPr>
      </w:pPr>
    </w:p>
    <w:p>
      <w:pPr>
        <w:ind w:left="900" w:right="140" w:hanging="325"/>
        <w:spacing w:after="0" w:line="258"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the Massachusetts Fair Employment Practices Act, the New Jersey Conscientious Employee Protection Act, the New Jersey Law Against Discrimination, the New Jersey Whistleblower Act, North Dakota Century Code §9-13-02 and South Dakota Code Laws § 20-7-11; or</w:t>
      </w:r>
    </w:p>
    <w:p>
      <w:pPr>
        <w:spacing w:after="0" w:line="89"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discriminated against Executive on the basis of Executive’s age or violated any right Executive may have under the Age Discrimination in Employment Act (“ADEA”);</w:t>
      </w:r>
      <w:r>
        <w:rPr>
          <w:rFonts w:ascii="Times New Roman" w:cs="Times New Roman" w:eastAsia="Times New Roman" w:hAnsi="Times New Roman"/>
          <w:sz w:val="18"/>
          <w:szCs w:val="18"/>
          <w:color w:val="auto"/>
        </w:rPr>
        <w:t xml:space="preserve"> or</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failed to give proper notice of this employment termination under the Workers Adjustment and Retraining Notification Act (“WARN”), or any similar state or local statute or ordinance; or</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other federal, state, or local employment statute, such as the Employee Retirement Income Security Act of 1974, which, among other things, protects employee benefits; the Fair Labor Standards Act, which regulates wage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6" w:right="239" w:bottom="1440" w:gutter="0" w:footer="0" w:header="0"/>
        </w:sectPr>
      </w:pPr>
    </w:p>
    <w:bookmarkStart w:id="166" w:name="page167"/>
    <w:bookmarkEnd w:id="166"/>
    <w:p>
      <w:pPr>
        <w:ind w:left="92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hour matters; the Family and Medical Leave Act, which requires employers to provide leaves of absence under certain circumstances; Title VII of the Civil Rights Act of 1964; the Older Workers Benefits Protection Act; the Americans With Disabilities Act; the Rehabilitation Act; OSHA; and any other laws relating to employment; or</w:t>
      </w:r>
    </w:p>
    <w:p>
      <w:pPr>
        <w:spacing w:after="0" w:line="82" w:lineRule="exact"/>
        <w:rPr>
          <w:sz w:val="20"/>
          <w:szCs w:val="20"/>
          <w:color w:val="auto"/>
        </w:rPr>
      </w:pPr>
    </w:p>
    <w:p>
      <w:pPr>
        <w:ind w:left="900" w:right="200" w:hanging="325"/>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its personnel policies, handbooks, any covenant of good faith and fair dealing, or any contract of employment between Executive and any of the Released Parties; or</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public policy or common law, including claims for: personal injury, invasion of privacy, retaliatory discharge, negligent hiring, retention or supervision, defamation, intentional or negligent infliction of emotional distress and/or mental anguish, intentional interference with contract, negligence, detrimental reliance, loss of consortium to Executive or any member of Executive’s family, and/or promissory estoppel; or</w:t>
      </w:r>
    </w:p>
    <w:p>
      <w:pPr>
        <w:spacing w:after="0" w:line="81" w:lineRule="exact"/>
        <w:rPr>
          <w:rFonts w:ascii="Times New Roman" w:cs="Times New Roman" w:eastAsia="Times New Roman" w:hAnsi="Times New Roman"/>
          <w:sz w:val="18"/>
          <w:szCs w:val="18"/>
          <w:color w:val="auto"/>
        </w:rPr>
      </w:pPr>
    </w:p>
    <w:p>
      <w:pPr>
        <w:jc w:val="both"/>
        <w:ind w:left="900" w:right="60" w:hanging="325"/>
        <w:spacing w:after="0" w:line="266"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any way obligated for any reason to pay Executive’s damages, expenses, litigation costs (including attorneys’ fees), bonuses, commissions, disability benefits, compensatory damages, punitive damages, and/or interest, except as provided for in Paragraph 12 of Executive’s Agreement, or as otherwise provided in the Waste Management’s certificates of incorporation or by-laws contract or by law.</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Executive understands and agrees that this Separation Agreement includes all claims that Executive may have and that Executive does not now know or suspect to exist in Executive’s favor against the Released Parties, and that this Separation Agreement extinguishes those claims. Executive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prohibited from making or asserting (a) any claim or right under state workers’ compensation or unemployment laws; (b) any claim or right, which by law cannot be waived through private agreement; or (c) any claims or rights under the ADEA or any other law that may arise after Executive executes this Separation Agreement.</w:t>
      </w:r>
    </w:p>
    <w:p>
      <w:pPr>
        <w:spacing w:after="0" w:line="180" w:lineRule="exact"/>
        <w:rPr>
          <w:sz w:val="20"/>
          <w:szCs w:val="20"/>
          <w:color w:val="auto"/>
        </w:rPr>
      </w:pPr>
    </w:p>
    <w:p>
      <w:pPr>
        <w:ind w:right="80" w:firstLine="464"/>
        <w:spacing w:after="0" w:line="255" w:lineRule="auto"/>
        <w:tabs>
          <w:tab w:leader="none" w:pos="636"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 and Administrative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Separation Agreement shall affect the U.S. Equal Employment Opportunity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Commission’s (“EEOC”) or a comparable state or local agency’s rights and responsibilities to enforce the Civil Rights Act of 1964, as amended, the Age Discrimination in Employment Act of 1967 (“ADEA”), as amended, or any other applicable law. Further, nothing in this Separation Agreement shall be construed as a basis for interfering with Executive’s protected right to challenge the waiver of an ADEA claim under the Older Workers Benefit Protection Act, or to file a charge with, or participate in an investigation or proceeding conducted by, the EEOC, the National Labor Relations Board (“NLRB”) or any other state, federal or local government entity; provided, however, if the EEOC, NLRB, or any other state, federal or local government entity commences an investigation on Executive’s behalf, Executive specifically waive and releases his right, if any, to recover any monetary or other benefits of any sort whatsoever arising from any such investigation, nor will Executive seek reinstatement to Executive’s former position with the Company.</w:t>
      </w:r>
    </w:p>
    <w:p>
      <w:pPr>
        <w:spacing w:after="0" w:line="185" w:lineRule="exact"/>
        <w:rPr>
          <w:rFonts w:ascii="Times New Roman" w:cs="Times New Roman" w:eastAsia="Times New Roman" w:hAnsi="Times New Roman"/>
          <w:sz w:val="18"/>
          <w:szCs w:val="18"/>
          <w:b w:val="1"/>
          <w:bCs w:val="1"/>
          <w:color w:val="auto"/>
        </w:rPr>
      </w:pPr>
    </w:p>
    <w:p>
      <w:pPr>
        <w:ind w:right="460" w:firstLine="464"/>
        <w:spacing w:after="0" w:line="286" w:lineRule="auto"/>
        <w:tabs>
          <w:tab w:leader="none" w:pos="636"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Covenant Not to 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purpose of giving a full and complete release, Executive covenants and agrees that he has no pending claims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charges against the Released</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70" w:right="319" w:bottom="1440" w:gutter="0" w:footer="0" w:header="0"/>
        </w:sectPr>
      </w:pPr>
    </w:p>
    <w:bookmarkStart w:id="167" w:name="page168"/>
    <w:bookmarkEnd w:id="16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Paragraph 3 above.</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Nothing in this Separation Agreement prevents Executive from bringing an action challenging the validity of this Separation Agreement or taking any action set forth in Paragraph 4 above. If a federal, state or local government agency commences an investigation on your behalf, Executive specifically waives and releases the right, if any, to recover any monetary or other benefits of any sort whatsoever arising from any such investigation, nor will Executive seek reinstatement to Executive’s former position with the Company.</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Executive breaches this Separation Agreement by suing any of the Released Parties in violation of this Covenant Not to Sue, Executive understands that (i) the Released Parties will be entitled to apply for and receive an injunction to restrain any violation of this paragraph, and (ii) Executive will be required to pay the Released Parties’ legal costs and expenses, including reasonable attorney fees, associated with defending against the lawsuit and enforcing the terms of this Separation Agreement.</w:t>
      </w:r>
    </w:p>
    <w:p>
      <w:pPr>
        <w:spacing w:after="0" w:line="176" w:lineRule="exact"/>
        <w:rPr>
          <w:sz w:val="20"/>
          <w:szCs w:val="20"/>
          <w:color w:val="auto"/>
        </w:rPr>
      </w:pPr>
    </w:p>
    <w:p>
      <w:pPr>
        <w:ind w:right="60" w:firstLine="464"/>
        <w:spacing w:after="0" w:line="268" w:lineRule="auto"/>
        <w:tabs>
          <w:tab w:leader="none" w:pos="636"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Protective Covenants and Loss of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acknowledges and agrees that the protective and restrictive covenants set forth in Section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Employment Agreement (the “Employment Agreement Protective Covenants”) remain in full force and effect and that the benefits payable under Section 2 of this Separation Agreement are subject to forfeiture due to prohibited conduct as set forth in Section 11 of the Employment Agreement.</w:t>
      </w:r>
    </w:p>
    <w:p>
      <w:pPr>
        <w:spacing w:after="0" w:line="170" w:lineRule="exact"/>
        <w:rPr>
          <w:rFonts w:ascii="Times New Roman" w:cs="Times New Roman" w:eastAsia="Times New Roman" w:hAnsi="Times New Roman"/>
          <w:sz w:val="18"/>
          <w:szCs w:val="18"/>
          <w:b w:val="1"/>
          <w:bCs w:val="1"/>
          <w:color w:val="auto"/>
        </w:rPr>
      </w:pPr>
    </w:p>
    <w:p>
      <w:pPr>
        <w:ind w:right="40" w:firstLine="464"/>
        <w:spacing w:after="0" w:line="317" w:lineRule="auto"/>
        <w:tabs>
          <w:tab w:leader="none" w:pos="636"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Application to all Forms of Relief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Separation Agreement applies to any relief no matter how called, including without limitation, wages, back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 front pay, reinstatement, compensatory damages, liquidated damages, punitive damages for pain or suffering, costs and attorney’s fees and expenses.</w:t>
      </w:r>
    </w:p>
    <w:p>
      <w:pPr>
        <w:spacing w:after="0" w:line="131" w:lineRule="exact"/>
        <w:rPr>
          <w:rFonts w:ascii="Times New Roman" w:cs="Times New Roman" w:eastAsia="Times New Roman" w:hAnsi="Times New Roman"/>
          <w:sz w:val="17"/>
          <w:szCs w:val="17"/>
          <w:b w:val="1"/>
          <w:bCs w:val="1"/>
          <w:color w:val="auto"/>
        </w:rPr>
      </w:pPr>
    </w:p>
    <w:p>
      <w:pPr>
        <w:ind w:right="140" w:firstLine="464"/>
        <w:spacing w:after="0" w:line="262" w:lineRule="auto"/>
        <w:tabs>
          <w:tab w:leader="none" w:pos="636"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Admissions, Complaints or Other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Executive acknowledges and agrees that this Separation Agreement is not to be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way as an admission of any liability whatsoever by any Released Party, any such liability being expressly denied. The Executive also acknowledges and agrees that he has not, with respect to any transaction or state of facts existing prior to the date hereof, filed any Actions against any Released Party with any governmental agency, court or tribunal.</w:t>
      </w:r>
    </w:p>
    <w:p>
      <w:pPr>
        <w:spacing w:after="0" w:line="176" w:lineRule="exact"/>
        <w:rPr>
          <w:rFonts w:ascii="Times New Roman" w:cs="Times New Roman" w:eastAsia="Times New Roman" w:hAnsi="Times New Roman"/>
          <w:sz w:val="18"/>
          <w:szCs w:val="18"/>
          <w:b w:val="1"/>
          <w:bCs w:val="1"/>
          <w:color w:val="auto"/>
        </w:rPr>
      </w:pPr>
    </w:p>
    <w:p>
      <w:pPr>
        <w:ind w:right="320" w:firstLine="464"/>
        <w:spacing w:after="0" w:line="268" w:lineRule="auto"/>
        <w:tabs>
          <w:tab w:leader="none" w:pos="636"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has fully reviewed the terms of this Separation Agreement, acknowledges that he understands its terms, and states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he is entering into this Separation Agreement knowingly, voluntarily, and in full settlement of all claims which existed in the past or which currently exist, that arise out of his employment with the Company or the termination of his employment.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168" w:name="page169"/>
    <w:bookmarkEnd w:id="168"/>
    <w:p>
      <w:pPr>
        <w:ind w:right="9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acknowledges that he has had at least forty-five (45) days to consider this General Release Agreement thoroughly, and Executive understands that he has the right to consult with an attorney, before he signs below and is advised to do so.</w:t>
      </w:r>
    </w:p>
    <w:p>
      <w:pPr>
        <w:spacing w:after="0" w:line="162"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If Executive signs and returns this General Release Agreement before the end of the 45-day period, he certifies that his acceptance of a shortened time period is knowing and voluntary, and the Company did not — through fraud, misrepresentation, a threat to withdraw or alter the offer before the 45-day period expires, or by providing different terms to other employees who sign the release before such time period expires — improperly encourage Executive to sign.</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Executive understands that he may revoke this General Release Agreement within seven (7) days after he signs it. Executive’s revocation must be in writing and submitted within the seven (7) day period to Kimberly Gee Stith, via hand delivery or via electronic delivery at: KStith@wm.com. If Executive does not revoke this General Release Agreement within the seven (7) day period, it becomes irrevocable. Executive further understands that if he revokes this General Release Agreement, he will not be eligible to receive the benefits described in Exhibit B. All benefits described in Exhibit B will be paid on the dates specified herein, but only if this General Release Agreement has been duly executed and not revoked within its revocation period.</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Executive also acknowledges that before signing this Separation Agreement, Executive received certain information about the eligibility for the benefits available under this Separation Agreement and the persons affected by this employment termination program, including the job titles and ages of both the persons selected and not selected to receive the benefits available under this Separation Agreement. This information is attached to this Separation Agreement as Exhibit C.</w:t>
      </w:r>
    </w:p>
    <w:p>
      <w:pPr>
        <w:spacing w:after="0" w:line="176" w:lineRule="exact"/>
        <w:rPr>
          <w:sz w:val="20"/>
          <w:szCs w:val="20"/>
          <w:color w:val="auto"/>
        </w:rPr>
      </w:pPr>
    </w:p>
    <w:p>
      <w:pPr>
        <w:ind w:right="40" w:firstLine="464"/>
        <w:spacing w:after="0" w:line="255" w:lineRule="auto"/>
        <w:tabs>
          <w:tab w:leader="none" w:pos="726"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and Acquisition of Goodwill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waives and releases any and all claims that restrictive covenants contained in Paragraph 10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Employment Agreement (the “Employment Agreement Protective Covenants”) are not enforceable or are against public policy. Executive covenants not to file a lawsuit or arbitration proceeding, pursue declaratory relief, or otherwise take any legal action to challenge the enforceability of the Employment Agreement Protective Covenants. The parties agree that the payments and benefits referred to in Exhibit B are, in part,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Protective Covenants (incorporated herein by reference) for the periods of time set forth therein. It is specifically agreed that the two-year Restricted Term set forth in Paragraph 10 of the Employment Agreement and the restriction provided for therein shall commence upon Executive’s termination of employment with the Company.</w:t>
      </w:r>
    </w:p>
    <w:p>
      <w:pPr>
        <w:spacing w:after="0" w:line="181" w:lineRule="exact"/>
        <w:rPr>
          <w:rFonts w:ascii="Times New Roman" w:cs="Times New Roman" w:eastAsia="Times New Roman" w:hAnsi="Times New Roman"/>
          <w:sz w:val="18"/>
          <w:szCs w:val="18"/>
          <w:b w:val="1"/>
          <w:bCs w:val="1"/>
          <w:color w:val="auto"/>
        </w:rPr>
      </w:pPr>
    </w:p>
    <w:p>
      <w:pPr>
        <w:ind w:right="20" w:firstLine="464"/>
        <w:spacing w:after="0" w:line="262" w:lineRule="auto"/>
        <w:tabs>
          <w:tab w:leader="none" w:pos="716"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Assistance and 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agrees that he will cooperate fully with the Company and its counsel, upon their request,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proceeding (including any litigation, arbitration, regulatory proceeding, investigation or governmental action) that relates to matters with which Executive was involved while he was an employee of the Company or with which he has knowledge. Executive agrees to render such cooperation in a timely fashion and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70" w:right="239" w:bottom="1440" w:gutter="0" w:footer="0" w:header="0"/>
        </w:sectPr>
      </w:pPr>
    </w:p>
    <w:bookmarkStart w:id="169" w:name="page170"/>
    <w:bookmarkEnd w:id="16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Company personnel and the Company’s counsel with the full benefit of his knowledge with respect to any such matter. The Company shall reimburse Executive for actual and reasonable costs and expenses, including reasonable attorney’s fees, related to his assistance in such matters. Executive will remain an elected officer of the Company until the Employment Termination Date. Accordingly, Executive will be entitled to benefit of the indemnity and expense reimbursement provisions in Article Eighth of the Company’s Third Amended and Restated Certification of Incorporation and Article X of the Company’s Bylaws, all subject to the provisions thereof and to applicable Delaware law.</w:t>
      </w:r>
    </w:p>
    <w:p>
      <w:pPr>
        <w:spacing w:after="0" w:line="180" w:lineRule="exact"/>
        <w:rPr>
          <w:sz w:val="20"/>
          <w:szCs w:val="20"/>
          <w:color w:val="auto"/>
        </w:rPr>
      </w:pPr>
    </w:p>
    <w:p>
      <w:pPr>
        <w:ind w:right="80" w:firstLine="464"/>
        <w:spacing w:after="0" w:line="268" w:lineRule="auto"/>
        <w:tabs>
          <w:tab w:leader="none" w:pos="726"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Separation Agreement is made and entered into in the State of Texas, and shall in all respects be interpreted, enforced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under the laws of the State of Texas. The language of all parts of this Separation Agreement shall in all cases be construed as a whole, according to its fair meaning, and not strictly for or against any of the parties.</w:t>
      </w:r>
    </w:p>
    <w:p>
      <w:pPr>
        <w:spacing w:after="0" w:line="170" w:lineRule="exact"/>
        <w:rPr>
          <w:rFonts w:ascii="Times New Roman" w:cs="Times New Roman" w:eastAsia="Times New Roman" w:hAnsi="Times New Roman"/>
          <w:sz w:val="18"/>
          <w:szCs w:val="18"/>
          <w:b w:val="1"/>
          <w:bCs w:val="1"/>
          <w:color w:val="auto"/>
        </w:rPr>
      </w:pPr>
    </w:p>
    <w:p>
      <w:pPr>
        <w:ind w:firstLine="464"/>
        <w:spacing w:after="0" w:line="268" w:lineRule="auto"/>
        <w:tabs>
          <w:tab w:leader="none" w:pos="726"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Should any provision of this Separation Agreement be declared or be determined by any court to be illegal or invalid, the validity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remaining parts, terms or provisions shall not be affected thereby and said illegal or invalid part, term, or provision shall be deemed not to be a part of this Separation Agreement.</w:t>
      </w:r>
    </w:p>
    <w:p>
      <w:pPr>
        <w:spacing w:after="0" w:line="170" w:lineRule="exact"/>
        <w:rPr>
          <w:rFonts w:ascii="Times New Roman" w:cs="Times New Roman" w:eastAsia="Times New Roman" w:hAnsi="Times New Roman"/>
          <w:sz w:val="18"/>
          <w:szCs w:val="18"/>
          <w:b w:val="1"/>
          <w:bCs w:val="1"/>
          <w:color w:val="auto"/>
        </w:rPr>
      </w:pPr>
    </w:p>
    <w:p>
      <w:pPr>
        <w:ind w:right="60" w:firstLine="464"/>
        <w:spacing w:after="0" w:line="268" w:lineRule="auto"/>
        <w:tabs>
          <w:tab w:leader="none" w:pos="726" w:val="left"/>
        </w:tabs>
        <w:numPr>
          <w:ilvl w:val="1"/>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Matters Relating to 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provision in this Separation Agreement to the contrary, if any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benefit provided hereunder is subject to Section 409A of the Internal Revenue Code of 1986, as amended (“Section 409A”), as determined by the Company, then the following provisions shall apply:</w:t>
      </w:r>
    </w:p>
    <w:p>
      <w:pPr>
        <w:spacing w:after="0" w:line="80" w:lineRule="exact"/>
        <w:rPr>
          <w:rFonts w:ascii="Times New Roman" w:cs="Times New Roman" w:eastAsia="Times New Roman" w:hAnsi="Times New Roman"/>
          <w:sz w:val="18"/>
          <w:szCs w:val="18"/>
          <w:b w:val="1"/>
          <w:bCs w:val="1"/>
          <w:color w:val="auto"/>
        </w:rPr>
      </w:pPr>
    </w:p>
    <w:p>
      <w:pPr>
        <w:ind w:left="900" w:hanging="446"/>
        <w:spacing w:after="0" w:line="261"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Separation Agreement, with respect to any amounts payable to Executive under this Separation Agreement in connection with a termination of Executive’s employment that are subject to, and not exempt under, Section 409A, a termination of employment shall not be considered to have occurred under this Separation Agreement unless and until such termination constitutes Executive’s “separation from service” as defined in Section 409A.</w:t>
      </w:r>
    </w:p>
    <w:p>
      <w:pPr>
        <w:spacing w:after="0" w:line="85" w:lineRule="exact"/>
        <w:rPr>
          <w:rFonts w:ascii="Times New Roman" w:cs="Times New Roman" w:eastAsia="Times New Roman" w:hAnsi="Times New Roman"/>
          <w:sz w:val="18"/>
          <w:szCs w:val="18"/>
          <w:color w:val="auto"/>
        </w:rPr>
      </w:pPr>
    </w:p>
    <w:p>
      <w:pPr>
        <w:ind w:left="900" w:right="80" w:hanging="446"/>
        <w:spacing w:after="0" w:line="256"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Separation Agreement is intended to be written, administered, interpreted and construed in a manner such that no payment or benefit under this Separation Agreement becomes subject to (1) the gross income inclusion under Section 409A or (2) the interest and additional tax under Section 409A (collectively, “Section 409A Penalties”), including, where appropriate, the construction of defined terms to have meanings that would not cause the imposition of the Section 409A Penalties. If any provision of this Separation Agreement would cause Executive to incur the Section 409A Penalties, the Company may, after consulting with Executive, reform such provision to comply with Section 409A or to preclude imposition of the Section 409A Penalties, to the full extent permitted under Section 409A.</w:t>
      </w:r>
    </w:p>
    <w:p>
      <w:pPr>
        <w:spacing w:after="0" w:line="93" w:lineRule="exact"/>
        <w:rPr>
          <w:rFonts w:ascii="Times New Roman" w:cs="Times New Roman" w:eastAsia="Times New Roman" w:hAnsi="Times New Roman"/>
          <w:sz w:val="18"/>
          <w:szCs w:val="18"/>
          <w:color w:val="auto"/>
        </w:rPr>
      </w:pPr>
    </w:p>
    <w:p>
      <w:pPr>
        <w:jc w:val="both"/>
        <w:ind w:left="900" w:hanging="446"/>
        <w:spacing w:after="0" w:line="266"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severance benefits set forth in Exhibit B are designated as separate payments for the purpose of the short-term deferral exception under Treasury Regulation Section 1.409A-1(b)(4)(i)(F), and, with respect to such separation payments, the exemption for involuntary separation from service or participation in a window program under Treasury Regulation Section 1.409A-1(b)(9)(iii). As a result,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270" w:right="279" w:bottom="1440" w:gutter="0" w:footer="0" w:header="0"/>
        </w:sectPr>
      </w:pPr>
    </w:p>
    <w:bookmarkStart w:id="170" w:name="page171"/>
    <w:bookmarkEnd w:id="170"/>
    <w:p>
      <w:pPr>
        <w:ind w:left="700" w:right="300" w:hanging="7"/>
        <w:spacing w:after="0" w:line="266" w:lineRule="auto"/>
        <w:tabs>
          <w:tab w:leader="none" w:pos="95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separation payments that are by their terms scheduled to be made before March 15, 2015, and (2) any additional separation payments that are made on or before December 31, 2016, and do not exceed the lesser of two times Base Salary or two times the annual limit under Code Section 401(a)(17) as then in effect, are exempt from the requirements of Code Section 409A.</w:t>
      </w:r>
    </w:p>
    <w:p>
      <w:pPr>
        <w:spacing w:after="0" w:line="172" w:lineRule="exact"/>
        <w:rPr>
          <w:rFonts w:ascii="Times New Roman" w:cs="Times New Roman" w:eastAsia="Times New Roman" w:hAnsi="Times New Roman"/>
          <w:sz w:val="18"/>
          <w:szCs w:val="18"/>
          <w:color w:val="auto"/>
        </w:rPr>
      </w:pPr>
    </w:p>
    <w:p>
      <w:pPr>
        <w:ind w:right="480" w:firstLine="464"/>
        <w:spacing w:after="0" w:line="268" w:lineRule="auto"/>
        <w:tabs>
          <w:tab w:leader="none" w:pos="726"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Complete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hereto agree that the June 16, 2005, Employment Agreement (including any other amendments thereto)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by this Separation Agreement, contains the full and final expression of their agreements with respect to the matters contained therein, and acknowledge that no other promises have been made to or by any of the parties that are not set forth in these Agreements.</w:t>
      </w:r>
    </w:p>
    <w:p>
      <w:pPr>
        <w:spacing w:after="0" w:line="175"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u w:val="single" w:color="auto"/>
          <w:color w:val="auto"/>
        </w:rPr>
        <w:t>The parties agree that neither the offer of, nor the execution of, this Separation Agreement will be construed as an admission of wrongdoing by anyone. Instead, this Separation Agreement is to be construed solely as a reflection of the parties’ desire to facilitate a peaceful separation of employment and to make sure there are no unresolved issued between them.</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Please review this document carefully as it contains a release of claims.</w:t>
      </w:r>
    </w:p>
    <w:p>
      <w:pPr>
        <w:spacing w:after="0" w:line="229"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 WITNESS WHEREOF, the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“Effective Date”).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DAVID AARDSMA</w:t>
            </w: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USA WASTE-MANAGEMENT</w:t>
            </w:r>
          </w:p>
        </w:tc>
      </w:tr>
      <w:tr>
        <w:trPr>
          <w:trHeight w:val="22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RESOURCES, LLC</w:t>
            </w:r>
          </w:p>
        </w:tc>
      </w:tr>
      <w:tr>
        <w:trPr>
          <w:trHeight w:val="234"/>
        </w:trPr>
        <w:tc>
          <w:tcPr>
            <w:tcW w:w="4920" w:type="dxa"/>
            <w:vAlign w:val="bottom"/>
          </w:tcPr>
          <w:p>
            <w:pPr>
              <w:spacing w:after="0"/>
              <w:rPr>
                <w:sz w:val="20"/>
                <w:szCs w:val="20"/>
                <w:color w:val="auto"/>
              </w:rPr>
            </w:pP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(The “Company”)</w:t>
            </w:r>
          </w:p>
        </w:tc>
      </w:tr>
      <w:tr>
        <w:trPr>
          <w:trHeight w:val="44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 David Aardsma</w:t>
            </w: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Linda J. Smith</w:t>
            </w:r>
          </w:p>
        </w:tc>
      </w:tr>
      <w:tr>
        <w:trPr>
          <w:trHeight w:val="228"/>
        </w:trPr>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60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27"/>
        </w:trPr>
        <w:tc>
          <w:tcPr>
            <w:tcW w:w="4920" w:type="dxa"/>
            <w:vAlign w:val="bottom"/>
          </w:tcPr>
          <w:p>
            <w:pPr>
              <w:spacing w:after="0"/>
              <w:rPr>
                <w:sz w:val="24"/>
                <w:szCs w:val="24"/>
                <w:color w:val="auto"/>
              </w:rPr>
            </w:pP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Printed Name: Linda J. Smith</w:t>
            </w:r>
          </w:p>
        </w:tc>
      </w:tr>
      <w:tr>
        <w:trPr>
          <w:trHeight w:val="31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Date: 10/31/14</w:t>
            </w:r>
          </w:p>
        </w:tc>
        <w:tc>
          <w:tcPr>
            <w:tcW w:w="16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160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38"/>
        </w:trPr>
        <w:tc>
          <w:tcPr>
            <w:tcW w:w="4920" w:type="dxa"/>
            <w:vAlign w:val="bottom"/>
          </w:tcPr>
          <w:p>
            <w:pPr>
              <w:spacing w:after="0"/>
              <w:rPr>
                <w:sz w:val="24"/>
                <w:szCs w:val="24"/>
                <w:color w:val="auto"/>
              </w:rPr>
            </w:pPr>
          </w:p>
        </w:tc>
        <w:tc>
          <w:tcPr>
            <w:tcW w:w="650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Date: 10/31/14</w:t>
            </w:r>
          </w:p>
        </w:tc>
      </w:tr>
      <w:tr>
        <w:trPr>
          <w:trHeight w:val="365"/>
        </w:trPr>
        <w:tc>
          <w:tcPr>
            <w:tcW w:w="4920" w:type="dxa"/>
            <w:vAlign w:val="bottom"/>
          </w:tcPr>
          <w:p>
            <w:pPr>
              <w:spacing w:after="0"/>
              <w:rPr>
                <w:sz w:val="24"/>
                <w:szCs w:val="24"/>
                <w:color w:val="auto"/>
              </w:rPr>
            </w:pPr>
          </w:p>
        </w:tc>
        <w:tc>
          <w:tcPr>
            <w:tcW w:w="16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7</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71" w:name="page172"/>
    <w:bookmarkEnd w:id="1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Times New Roman" w:cs="Times New Roman" w:eastAsia="Times New Roman" w:hAnsi="Times New Roman"/>
          <w:sz w:val="15"/>
          <w:szCs w:val="15"/>
          <w:b w:val="1"/>
          <w:bCs w:val="1"/>
          <w:color w:val="auto"/>
        </w:rPr>
        <w:t>XHIBIT</w:t>
      </w:r>
      <w:r>
        <w:rPr>
          <w:rFonts w:ascii="Times New Roman" w:cs="Times New Roman" w:eastAsia="Times New Roman" w:hAnsi="Times New Roman"/>
          <w:sz w:val="18"/>
          <w:szCs w:val="18"/>
          <w:b w:val="1"/>
          <w:bCs w:val="1"/>
          <w:color w:val="auto"/>
        </w:rPr>
        <w:t xml:space="preserve"> A</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employment of Executive is terminated, effective October 31, 2014 (the “Employment Termination Date”). Executive is therefore, entitled to the payments and benefits listed below and detailed in under Section 6(d) of the Employment Agreement whether or not he signs this Separation Agreement. These include:</w:t>
      </w:r>
    </w:p>
    <w:p>
      <w:pPr>
        <w:spacing w:after="0" w:line="82" w:lineRule="exact"/>
        <w:rPr>
          <w:sz w:val="20"/>
          <w:szCs w:val="20"/>
          <w:color w:val="auto"/>
        </w:rPr>
      </w:pPr>
    </w:p>
    <w:p>
      <w:pPr>
        <w:ind w:left="900" w:hanging="446"/>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base salary for services rendered to the Employment Termination Date.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unpaid expenses required to be reimbursed under the Employment Agreement.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unused vacation for the year 2014 to the Employment Termination Date.</w:t>
      </w:r>
    </w:p>
    <w:p>
      <w:pPr>
        <w:spacing w:after="0" w:line="225" w:lineRule="exact"/>
        <w:rPr>
          <w:sz w:val="20"/>
          <w:szCs w:val="20"/>
          <w:color w:val="auto"/>
        </w:rPr>
      </w:pPr>
    </w:p>
    <w:p>
      <w:pPr>
        <w:ind w:left="460" w:right="300"/>
        <w:spacing w:after="0" w:line="313" w:lineRule="auto"/>
        <w:rPr>
          <w:sz w:val="20"/>
          <w:szCs w:val="20"/>
          <w:color w:val="auto"/>
        </w:rPr>
      </w:pPr>
      <w:r>
        <w:rPr>
          <w:rFonts w:ascii="Times New Roman" w:cs="Times New Roman" w:eastAsia="Times New Roman" w:hAnsi="Times New Roman"/>
          <w:sz w:val="17"/>
          <w:szCs w:val="17"/>
          <w:color w:val="auto"/>
        </w:rPr>
        <w:t>Further, Executive is also entitled to the following under the terms of outstanding equity awards issued to Executive under the Waste Management’s equity incentive plans (including, but not limited to awards issued pursuant to the Waste Management, Inc. 2009 Stock Incentive Plan):</w:t>
      </w:r>
    </w:p>
    <w:p>
      <w:pPr>
        <w:spacing w:after="0" w:line="44" w:lineRule="exact"/>
        <w:rPr>
          <w:sz w:val="20"/>
          <w:szCs w:val="20"/>
          <w:color w:val="auto"/>
        </w:rPr>
      </w:pPr>
    </w:p>
    <w:p>
      <w:pPr>
        <w:ind w:left="900" w:right="140" w:hanging="446"/>
        <w:spacing w:after="0" w:line="281" w:lineRule="auto"/>
        <w:tabs>
          <w:tab w:leader="none" w:pos="90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the terms of each such award, for a period of three years ending on the third annual anniversary of Executive’s Employment Termination Date, outstanding stock option awards shall continue to become exercisable and, once exercisable, shall remain exercisable (in accordance with the established exercise procedures under each such stock option award) for the three year period following Executive’s Employment Termination Date; provided, however, in no event will any such stock option be exercisable beyond the original term of the award.</w:t>
      </w:r>
    </w:p>
    <w:p>
      <w:pPr>
        <w:spacing w:after="0" w:line="70" w:lineRule="exact"/>
        <w:rPr>
          <w:rFonts w:ascii="Times New Roman" w:cs="Times New Roman" w:eastAsia="Times New Roman" w:hAnsi="Times New Roman"/>
          <w:sz w:val="17"/>
          <w:szCs w:val="17"/>
          <w:color w:val="auto"/>
        </w:rPr>
      </w:pPr>
    </w:p>
    <w:p>
      <w:pPr>
        <w:ind w:left="900" w:hanging="446"/>
        <w:spacing w:after="0" w:line="256" w:lineRule="auto"/>
        <w:tabs>
          <w:tab w:leader="none" w:pos="9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Executive’s outstanding awards of Performance Share Units (“PSUs”) awarded under the Waste Management, Inc. 2009 Stock Incentive Plan on March 9, 2012, March 8, 2013, and March 7, 2014, Executive shall be entitled to receive the PSUs and related dividend equivalents that Executive would have been entitled to receive if he had remained employed until the last day of the Performance Period (as defined in each such applicable award) multiplied by the fraction which has as its numerator the total number of days Executive was employed by the Company during the applicable Performance Period and has as its denominator the total number of days during the applicable Performance Period.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is entitled to the benefits described above in this Exhibit A whether or not he executes this Separation Agreement.</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172" w:name="page173"/>
    <w:bookmarkEnd w:id="1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Times New Roman" w:cs="Times New Roman" w:eastAsia="Times New Roman" w:hAnsi="Times New Roman"/>
          <w:sz w:val="15"/>
          <w:szCs w:val="15"/>
          <w:b w:val="1"/>
          <w:bCs w:val="1"/>
          <w:color w:val="auto"/>
        </w:rPr>
        <w:t>XHIBIT</w:t>
      </w:r>
      <w:r>
        <w:rPr>
          <w:rFonts w:ascii="Times New Roman" w:cs="Times New Roman" w:eastAsia="Times New Roman" w:hAnsi="Times New Roman"/>
          <w:sz w:val="18"/>
          <w:szCs w:val="18"/>
          <w:b w:val="1"/>
          <w:bCs w:val="1"/>
          <w:color w:val="auto"/>
        </w:rPr>
        <w:t xml:space="preserve"> B</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employment of Executive is terminated, effective October 31, 2014 (the “Employment Termination Date”) under the terms of this Separation Agreement. In consideration of the premises and promises herein contained, it is agreed that, Executive is entitled to the compensation and benefits set forth below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after he executes and does not revoke this Separation Agreement. The payments and benefits to be provided are as follows:</w:t>
      </w:r>
    </w:p>
    <w:p>
      <w:pPr>
        <w:spacing w:after="0" w:line="82" w:lineRule="exact"/>
        <w:rPr>
          <w:sz w:val="20"/>
          <w:szCs w:val="20"/>
          <w:color w:val="auto"/>
        </w:rPr>
      </w:pPr>
    </w:p>
    <w:p>
      <w:pPr>
        <w:ind w:left="900" w:right="20" w:hanging="446"/>
        <w:spacing w:after="0" w:line="261"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calculated as one-half of the amount under the Company’s 2014 Annual Incentive Plan (AIP), at the same time, on the same basis and to the same extent payments are made to similar senior executives of the Company, prorated to reflect Executive’s Termination Date. Executive will receive 304/365 of any such calculated payment on or before March 15, 2015. No other payment shall be made under the AIP or inconsideration of the AIP to Executive.</w:t>
      </w:r>
    </w:p>
    <w:p>
      <w:pPr>
        <w:spacing w:after="0" w:line="8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in the gross amount of One Million, Six Hundred Ten Thousand, Two Hundred Three Dollars and Eleven Cents</w:t>
      </w:r>
    </w:p>
    <w:p>
      <w:pPr>
        <w:spacing w:after="0" w:line="27" w:lineRule="exact"/>
        <w:rPr>
          <w:rFonts w:ascii="Times New Roman" w:cs="Times New Roman" w:eastAsia="Times New Roman" w:hAnsi="Times New Roman"/>
          <w:sz w:val="18"/>
          <w:szCs w:val="18"/>
          <w:color w:val="auto"/>
        </w:rPr>
      </w:pPr>
    </w:p>
    <w:p>
      <w:pPr>
        <w:ind w:left="900" w:right="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($1,610,203.11), approximately equal to two times the sum of Executive’s base salary ($460,058.03) and Target Bonus ($345,043.52). This severance amount will be paid as follows:</w:t>
      </w:r>
    </w:p>
    <w:p>
      <w:pPr>
        <w:spacing w:after="0" w:line="71" w:lineRule="exact"/>
        <w:rPr>
          <w:rFonts w:ascii="Times New Roman" w:cs="Times New Roman" w:eastAsia="Times New Roman" w:hAnsi="Times New Roman"/>
          <w:sz w:val="18"/>
          <w:szCs w:val="18"/>
          <w:color w:val="auto"/>
        </w:rPr>
      </w:pPr>
    </w:p>
    <w:p>
      <w:pPr>
        <w:ind w:left="920" w:right="520" w:firstLine="421"/>
        <w:spacing w:after="0" w:line="282" w:lineRule="auto"/>
        <w:tabs>
          <w:tab w:leader="none" w:pos="1555"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Hundred and Five Thousand, One Hundred and One Dollars and Fifty-six Cents ($805,101.56) shall be paid within 10 days following Executive’s execution of this Agreement.</w:t>
      </w:r>
    </w:p>
    <w:p>
      <w:pPr>
        <w:spacing w:after="0" w:line="53"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Hundred and Five Thousand, One Hundred and One Dollars and Fifty-six Cents ($805,101.56) shall be paid during the two</w:t>
      </w:r>
    </w:p>
    <w:p>
      <w:pPr>
        <w:spacing w:after="0" w:line="27" w:lineRule="exact"/>
        <w:rPr>
          <w:rFonts w:ascii="Times New Roman" w:cs="Times New Roman" w:eastAsia="Times New Roman" w:hAnsi="Times New Roman"/>
          <w:sz w:val="18"/>
          <w:szCs w:val="18"/>
          <w:color w:val="auto"/>
        </w:rPr>
      </w:pPr>
    </w:p>
    <w:p>
      <w:pPr>
        <w:ind w:left="920" w:right="60" w:firstLine="1"/>
        <w:spacing w:after="0" w:line="261" w:lineRule="auto"/>
        <w:tabs>
          <w:tab w:leader="none" w:pos="1175"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period beginning on the Employment Termination Date and continuing at the same time and in the same manner Executive’s base salary would have been paid if Executive had remained in active employment until the end of such period.</w:t>
      </w:r>
    </w:p>
    <w:p>
      <w:pPr>
        <w:spacing w:after="0" w:line="85"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Twenty-four months of continued group health and/or dental insurance coverage that Executive participated in as of his Employment Termination Date. Executive must timely elect COBRA coverage and the Company will provide COBRA coverage at its own expense for 18 months or, if earlier, until Executive’s death or eligibility for coverage by a subsequent employer. Thereafter, Executive will have no additional COBRA coverage, but if Executive has not obtained coverage from a subsequent employer, the Company will provide up to six months additional medical and dental coverage.</w:t>
      </w:r>
    </w:p>
    <w:p>
      <w:pPr>
        <w:spacing w:after="0" w:line="89" w:lineRule="exact"/>
        <w:rPr>
          <w:rFonts w:ascii="Times New Roman" w:cs="Times New Roman" w:eastAsia="Times New Roman" w:hAnsi="Times New Roman"/>
          <w:sz w:val="18"/>
          <w:szCs w:val="18"/>
          <w:color w:val="auto"/>
        </w:rPr>
      </w:pPr>
    </w:p>
    <w:p>
      <w:pPr>
        <w:ind w:left="900" w:right="300" w:hanging="446"/>
        <w:spacing w:after="0" w:line="266" w:lineRule="auto"/>
        <w:tabs>
          <w:tab w:leader="none" w:pos="9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you Twenty-Five Thousand Dollars ($25,000.00), less applicable withholdings, the approximate value of Twenty-four months of continued disability and life insurance coverage that Executive participated in as of his Employment Termination Date at the Company’s expense.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payments will be subject to applicable withholdings for federal, state, and local income and employment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Except as described herein, Executive is not entitled to any additional payments or benefits.</w:t>
      </w:r>
    </w:p>
    <w:p>
      <w:pPr>
        <w:spacing w:after="0" w:line="16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66" w:right="259" w:bottom="1440" w:gutter="0" w:footer="0" w:header="0"/>
        </w:sectPr>
      </w:pPr>
    </w:p>
    <w:bookmarkStart w:id="173" w:name="page174"/>
    <w:bookmarkEnd w:id="1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MANDATORY DISCLOSURES</w:t>
      </w:r>
    </w:p>
    <w:p>
      <w:pPr>
        <w:spacing w:after="0" w:line="229"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Waste Management is constantly working to better align its Corporate and Field teams, to help achieve its strategic goals. In order to better achieve these goals, it is necessary to consolidate and realign several corporate functions, and, unfortunately, eliminate certain positions in both the Corporate and Waste Management Recycle America (“WMRA”) groups.</w:t>
      </w:r>
    </w:p>
    <w:p>
      <w:pPr>
        <w:spacing w:after="0" w:line="176"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Company offered members of its Senior Leadership Team the opportunity to voluntarily resign in exchange for an enhanced separation package available through the Company’s 2014 Voluntary Early Retirement Program (“VERP”). Executive accepted the Company’s offer and the benefits available are described in Exhibit B of this Separation Agreement. Please review the information below before signing.</w:t>
      </w:r>
    </w:p>
    <w:p>
      <w:pPr>
        <w:spacing w:after="0" w:line="172" w:lineRule="exact"/>
        <w:rPr>
          <w:sz w:val="20"/>
          <w:szCs w:val="20"/>
          <w:color w:val="auto"/>
        </w:rPr>
      </w:pPr>
    </w:p>
    <w:p>
      <w:pPr>
        <w:ind w:firstLine="464"/>
        <w:spacing w:after="0" w:line="259" w:lineRule="auto"/>
        <w:tabs>
          <w:tab w:leader="none" w:pos="636"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VERP and Severance: </w:t>
      </w:r>
      <w:r>
        <w:rPr>
          <w:rFonts w:ascii="Times New Roman" w:cs="Times New Roman" w:eastAsia="Times New Roman" w:hAnsi="Times New Roman"/>
          <w:sz w:val="18"/>
          <w:szCs w:val="18"/>
          <w:color w:val="auto"/>
        </w:rPr>
        <w:t>The Company is providing you with specific information showing the employees who are eligible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ineligible for severance benefits under the VERP, by age and job title. Employees indicated as “Selected” are having their employment terminated, and they are eligible for Severance if they sign the Release within the number of days after termination of employment prescribed in the Release, and return the signed Release to which this disclosure is attached. Employees listed as “Not Selected” are ineligible for Severance because they have not been selected for this reorganization.</w:t>
      </w:r>
    </w:p>
    <w:p>
      <w:pPr>
        <w:spacing w:after="0" w:line="179" w:lineRule="exact"/>
        <w:rPr>
          <w:rFonts w:ascii="Times New Roman" w:cs="Times New Roman" w:eastAsia="Times New Roman" w:hAnsi="Times New Roman"/>
          <w:sz w:val="18"/>
          <w:szCs w:val="18"/>
          <w:b w:val="1"/>
          <w:bCs w:val="1"/>
          <w:color w:val="auto"/>
        </w:rPr>
      </w:pPr>
    </w:p>
    <w:p>
      <w:pPr>
        <w:ind w:right="120" w:firstLine="464"/>
        <w:spacing w:after="0" w:line="268" w:lineRule="auto"/>
        <w:tabs>
          <w:tab w:leader="none" w:pos="636"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Decisional Unit and Factors Considered in Selection Decisions: </w:t>
      </w:r>
      <w:r>
        <w:rPr>
          <w:rFonts w:ascii="Times New Roman" w:cs="Times New Roman" w:eastAsia="Times New Roman" w:hAnsi="Times New Roman"/>
          <w:sz w:val="18"/>
          <w:szCs w:val="18"/>
          <w:color w:val="auto"/>
        </w:rPr>
        <w:t>The employees considered for participation in this group termination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consisted of members of the Company’s Senior Leadership Team. The Company considered the alignment of the field and corporate team and the skills and duties of the impacted employees when selecting individuals.</w:t>
      </w:r>
    </w:p>
    <w:p>
      <w:pPr>
        <w:spacing w:after="0" w:line="17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information given on the below chart is current as of October 15, 2014. This information is subject to change and may be affected by future employment decisions. Any questions about this information should be directed to Laura Naumann via email: LNaumann@wm.com.</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Age</w:t>
            </w:r>
          </w:p>
        </w:tc>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Selected   Not Selected</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President Recycling Services &amp; OGG</w:t>
            </w:r>
          </w:p>
        </w:tc>
        <w:tc>
          <w:tcPr>
            <w:tcW w:w="38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48</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Sales &amp; Marketing Officer</w:t>
            </w:r>
          </w:p>
        </w:tc>
        <w:tc>
          <w:tcPr>
            <w:tcW w:w="38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57</w:t>
            </w:r>
          </w:p>
        </w:tc>
        <w:tc>
          <w:tcPr>
            <w:tcW w:w="20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EVP &amp; Chief Operating Officer</w:t>
            </w:r>
          </w:p>
        </w:tc>
        <w:tc>
          <w:tcPr>
            <w:tcW w:w="38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61</w:t>
            </w: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Human Resources</w:t>
            </w:r>
          </w:p>
        </w:tc>
        <w:tc>
          <w:tcPr>
            <w:tcW w:w="38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56</w:t>
            </w:r>
          </w:p>
        </w:tc>
        <w:tc>
          <w:tcPr>
            <w:tcW w:w="2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SVP Gen Counsel, CCO &amp; Asst Sec</w:t>
            </w:r>
          </w:p>
        </w:tc>
        <w:tc>
          <w:tcPr>
            <w:tcW w:w="38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66</w:t>
            </w:r>
          </w:p>
        </w:tc>
        <w:tc>
          <w:tcPr>
            <w:tcW w:w="2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SVP Govt Affairs &amp; Communication</w:t>
            </w:r>
          </w:p>
        </w:tc>
        <w:tc>
          <w:tcPr>
            <w:tcW w:w="38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54</w:t>
            </w:r>
          </w:p>
        </w:tc>
        <w:tc>
          <w:tcPr>
            <w:tcW w:w="2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CIO &amp; SVP Tech, Logistics &amp; CS</w:t>
            </w:r>
          </w:p>
        </w:tc>
        <w:tc>
          <w:tcPr>
            <w:tcW w:w="386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52</w:t>
            </w: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EVP &amp; Chief Financial Officer</w:t>
            </w:r>
          </w:p>
        </w:tc>
        <w:tc>
          <w:tcPr>
            <w:tcW w:w="3860" w:type="dxa"/>
            <w:vAlign w:val="bottom"/>
            <w:shd w:val="clear" w:color="auto" w:fill="CCEEFF"/>
          </w:tcPr>
          <w:p>
            <w:pPr>
              <w:jc w:val="center"/>
              <w:ind w:left="3070"/>
              <w:spacing w:after="0"/>
              <w:rPr>
                <w:sz w:val="20"/>
                <w:szCs w:val="20"/>
                <w:color w:val="auto"/>
              </w:rPr>
            </w:pPr>
            <w:r>
              <w:rPr>
                <w:rFonts w:ascii="Times New Roman" w:cs="Times New Roman" w:eastAsia="Times New Roman" w:hAnsi="Times New Roman"/>
                <w:sz w:val="18"/>
                <w:szCs w:val="18"/>
                <w:color w:val="auto"/>
                <w:w w:val="99"/>
              </w:rPr>
              <w:t>52</w:t>
            </w:r>
          </w:p>
        </w:tc>
        <w:tc>
          <w:tcPr>
            <w:tcW w:w="20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VP Field Operations</w:t>
            </w:r>
          </w:p>
        </w:tc>
        <w:tc>
          <w:tcPr>
            <w:tcW w:w="3860" w:type="dxa"/>
            <w:vAlign w:val="bottom"/>
          </w:tcPr>
          <w:p>
            <w:pPr>
              <w:jc w:val="center"/>
              <w:ind w:left="3090"/>
              <w:spacing w:after="0"/>
              <w:rPr>
                <w:sz w:val="20"/>
                <w:szCs w:val="20"/>
                <w:color w:val="auto"/>
              </w:rPr>
            </w:pPr>
            <w:r>
              <w:rPr>
                <w:rFonts w:ascii="Times New Roman" w:cs="Times New Roman" w:eastAsia="Times New Roman" w:hAnsi="Times New Roman"/>
                <w:sz w:val="18"/>
                <w:szCs w:val="18"/>
                <w:color w:val="auto"/>
                <w:w w:val="97"/>
              </w:rPr>
              <w:t>45, 60</w:t>
            </w:r>
          </w:p>
        </w:tc>
        <w:tc>
          <w:tcPr>
            <w:tcW w:w="20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X</w:t>
            </w:r>
          </w:p>
        </w:tc>
      </w:tr>
      <w:tr>
        <w:trPr>
          <w:trHeight w:val="346"/>
        </w:trPr>
        <w:tc>
          <w:tcPr>
            <w:tcW w:w="3720" w:type="dxa"/>
            <w:vAlign w:val="bottom"/>
          </w:tcPr>
          <w:p>
            <w:pPr>
              <w:spacing w:after="0"/>
              <w:rPr>
                <w:sz w:val="24"/>
                <w:szCs w:val="24"/>
                <w:color w:val="auto"/>
              </w:rPr>
            </w:pPr>
          </w:p>
        </w:tc>
        <w:tc>
          <w:tcPr>
            <w:tcW w:w="3860" w:type="dxa"/>
            <w:vAlign w:val="bottom"/>
          </w:tcPr>
          <w:p>
            <w:pPr>
              <w:jc w:val="right"/>
              <w:ind w:right="2610"/>
              <w:spacing w:after="0"/>
              <w:rPr>
                <w:sz w:val="20"/>
                <w:szCs w:val="20"/>
                <w:color w:val="auto"/>
              </w:rPr>
            </w:pPr>
            <w:r>
              <w:rPr>
                <w:rFonts w:ascii="Times New Roman" w:cs="Times New Roman" w:eastAsia="Times New Roman" w:hAnsi="Times New Roman"/>
                <w:sz w:val="18"/>
                <w:szCs w:val="18"/>
                <w:color w:val="auto"/>
              </w:rPr>
              <w:t>10</w:t>
            </w:r>
          </w:p>
        </w:tc>
        <w:tc>
          <w:tcPr>
            <w:tcW w:w="2000" w:type="dxa"/>
            <w:vAlign w:val="bottom"/>
          </w:tcPr>
          <w:p>
            <w:pPr>
              <w:spacing w:after="0"/>
              <w:rPr>
                <w:sz w:val="24"/>
                <w:szCs w:val="24"/>
                <w:color w:val="auto"/>
              </w:rPr>
            </w:pPr>
          </w:p>
        </w:tc>
      </w:tr>
    </w:tbl>
    <w:p>
      <w:pPr>
        <w:sectPr>
          <w:pgSz w:w="11900" w:h="16838" w:orient="portrait"/>
          <w:cols w:equalWidth="0" w:num="1">
            <w:col w:w="11360"/>
          </w:cols>
          <w:pgMar w:left="240" w:top="266" w:right="2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ind w:right="3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Wheelabrator Technologies, Inc., an indirect subsidiary of Waste Management, Inc., and Mark A. Weidman (“Executive”), and Waste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Inc. have made and entered into an Employment Agreement (the“Employment Agreement”) dated May 11, 2006, as amended by the First Amendment to the Employment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Company and Executive desire to further amend the Employment Agreement to reflect certain provisions set forth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Employment Agreement is further amended in the following respects:</w:t>
      </w:r>
    </w:p>
    <w:p>
      <w:pPr>
        <w:spacing w:after="0" w:line="225" w:lineRule="exact"/>
        <w:rPr>
          <w:sz w:val="20"/>
          <w:szCs w:val="20"/>
          <w:color w:val="auto"/>
        </w:rPr>
      </w:pPr>
    </w:p>
    <w:p>
      <w:pPr>
        <w:ind w:right="40" w:firstLine="921"/>
        <w:spacing w:after="0" w:line="259" w:lineRule="auto"/>
        <w:tabs>
          <w:tab w:leader="none" w:pos="109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Agreement Dated May 11, 2006, as amended by the First Amendment to Employment Agreement. </w:t>
      </w:r>
      <w:r>
        <w:rPr>
          <w:rFonts w:ascii="Times New Roman" w:cs="Times New Roman" w:eastAsia="Times New Roman" w:hAnsi="Times New Roman"/>
          <w:sz w:val="18"/>
          <w:szCs w:val="18"/>
          <w:color w:val="auto"/>
        </w:rPr>
        <w:t>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acknowledge and represent that the Employment Agreement and the First Amendment to Employment Agreement are hereby ratified, affirmed, and amended as set forth herein. WMI shall be and is a party to the Employment Agreement, as amended herein (not in the capacity of employer but solely as set forth in the Employment Agreement and below, and in order for WMI to have power and authority to enforce the provisions of the Employment Agreement, as amended). Capitalized terms herein shall have the same meaning ascribed in the Employment Agreement, as amended, unless defined herein.</w:t>
      </w:r>
    </w:p>
    <w:p>
      <w:pPr>
        <w:spacing w:after="0" w:line="183"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4(f) is added to the Employment Agreement:</w:t>
      </w:r>
    </w:p>
    <w:p>
      <w:pPr>
        <w:spacing w:after="0" w:line="113" w:lineRule="exact"/>
        <w:rPr>
          <w:sz w:val="20"/>
          <w:szCs w:val="20"/>
          <w:color w:val="auto"/>
        </w:rPr>
      </w:pPr>
    </w:p>
    <w:p>
      <w:pPr>
        <w:ind w:left="1260" w:hanging="357"/>
        <w:spacing w:after="0"/>
        <w:tabs>
          <w:tab w:leader="none" w:pos="12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Shanghai Retention Bonus. </w:t>
      </w:r>
      <w:r>
        <w:rPr>
          <w:rFonts w:ascii="Times New Roman" w:cs="Times New Roman" w:eastAsia="Times New Roman" w:hAnsi="Times New Roman"/>
          <w:sz w:val="18"/>
          <w:szCs w:val="18"/>
          <w:color w:val="auto"/>
        </w:rPr>
        <w:t>In the event a Shanghai Sale is consummated on or before June 30, 2014, and during Executive’s Employment</w:t>
      </w:r>
    </w:p>
    <w:p>
      <w:pPr>
        <w:spacing w:after="0" w:line="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Period,</w:t>
      </w:r>
    </w:p>
    <w:p>
      <w:pPr>
        <w:spacing w:after="0" w:line="112" w:lineRule="exact"/>
        <w:rPr>
          <w:rFonts w:ascii="Times New Roman" w:cs="Times New Roman" w:eastAsia="Times New Roman" w:hAnsi="Times New Roman"/>
          <w:sz w:val="18"/>
          <w:szCs w:val="18"/>
          <w:b w:val="1"/>
          <w:bCs w:val="1"/>
          <w:color w:val="auto"/>
        </w:rPr>
      </w:pPr>
    </w:p>
    <w:p>
      <w:pPr>
        <w:ind w:left="1480" w:hanging="567"/>
        <w:spacing w:after="0"/>
        <w:tabs>
          <w:tab w:leader="none" w:pos="1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Sale” shall mean the following:</w:t>
      </w:r>
    </w:p>
    <w:p>
      <w:pPr>
        <w:spacing w:after="0" w:line="130" w:lineRule="exact"/>
        <w:rPr>
          <w:rFonts w:ascii="Times New Roman" w:cs="Times New Roman" w:eastAsia="Times New Roman" w:hAnsi="Times New Roman"/>
          <w:sz w:val="18"/>
          <w:szCs w:val="18"/>
          <w:color w:val="auto"/>
        </w:rPr>
      </w:pPr>
    </w:p>
    <w:p>
      <w:pPr>
        <w:ind w:left="1920" w:right="120" w:hanging="440"/>
        <w:spacing w:after="0" w:line="261" w:lineRule="auto"/>
        <w:tabs>
          <w:tab w:leader="none" w:pos="19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of Wheelabrator China Holdings, Limited’s equity interests in Shanghai Environmental Group Company Limited to Shanghai Chengtou Holding Co., Ltd. or any other entity or person (or any other transaction having a similar effect whether direct or indirect and whether by merger, acquisition, consolidation or otherwise) at a price and under terms acceptable to and approved by Board of Directors of WMI in its sole discretion;</w:t>
      </w:r>
    </w:p>
    <w:p>
      <w:pPr>
        <w:spacing w:after="0" w:line="85"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exchange for no less than the United States of America (“US”) dollar equivalent of $160,000,000 in cash (the “Initial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75" w:name="page176"/>
    <w:bookmarkEnd w:id="175"/>
    <w:p>
      <w:pPr>
        <w:ind w:left="192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Price”), such amounts determined using exchange rates in effect as of the close of business in the United States on Monday, November 18, 2013 ,and a subsequent payment stream of no less than $5,000,000 in annual installments of $1,000,000 commencing on the date of the sale; and ;</w:t>
      </w:r>
    </w:p>
    <w:p>
      <w:pPr>
        <w:spacing w:after="0" w:line="8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    for which full cash payment in satisfaction of the Initial Sale Price is received by WMI or a subsidiary of WMI.</w:t>
      </w:r>
    </w:p>
    <w:p>
      <w:pPr>
        <w:spacing w:after="0" w:line="130" w:lineRule="exact"/>
        <w:rPr>
          <w:sz w:val="20"/>
          <w:szCs w:val="20"/>
          <w:color w:val="auto"/>
        </w:rPr>
      </w:pPr>
    </w:p>
    <w:p>
      <w:pPr>
        <w:ind w:left="1480" w:right="360" w:hanging="567"/>
        <w:spacing w:after="0" w:line="282" w:lineRule="auto"/>
        <w:tabs>
          <w:tab w:leader="none" w:pos="14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Excutive shall receive one time lump sum cash payment of $1,000,000 within ten (10) business days after WMI or a wholly owned subsidiary of WMI receives the full cash proceeds of the Initial Sale Price.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Second Amendment to be executed on, and effective as of, this 23rd day of December, 2013.</w:t>
      </w:r>
    </w:p>
    <w:p>
      <w:pPr>
        <w:sectPr>
          <w:pgSz w:w="11900" w:h="16838" w:orient="portrait"/>
          <w:cols w:equalWidth="0" w:num="1">
            <w:col w:w="11280"/>
          </w:cols>
          <w:pgMar w:left="240" w:top="270" w:right="379" w:bottom="1440" w:gutter="0" w:footer="0" w:header="0"/>
        </w:sectPr>
      </w:pPr>
    </w:p>
    <w:p>
      <w:pPr>
        <w:spacing w:after="0" w:line="2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/s/ Mark A. Weidman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045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Weidman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WHEELABRATOR</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TECHNOLOGIES, INC.</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w:t>
      </w:r>
    </w:p>
    <w:p>
      <w:pPr>
        <w:spacing w:after="0" w:line="205"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Linda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18415</wp:posOffset>
            </wp:positionV>
            <wp:extent cx="31127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Linda Smith</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Vice President and Secretary</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WASTE MANAGEMENT, INC.</w:t>
      </w:r>
    </w:p>
    <w:p>
      <w:pPr>
        <w:spacing w:after="0" w:line="239" w:lineRule="exact"/>
        <w:rPr>
          <w:sz w:val="20"/>
          <w:szCs w:val="20"/>
          <w:color w:val="auto"/>
        </w:rPr>
      </w:pPr>
    </w:p>
    <w:p>
      <w:pPr>
        <w:ind w:left="480"/>
        <w:spacing w:after="0"/>
        <w:tabs>
          <w:tab w:leader="none" w:pos="1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18415</wp:posOffset>
            </wp:positionV>
            <wp:extent cx="311277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2">
            <w:col w:w="4940" w:space="720"/>
            <w:col w:w="5620"/>
          </w:cols>
          <w:pgMar w:left="240" w:top="270" w:right="379" w:bottom="1440" w:gutter="0" w:footer="0" w:header="0"/>
          <w:type w:val="continuous"/>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ind w:right="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Wheelabrator Technologies, Inc., an indirect subsidiary of Waste Management, Inc., and Mark A. Weidman (“Executive”) have made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 Employment Agreement (the “Employment Agreement”) dated May 11, 2006, as amended by the First and Second Amendments to the Employment Agreement; and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Company and Executive desire to amend the Employment Agreement to reflect certain provisions set forth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Employment Agreement is amended in the following respects:</w:t>
      </w:r>
    </w:p>
    <w:p>
      <w:pPr>
        <w:spacing w:after="0" w:line="225" w:lineRule="exact"/>
        <w:rPr>
          <w:sz w:val="20"/>
          <w:szCs w:val="20"/>
          <w:color w:val="auto"/>
        </w:rPr>
      </w:pPr>
    </w:p>
    <w:p>
      <w:pPr>
        <w:ind w:right="140" w:firstLine="921"/>
        <w:spacing w:after="0" w:line="259" w:lineRule="auto"/>
        <w:tabs>
          <w:tab w:leader="none" w:pos="109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Agreement Dated May 11, 2006. </w:t>
      </w:r>
      <w:r>
        <w:rPr>
          <w:rFonts w:ascii="Times New Roman" w:cs="Times New Roman" w:eastAsia="Times New Roman" w:hAnsi="Times New Roman"/>
          <w:sz w:val="18"/>
          <w:szCs w:val="18"/>
          <w:color w:val="auto"/>
        </w:rPr>
        <w:t>The Company and Executive acknowledge and represent that the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First and Second Amendments to the Employment Agreement are hereby ratified, affirmed, and amended as set forth herein. WMI shall be and is a party to the Employment Agreement (not in the capacity of employer but solely as set forth in the Employment Agreement and below, and in order for WMI to have power and authority to enforce the provisions of the Employment Agreement, as amended). Capitalized terms herein shall have the same meaning ascribed in the Employment Agreement, as amended, unless defined herein.</w:t>
      </w:r>
    </w:p>
    <w:p>
      <w:pPr>
        <w:spacing w:after="0" w:line="183"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4(g) is added to the Employment Agreement:</w:t>
      </w:r>
    </w:p>
    <w:p>
      <w:pPr>
        <w:spacing w:after="0" w:line="221" w:lineRule="exact"/>
        <w:rPr>
          <w:sz w:val="20"/>
          <w:szCs w:val="20"/>
          <w:color w:val="auto"/>
        </w:rPr>
      </w:pPr>
    </w:p>
    <w:p>
      <w:pPr>
        <w:ind w:left="460" w:right="340" w:firstLine="443"/>
        <w:spacing w:after="0" w:line="286" w:lineRule="auto"/>
        <w:tabs>
          <w:tab w:leader="none" w:pos="1153"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Sale. </w:t>
      </w:r>
      <w:r>
        <w:rPr>
          <w:rFonts w:ascii="Times New Roman" w:cs="Times New Roman" w:eastAsia="Times New Roman" w:hAnsi="Times New Roman"/>
          <w:sz w:val="18"/>
          <w:szCs w:val="18"/>
          <w:color w:val="auto"/>
        </w:rPr>
        <w:t>In the event a Domestic Sale is consummated during Executive’s Employment Period and on or before June 30, 2014,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provisions of this Section 4(g) (iii) and (iv) shall apply in lieu of Section 7.</w:t>
      </w:r>
    </w:p>
    <w:p>
      <w:pPr>
        <w:spacing w:after="0" w:line="64" w:lineRule="exact"/>
        <w:rPr>
          <w:sz w:val="20"/>
          <w:szCs w:val="20"/>
          <w:color w:val="auto"/>
        </w:rPr>
      </w:pPr>
    </w:p>
    <w:p>
      <w:pPr>
        <w:ind w:left="1480" w:right="140" w:hanging="567"/>
        <w:spacing w:after="0" w:line="258" w:lineRule="auto"/>
        <w:tabs>
          <w:tab w:leader="none" w:pos="1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Sale” shall mean the sale or disposition of substantially all of the stock or assets (or any transaction having a similar effect whether direct or indirect and whether by merger, acquisition, consolidation or otherwise) of Wheelabrator Technologies, Inc. and its subsidiaries (other than Resco Holdings, LLC and the subsidiaries of Resco Holdings, LLC and other than Wheelabrator Environmental Technologies Consulting (Shanghai) Co. Ltd) at a price and terms acceptable to and approved by the Board of Directors of WMI in its sole discretion.</w:t>
      </w:r>
    </w:p>
    <w:p>
      <w:pPr>
        <w:spacing w:after="0" w:line="89" w:lineRule="exact"/>
        <w:rPr>
          <w:rFonts w:ascii="Times New Roman" w:cs="Times New Roman" w:eastAsia="Times New Roman" w:hAnsi="Times New Roman"/>
          <w:sz w:val="18"/>
          <w:szCs w:val="18"/>
          <w:color w:val="auto"/>
        </w:rPr>
      </w:pPr>
    </w:p>
    <w:p>
      <w:pPr>
        <w:ind w:left="1480" w:right="120" w:hanging="567"/>
        <w:spacing w:after="0" w:line="261" w:lineRule="auto"/>
        <w:tabs>
          <w:tab w:leader="none" w:pos="14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“Successor Entity” shall mean the successor entity (or entities) that carries on the operations of or assumes substantially all of the assets, stock, or interest in (whether for resale or not) the former entities of Wheelabrator Technologies, Inc. and its subsidiaries (other than Resco Holdings, LLC and the subsidiaries of Resco Holdings, LLC and which entity may or may not include Wheelabrator Environmental Technologies Consulting (Shanghai) Co. Ltd.) as a result, direct or indirect, of the consummation of the Domestic Sale.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77" w:name="page178"/>
    <w:bookmarkEnd w:id="177"/>
    <w:p>
      <w:pPr>
        <w:ind w:left="577" w:hanging="567"/>
        <w:spacing w:after="0" w:line="261" w:lineRule="auto"/>
        <w:tabs>
          <w:tab w:leader="none" w:pos="57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Executive is offered the opportunity to serve as president (or in any similar capacity with the duties and power, authority and functions commensurate with such position in similarly-sized companies) with Successor Entity (as determined by WMI in its sole discretion), then Executive’s employment shall be considered terminated according to the provisions of Section 5(d) without Good Reason and the compensation provisions of Section 6(d) shall apply.</w:t>
      </w:r>
    </w:p>
    <w:p>
      <w:pPr>
        <w:spacing w:after="0" w:line="85" w:lineRule="exact"/>
        <w:rPr>
          <w:rFonts w:ascii="Times New Roman" w:cs="Times New Roman" w:eastAsia="Times New Roman" w:hAnsi="Times New Roman"/>
          <w:sz w:val="18"/>
          <w:szCs w:val="18"/>
          <w:color w:val="auto"/>
        </w:rPr>
      </w:pPr>
    </w:p>
    <w:p>
      <w:pPr>
        <w:ind w:left="577" w:right="40" w:hanging="567"/>
        <w:spacing w:after="0" w:line="261" w:lineRule="auto"/>
        <w:tabs>
          <w:tab w:leader="none" w:pos="57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 is not offered the opportunity to serve as president (or in any similar capacity with the duties and power, authority and functions commensurate with such position in similarly-sized companies) with the Successor Entity (as determined by WMI in its sole discretion), then Executive shall be considered terminated according to the provisions of Section 5(e) and the compensation provisions of Section 6(e) shall apply.</w:t>
      </w:r>
    </w:p>
    <w:p>
      <w:pPr>
        <w:spacing w:after="0" w:line="180" w:lineRule="exact"/>
        <w:rPr>
          <w:sz w:val="20"/>
          <w:szCs w:val="20"/>
          <w:color w:val="auto"/>
        </w:rPr>
      </w:pPr>
    </w:p>
    <w:p>
      <w:pPr>
        <w:ind w:left="17"/>
        <w:spacing w:after="0"/>
        <w:rPr>
          <w:sz w:val="20"/>
          <w:szCs w:val="20"/>
          <w:color w:val="auto"/>
        </w:rPr>
      </w:pPr>
      <w:r>
        <w:rPr>
          <w:rFonts w:ascii="Times New Roman" w:cs="Times New Roman" w:eastAsia="Times New Roman" w:hAnsi="Times New Roman"/>
          <w:sz w:val="18"/>
          <w:szCs w:val="18"/>
          <w:color w:val="auto"/>
        </w:rPr>
        <w:t>2. The following Section 4(h) is added to the Employment Agreement:</w:t>
      </w:r>
    </w:p>
    <w:p>
      <w:pPr>
        <w:spacing w:after="0" w:line="221" w:lineRule="exact"/>
        <w:rPr>
          <w:sz w:val="20"/>
          <w:szCs w:val="20"/>
          <w:color w:val="auto"/>
        </w:rPr>
      </w:pPr>
    </w:p>
    <w:p>
      <w:pPr>
        <w:ind w:left="-443" w:right="80" w:firstLine="443"/>
        <w:spacing w:after="0" w:line="286" w:lineRule="auto"/>
        <w:tabs>
          <w:tab w:leader="none" w:pos="261"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 Period Stay Incentive. </w:t>
      </w:r>
      <w:r>
        <w:rPr>
          <w:rFonts w:ascii="Times New Roman" w:cs="Times New Roman" w:eastAsia="Times New Roman" w:hAnsi="Times New Roman"/>
          <w:sz w:val="18"/>
          <w:szCs w:val="18"/>
          <w:color w:val="auto"/>
        </w:rPr>
        <w:t>In the event Executive remains employed under the terms of the Employment Agreement through July 1,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Domestic Sale is not consummated on or before June 30, 2014, the following provisions of this Section 4(h) shall apply.</w:t>
      </w:r>
    </w:p>
    <w:p>
      <w:pPr>
        <w:spacing w:after="0" w:line="64" w:lineRule="exact"/>
        <w:rPr>
          <w:sz w:val="20"/>
          <w:szCs w:val="20"/>
          <w:color w:val="auto"/>
        </w:rPr>
      </w:pPr>
    </w:p>
    <w:p>
      <w:pPr>
        <w:ind w:left="577" w:hanging="567"/>
        <w:spacing w:after="0" w:line="282" w:lineRule="auto"/>
        <w:tabs>
          <w:tab w:leader="none" w:pos="5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recognition of Executive’s forfeiture of other outside employment opportunities and service through June 30, 2014, the Company shall pay to Executive a one time lump sum cash payment of $500,000 on July 1, 2014, or the next following business day.</w:t>
      </w:r>
    </w:p>
    <w:p>
      <w:pPr>
        <w:spacing w:after="0" w:line="67" w:lineRule="exact"/>
        <w:rPr>
          <w:rFonts w:ascii="Times New Roman" w:cs="Times New Roman" w:eastAsia="Times New Roman" w:hAnsi="Times New Roman"/>
          <w:sz w:val="18"/>
          <w:szCs w:val="18"/>
          <w:color w:val="auto"/>
        </w:rPr>
      </w:pPr>
    </w:p>
    <w:p>
      <w:pPr>
        <w:ind w:left="577" w:right="40" w:hanging="567"/>
        <w:spacing w:after="0" w:line="261" w:lineRule="auto"/>
        <w:tabs>
          <w:tab w:leader="none" w:pos="577"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Executive’s employment under the Employment Agreement shall continue for a period of one (1) year commencing on July 1, 2014, (which shall supersede the Employment Date pursuant to Section 2 and shall, as of July 1, 2014, become the “Employment Date” hereunder) and shall automatically be renewed for successive one (1) year periods on each anniversary of such date thereafter, unless Executive’s employment is otherwise terminated pursuant to the provisions of the Employment Agreement.</w:t>
      </w:r>
    </w:p>
    <w:p>
      <w:pPr>
        <w:spacing w:after="0" w:line="180" w:lineRule="exact"/>
        <w:rPr>
          <w:sz w:val="20"/>
          <w:szCs w:val="20"/>
          <w:color w:val="auto"/>
        </w:rPr>
      </w:pPr>
    </w:p>
    <w:p>
      <w:pPr>
        <w:ind w:left="4757" w:right="1500" w:hanging="4739"/>
        <w:spacing w:after="0" w:line="454" w:lineRule="auto"/>
        <w:tabs>
          <w:tab w:leader="none" w:pos="18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7(b)(i)(B) shall be amended by substituting “WMI” for the word “Company” in each such place where it appears. 2</w:t>
      </w:r>
    </w:p>
    <w:p>
      <w:pPr>
        <w:sectPr>
          <w:pgSz w:w="11900" w:h="16838" w:orient="portrait"/>
          <w:cols w:equalWidth="0" w:num="1">
            <w:col w:w="10457"/>
          </w:cols>
          <w:pgMar w:left="1143" w:top="270" w:right="299"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Third Amendment to be executed on, and effective as of, this 23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December 2013.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Mark W. Weidman</w:t>
            </w:r>
          </w:p>
        </w:tc>
        <w:tc>
          <w:tcPr>
            <w:tcW w:w="65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WHEELABRATOR</w:t>
            </w:r>
          </w:p>
        </w:tc>
      </w:tr>
      <w:tr>
        <w:trPr>
          <w:trHeight w:val="218"/>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Mark A. Weidman</w:t>
            </w:r>
          </w:p>
        </w:tc>
        <w:tc>
          <w:tcPr>
            <w:tcW w:w="65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TECHNOLOGIES, INC.</w:t>
            </w:r>
          </w:p>
        </w:tc>
      </w:t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65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(the “Company”)</w:t>
            </w:r>
          </w:p>
        </w:tc>
      </w:tr>
      <w:tr>
        <w:trPr>
          <w:trHeight w:val="44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 Courtney A. Tippy</w:t>
            </w:r>
          </w:p>
        </w:tc>
      </w:tr>
      <w:tr>
        <w:trPr>
          <w:trHeight w:val="205"/>
        </w:trPr>
        <w:tc>
          <w:tcPr>
            <w:tcW w:w="2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52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WASTE MANAGEMENT, INC.</w:t>
            </w:r>
          </w:p>
        </w:tc>
      </w:tr>
      <w:tr>
        <w:trPr>
          <w:trHeight w:val="44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 David P. Steiner</w:t>
            </w:r>
          </w:p>
        </w:tc>
      </w:tr>
      <w:tr>
        <w:trPr>
          <w:trHeight w:val="372"/>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3</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jc w:val="both"/>
        <w:ind w:right="2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Wheelabrator Technologies, Inc., an indirect subsidiary of Waste Management, Inc., and Mark A. Weidman (“Executive”) have made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entered into an Employment Agreement (the “Employment Agreement”) dated May 11, 2006, as amended by the First, Second, and Third Amendments to the Employment Agreement;</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both the Company and Executive desire to amend the Employment Agreement to reflect certain provisions set forth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the Employment Agreement is amended in the following respects:</w:t>
      </w:r>
    </w:p>
    <w:p>
      <w:pPr>
        <w:spacing w:after="0" w:line="225" w:lineRule="exact"/>
        <w:rPr>
          <w:sz w:val="20"/>
          <w:szCs w:val="20"/>
          <w:color w:val="auto"/>
        </w:rPr>
      </w:pPr>
    </w:p>
    <w:p>
      <w:pPr>
        <w:ind w:right="120" w:firstLine="921"/>
        <w:spacing w:after="0" w:line="259" w:lineRule="auto"/>
        <w:tabs>
          <w:tab w:leader="none" w:pos="109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Agreement Dated May 11, 2006. </w:t>
      </w:r>
      <w:r>
        <w:rPr>
          <w:rFonts w:ascii="Times New Roman" w:cs="Times New Roman" w:eastAsia="Times New Roman" w:hAnsi="Times New Roman"/>
          <w:sz w:val="18"/>
          <w:szCs w:val="18"/>
          <w:color w:val="auto"/>
        </w:rPr>
        <w:t>The Company and Executive acknowledge and represent that the Employment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First, Second, and Third Amendments thereto are hereby ratified, affirmed, and amended as set forth herein. WMI shall be and is a party to the Employment Agreement (not in the capacity of employer but solely as set forth in the Employment Agreement as amended and below, and in order for WMI to have power and authority to enforce the provisions of the Employment Agreement, as amended). Capitalized terms herein shall have the same meaning ascribed in the Employment Agreement unless defined herein.</w:t>
      </w:r>
    </w:p>
    <w:p>
      <w:pPr>
        <w:spacing w:after="0" w:line="183"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4(i) is added to the Employment Agreement:</w:t>
      </w:r>
    </w:p>
    <w:p>
      <w:pPr>
        <w:spacing w:after="0" w:line="113" w:lineRule="exact"/>
        <w:rPr>
          <w:sz w:val="20"/>
          <w:szCs w:val="20"/>
          <w:color w:val="auto"/>
        </w:rPr>
      </w:pPr>
    </w:p>
    <w:p>
      <w:pPr>
        <w:ind w:left="460" w:right="120" w:firstLine="443"/>
        <w:spacing w:after="0" w:line="286" w:lineRule="auto"/>
        <w:tabs>
          <w:tab w:leader="none" w:pos="1113"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Resignation in Good Order. </w:t>
      </w:r>
      <w:r>
        <w:rPr>
          <w:rFonts w:ascii="Times New Roman" w:cs="Times New Roman" w:eastAsia="Times New Roman" w:hAnsi="Times New Roman"/>
          <w:sz w:val="18"/>
          <w:szCs w:val="18"/>
          <w:color w:val="auto"/>
        </w:rPr>
        <w:t>In the event Executive remains employed under the terms of the Employment Agreement through July 1, 2014,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Domestic Sale is not consummated on or before June 30, 2014, the following provisions of this Section 4(i) shall apply.</w:t>
      </w:r>
    </w:p>
    <w:p>
      <w:pPr>
        <w:spacing w:after="0" w:line="64" w:lineRule="exact"/>
        <w:rPr>
          <w:rFonts w:ascii="Times New Roman" w:cs="Times New Roman" w:eastAsia="Times New Roman" w:hAnsi="Times New Roman"/>
          <w:sz w:val="18"/>
          <w:szCs w:val="18"/>
          <w:b w:val="1"/>
          <w:bCs w:val="1"/>
          <w:color w:val="auto"/>
        </w:rPr>
      </w:pPr>
    </w:p>
    <w:p>
      <w:pPr>
        <w:ind w:left="1480" w:right="120" w:hanging="567"/>
        <w:spacing w:after="0" w:line="261" w:lineRule="auto"/>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“Resignation in Good Order” shall mean Executive’s resignation of employment by written notice (“Notice of Voluntary Termination”) given to WMI’s Chief Executive Officer or President at least ninety (90) days before the effective date of resignation that is proposed by Executive; provided however, that the date of resignation proposed by Executive shall be a date occurring after July 1, 2014, and on or before June 30, 2015.</w:t>
      </w:r>
    </w:p>
    <w:p>
      <w:pPr>
        <w:spacing w:after="0" w:line="85" w:lineRule="exact"/>
        <w:rPr>
          <w:rFonts w:ascii="Times New Roman" w:cs="Times New Roman" w:eastAsia="Times New Roman" w:hAnsi="Times New Roman"/>
          <w:sz w:val="18"/>
          <w:szCs w:val="18"/>
          <w:color w:val="auto"/>
        </w:rPr>
      </w:pPr>
    </w:p>
    <w:p>
      <w:pPr>
        <w:ind w:left="1480" w:right="160" w:hanging="567"/>
        <w:spacing w:after="0" w:line="282" w:lineRule="auto"/>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4(i), the “Effective Date of Voluntary Resignation” shall be the earlier of the date proposed by Executive in the Notice of Voluntary Termination or the date determined in the sole discretion of the Company.</w:t>
      </w:r>
    </w:p>
    <w:p>
      <w:pPr>
        <w:spacing w:after="0" w:line="67" w:lineRule="exact"/>
        <w:rPr>
          <w:rFonts w:ascii="Times New Roman" w:cs="Times New Roman" w:eastAsia="Times New Roman" w:hAnsi="Times New Roman"/>
          <w:sz w:val="18"/>
          <w:szCs w:val="18"/>
          <w:color w:val="auto"/>
        </w:rPr>
      </w:pPr>
    </w:p>
    <w:p>
      <w:pPr>
        <w:ind w:left="1480" w:right="60" w:hanging="567"/>
        <w:spacing w:after="0" w:line="282" w:lineRule="auto"/>
        <w:tabs>
          <w:tab w:leader="none" w:pos="1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Executive’s employment is terminated by Resignation in Good Order under this Section 4(i), the compensation provisions of Section 6(g) shall apply in lieu of Section 6(d) and/or in lieu of Section 7 if such sections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180" w:name="page181"/>
    <w:bookmarkEnd w:id="180"/>
    <w:p>
      <w:pPr>
        <w:ind w:left="567"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would otherwise be applicable. In no event shall a resignation or termination of employment by the Executive following a Resignation in Good Order (but prior to the Effective Date of Voluntary Resignation) be a considered a resignation or termination by Executive that qualifies Executive for compensation under the provisions of Section 6(e) or Section 7.</w:t>
      </w:r>
    </w:p>
    <w:p>
      <w:pPr>
        <w:spacing w:after="0" w:line="82" w:lineRule="exact"/>
        <w:rPr>
          <w:sz w:val="20"/>
          <w:szCs w:val="20"/>
          <w:color w:val="auto"/>
        </w:rPr>
      </w:pPr>
    </w:p>
    <w:p>
      <w:pPr>
        <w:ind w:left="567" w:hanging="567"/>
        <w:spacing w:after="0" w:line="261" w:lineRule="auto"/>
        <w:tabs>
          <w:tab w:leader="none" w:pos="567"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Employment Agreement, letter of interpretation, or any other document to the contrary (including but not limited to that letter dated October 8, 2012 signed by David Steiner and Mark Weidman), in no event shall a resignation or termination of employment by the Executive on or before July 1, 2015, other than as set forth in this 4(i), be a considered a resignation or termination by Executive that qualifies Executive for compensation under the provisions of Section 6(e) or Section 7.</w:t>
      </w:r>
    </w:p>
    <w:p>
      <w:pPr>
        <w:spacing w:after="0" w:line="180" w:lineRule="exact"/>
        <w:rPr>
          <w:sz w:val="20"/>
          <w:szCs w:val="20"/>
          <w:color w:val="auto"/>
        </w:rPr>
      </w:pPr>
    </w:p>
    <w:p>
      <w:pPr>
        <w:ind w:left="187" w:hanging="179"/>
        <w:spacing w:after="0"/>
        <w:tabs>
          <w:tab w:leader="none" w:pos="18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Section 6(g) is added to the Employment Agreement:</w:t>
      </w:r>
    </w:p>
    <w:p>
      <w:pPr>
        <w:spacing w:after="0" w:line="221" w:lineRule="exact"/>
        <w:rPr>
          <w:rFonts w:ascii="Times New Roman" w:cs="Times New Roman" w:eastAsia="Times New Roman" w:hAnsi="Times New Roman"/>
          <w:sz w:val="18"/>
          <w:szCs w:val="18"/>
          <w:color w:val="auto"/>
        </w:rPr>
      </w:pPr>
    </w:p>
    <w:p>
      <w:pPr>
        <w:ind w:left="-213" w:firstLine="422"/>
        <w:spacing w:after="0" w:line="257" w:lineRule="auto"/>
        <w:tabs>
          <w:tab w:leader="none" w:pos="471" w:val="left"/>
        </w:tabs>
        <w:numPr>
          <w:ilvl w:val="1"/>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by Executive after Sale Stay Period. </w:t>
      </w:r>
      <w:r>
        <w:rPr>
          <w:rFonts w:ascii="Times New Roman" w:cs="Times New Roman" w:eastAsia="Times New Roman" w:hAnsi="Times New Roman"/>
          <w:sz w:val="18"/>
          <w:szCs w:val="18"/>
          <w:color w:val="auto"/>
        </w:rPr>
        <w:t>In the event Executive’s employment is terminated pursuant to Section 4(i)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in Good Order, the Company shall pay the following amounts to Executive. To the extent the following payments to be made during the first six-month period following Executive’s termination of employment would subject Executive to interest or penalties under Code Section 409A, then such payments shall be withheld by the Company and the amount of the payments withheld will be paid by the Company in a lump sum, without interest, on the date that is six (6) months and one (1) day after Executive’s termination. Continued medical benefits under Section 6(g)(iv) are intended to satisfy the exemption for medical expense reimbursements under Treasury Regulation Section 1.409A-1(b)(9)(v)(B).</w:t>
      </w:r>
    </w:p>
    <w:p>
      <w:pPr>
        <w:spacing w:after="0" w:line="92" w:lineRule="exact"/>
        <w:rPr>
          <w:sz w:val="20"/>
          <w:szCs w:val="20"/>
          <w:color w:val="auto"/>
        </w:rPr>
      </w:pPr>
    </w:p>
    <w:p>
      <w:pPr>
        <w:ind w:left="787" w:right="120" w:hanging="558"/>
        <w:spacing w:after="0" w:line="266" w:lineRule="auto"/>
        <w:tabs>
          <w:tab w:leader="none" w:pos="7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for services rendered to the date of termination, any accrued but unpaid expenses required to be reimbursed under this Employment Agreement, any vacation accrued to the date of termination, and any earned but unpaid bonuses for any prior calendar year.</w:t>
      </w:r>
    </w:p>
    <w:p>
      <w:pPr>
        <w:spacing w:after="0" w:line="81" w:lineRule="exact"/>
        <w:rPr>
          <w:rFonts w:ascii="Times New Roman" w:cs="Times New Roman" w:eastAsia="Times New Roman" w:hAnsi="Times New Roman"/>
          <w:sz w:val="18"/>
          <w:szCs w:val="18"/>
          <w:color w:val="auto"/>
        </w:rPr>
      </w:pPr>
    </w:p>
    <w:p>
      <w:pPr>
        <w:ind w:left="787" w:right="320" w:hanging="558"/>
        <w:spacing w:after="0" w:line="282" w:lineRule="auto"/>
        <w:tabs>
          <w:tab w:leader="none" w:pos="7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benefits to which Executive may be entitled pursuant to the plans, policies and arrangements referred to in Section 4(c) herof shall be determined and paid in accordance with the terms of such plans, policies and arrangements.</w:t>
      </w:r>
    </w:p>
    <w:p>
      <w:pPr>
        <w:spacing w:after="0" w:line="67" w:lineRule="exact"/>
        <w:rPr>
          <w:rFonts w:ascii="Times New Roman" w:cs="Times New Roman" w:eastAsia="Times New Roman" w:hAnsi="Times New Roman"/>
          <w:sz w:val="18"/>
          <w:szCs w:val="18"/>
          <w:color w:val="auto"/>
        </w:rPr>
      </w:pPr>
    </w:p>
    <w:p>
      <w:pPr>
        <w:ind w:left="787" w:right="20" w:hanging="558"/>
        <w:spacing w:after="0" w:line="261" w:lineRule="auto"/>
        <w:tabs>
          <w:tab w:leader="none" w:pos="78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execution of the Release (as defined in Section 7), an amount of $700,000 of which $350,000 shall be paid in a lump sum on the date that is six (6) months and one (1) day after Executive’s termination (“409A Delayed Pay Date”), and of which the remaining $350,000 shall be paid over the 18 months following the 409A Delayed Pay Date in the same manner and timing as Base Salary would have been paid if Executive had remained in active employment until the end of such period.</w:t>
      </w:r>
    </w:p>
    <w:p>
      <w:pPr>
        <w:spacing w:after="0" w:line="113" w:lineRule="exact"/>
        <w:rPr>
          <w:sz w:val="20"/>
          <w:szCs w:val="20"/>
          <w:color w:val="auto"/>
        </w:rPr>
      </w:pPr>
    </w:p>
    <w:p>
      <w:pPr>
        <w:ind w:left="4747"/>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67"/>
          </w:cols>
          <w:pgMar w:left="1153" w:top="270" w:right="279" w:bottom="1440" w:gutter="0" w:footer="0" w:header="0"/>
        </w:sectPr>
      </w:pPr>
    </w:p>
    <w:bookmarkStart w:id="181" w:name="page182"/>
    <w:bookmarkEnd w:id="181"/>
    <w:p>
      <w:pPr>
        <w:ind w:left="1920" w:hanging="440"/>
        <w:spacing w:after="0" w:line="254" w:lineRule="auto"/>
        <w:tabs>
          <w:tab w:leader="none" w:pos="19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Executive’s execution of the Release (as defined in Section 7), 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 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213" w:lineRule="exact"/>
        <w:rPr>
          <w:rFonts w:ascii="Times New Roman" w:cs="Times New Roman" w:eastAsia="Times New Roman" w:hAnsi="Times New Roman"/>
          <w:sz w:val="18"/>
          <w:szCs w:val="18"/>
          <w:color w:val="auto"/>
        </w:rPr>
      </w:pPr>
    </w:p>
    <w:p>
      <w:pPr>
        <w:ind w:left="1920" w:right="200" w:hanging="440"/>
        <w:spacing w:after="0" w:line="266" w:lineRule="auto"/>
        <w:tabs>
          <w:tab w:leader="none" w:pos="192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Executive’s execution of the Release (as defined in Section 7), Executive shall be eligible for a bonus or incentive compensation payment, at the same time, on the same basis, and to the same extent payments are to made to senior executives of the Company, pro-rated for the fiscal year in which the Executive is terminated.</w:t>
      </w:r>
    </w:p>
    <w:p>
      <w:pPr>
        <w:spacing w:after="0" w:line="176"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clause shall be added after the phrase “termination of employment pursuant to Section 5(e)” in the first sentence of Section 7(b)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Section 4(i).”</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70" w:right="2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caused this Second Amendment to be executed on, and effective as of, this 23rd day of December, 2013.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5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i w:val="1"/>
                <w:iCs w:val="1"/>
                <w:color w:val="auto"/>
              </w:rPr>
              <w:t>/s/ Mark W. Weidman</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WHEELABRATOR</w:t>
            </w:r>
          </w:p>
        </w:tc>
      </w:tr>
      <w:tr>
        <w:trPr>
          <w:trHeight w:val="191"/>
        </w:trPr>
        <w:tc>
          <w:tcPr>
            <w:tcW w:w="2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A. Weidman</w:t>
            </w:r>
          </w:p>
        </w:tc>
        <w:tc>
          <w:tcPr>
            <w:tcW w:w="6400" w:type="dxa"/>
            <w:vAlign w:val="bottom"/>
            <w:gridSpan w:val="2"/>
          </w:tcPr>
          <w:p>
            <w:pPr>
              <w:ind w:left="1120"/>
              <w:spacing w:after="0" w:line="191" w:lineRule="exact"/>
              <w:rPr>
                <w:sz w:val="20"/>
                <w:szCs w:val="20"/>
                <w:color w:val="auto"/>
              </w:rPr>
            </w:pPr>
            <w:r>
              <w:rPr>
                <w:rFonts w:ascii="Times New Roman" w:cs="Times New Roman" w:eastAsia="Times New Roman" w:hAnsi="Times New Roman"/>
                <w:sz w:val="18"/>
                <w:szCs w:val="18"/>
                <w:b w:val="1"/>
                <w:bCs w:val="1"/>
                <w:color w:val="auto"/>
              </w:rPr>
              <w:t>TECHNOLOGIES, INC.</w:t>
            </w:r>
          </w:p>
        </w:tc>
      </w:t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(the “Company”)</w:t>
            </w:r>
          </w:p>
        </w:tc>
      </w:tr>
      <w:tr>
        <w:trPr>
          <w:trHeight w:val="446"/>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 Courtney A. Tippy</w:t>
            </w:r>
          </w:p>
        </w:tc>
      </w:tr>
      <w:tr>
        <w:trPr>
          <w:trHeight w:val="205"/>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90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Courtney A. Tippy</w:t>
            </w:r>
          </w:p>
        </w:tc>
      </w:t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WASTE MANAGEMENT, INC.</w:t>
            </w: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i w:val="1"/>
                <w:iCs w:val="1"/>
                <w:color w:val="auto"/>
              </w:rPr>
              <w:t>/s/ David P. Steiner</w:t>
            </w:r>
          </w:p>
        </w:tc>
      </w:tr>
      <w:tr>
        <w:trPr>
          <w:trHeight w:val="37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183" w:name="page184"/>
    <w:bookmarkEnd w:id="183"/>
    <w:p>
      <w:pPr>
        <w:ind w:left="1048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Ratios)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2012</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losses in equity investments(b)</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1,805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Fixed charges deducted from income:</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Earnings available for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1,072</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1,897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2,083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Implicit interest in rents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Total fixed charges(b)</w:t>
            </w:r>
          </w:p>
        </w:tc>
        <w:tc>
          <w:tcPr>
            <w:tcW w:w="1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Ratio of earnings to fixed charges(a)</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4.3x</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1.9x</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3.3x</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3.8x</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Adjusted ratio of earnings to fixed charges(c)</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4.2x</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3.6x</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3.9x</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4.1x</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9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60" w:right="140" w:hanging="452"/>
        <w:spacing w:after="0" w:line="255"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computed the ratio of earnings to fixed charges by dividing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w:t>
      </w:r>
    </w:p>
    <w:p>
      <w:pPr>
        <w:spacing w:after="0" w:line="2" w:lineRule="exact"/>
        <w:rPr>
          <w:rFonts w:ascii="Times New Roman" w:cs="Times New Roman" w:eastAsia="Times New Roman" w:hAnsi="Times New Roman"/>
          <w:sz w:val="18"/>
          <w:szCs w:val="18"/>
          <w:color w:val="auto"/>
        </w:rPr>
      </w:pPr>
    </w:p>
    <w:p>
      <w:pPr>
        <w:ind w:left="460" w:right="20" w:hanging="452"/>
        <w:spacing w:after="0" w:line="250"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amounts are immaterial.</w:t>
      </w:r>
    </w:p>
    <w:p>
      <w:pPr>
        <w:spacing w:after="0" w:line="1" w:lineRule="exact"/>
        <w:rPr>
          <w:rFonts w:ascii="Times New Roman" w:cs="Times New Roman" w:eastAsia="Times New Roman" w:hAnsi="Times New Roman"/>
          <w:sz w:val="18"/>
          <w:szCs w:val="18"/>
          <w:color w:val="auto"/>
        </w:rPr>
      </w:pPr>
    </w:p>
    <w:p>
      <w:pPr>
        <w:ind w:left="460" w:right="260" w:hanging="452"/>
        <w:spacing w:after="0" w:line="255" w:lineRule="auto"/>
        <w:tabs>
          <w:tab w:leader="none" w:pos="4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adjusted ratio of earnings to fixed charges (“Adjusted Ratio”) excludes the impact of restructuring charges, impairments and divestitures. A reconciliation showing the effect of these items on our “Income before income taxes and losses in equity investments” used to calculate our earnings available for fixed charges is as follows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400" w:type="dxa"/>
            <w:vAlign w:val="bottom"/>
          </w:tcPr>
          <w:p>
            <w:pPr>
              <w:spacing w:after="0"/>
              <w:rPr>
                <w:sz w:val="12"/>
                <w:szCs w:val="12"/>
                <w:color w:val="auto"/>
              </w:rPr>
            </w:pPr>
          </w:p>
        </w:tc>
        <w:tc>
          <w:tcPr>
            <w:tcW w:w="5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80" w:type="dxa"/>
            <w:vAlign w:val="bottom"/>
          </w:tcPr>
          <w:p>
            <w:pPr>
              <w:spacing w:after="0"/>
              <w:rPr>
                <w:sz w:val="12"/>
                <w:szCs w:val="12"/>
                <w:color w:val="auto"/>
              </w:rPr>
            </w:pP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2"/>
                <w:szCs w:val="12"/>
                <w:color w:val="auto"/>
              </w:rPr>
            </w:pPr>
          </w:p>
        </w:tc>
        <w:tc>
          <w:tcPr>
            <w:tcW w:w="7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 income before income taxes and losses in equity investments</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1,805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1,350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1,557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1,656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Income before income taxes and losses in equity investments:</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impairments</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(other than goodwill)</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472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expense from divestitures</w:t>
            </w:r>
          </w:p>
        </w:tc>
        <w:tc>
          <w:tcPr>
            <w:tcW w:w="3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income before income taxes and losses in equity investments</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3"/>
              </w:rPr>
              <w:t>1,526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1,500</w:t>
            </w: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1,586</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ectPr>
          <w:pgSz w:w="11900" w:h="16838" w:orient="portrait"/>
          <w:cols w:equalWidth="0" w:num="1">
            <w:col w:w="11420"/>
          </w:cols>
          <w:pgMar w:left="240" w:top="117" w:right="2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Name</w:t>
            </w:r>
          </w:p>
        </w:tc>
        <w:tc>
          <w:tcPr>
            <w:tcW w:w="570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1-800-Pack-Rat, LLC</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635952 Ontario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8242348 Canada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Federally Chartered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Acaverde S.A. de C.V.</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Acaverde Servicios, S.A. de C.V.</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Environmental Technical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Akron Regional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Alpharetta Transfer Station,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Anderson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Antelope Valley Recycling and Disposal Facility,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Arden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Waste Disposal,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Automated Salvage Transport Co.,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Auxiwaste Services SA</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Avalon South,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Avalon Southwest,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Azusa Land Reclamation,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B&amp;B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 Landfill Gas Associates, L.P.</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Dipper Enterprises,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Bluegrass Containment,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Burnsville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Newco,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 Sierra Disposal</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California Asbestos Monofill,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 Waste Services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Sanitation Company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Capitol Disposal,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Alaska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Carolina Grading,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Cedar Ridge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Central Disposal Systems,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Iowa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Chadwick Road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Chambers Clearview Environmental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Chambers Development Company,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Chambers Development of Ohio,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Chambers of Georgia,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Chambers of Mississippi,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 Waste Management of Indiana,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 Waste Management of the Northwest,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Washington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Chemical Waste Management,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Chesser Island Road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City Environmental Services, Inc. of Waters</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Cleburne Landfill Company Corp.</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Coast Waste Management,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Connecticut Valley Sanitary Waste Disposal,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bl>
    <w:p>
      <w:pPr>
        <w:sectPr>
          <w:pgSz w:w="11900" w:h="16838" w:orient="portrait"/>
          <w:cols w:equalWidth="0" w:num="1">
            <w:col w:w="11420"/>
          </w:cols>
          <w:pgMar w:left="240" w:top="117" w:right="239" w:bottom="1440" w:gutter="0" w:footer="0" w:header="0"/>
        </w:sectPr>
      </w:pPr>
    </w:p>
    <w:bookmarkStart w:id="185" w:name="page186"/>
    <w:bookmarkEnd w:id="1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Name</w:t>
            </w:r>
          </w:p>
        </w:tc>
        <w:tc>
          <w:tcPr>
            <w:tcW w:w="570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Conservation Services, Inc.</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Coshocton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Cougar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Countryside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 Group,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Cuyahoga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CWM Chemical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Dafter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Dauphin Meadows,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Deep Valley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 Track Park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 Almo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Delaware Recyclable Products,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Dickinson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Service, Incorporated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Doctor Bramblett Road,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Earthmovers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 Liverpool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One Land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Eco-Vista,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eCycling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ELDA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Elk River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Envirofil of Illinois,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Evergreen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Evergreen Recycling and Disposal Facility,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 Industries</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 Landfills,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Gallia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Garick,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Garnet of Maryland,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Gartran,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Gateway Transfer Station,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Waste Systems,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Giordano Recycling,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Glades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Glen’s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Grand Central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Greenbow,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Greenleaf Compaction,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Allentown,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Georgia,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Managed Services—Connecticut,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Managed Services—RLWM,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Illinois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Mid-America,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New Jersey,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Ohio,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261" w:right="239" w:bottom="1440" w:gutter="0" w:footer="0" w:header="0"/>
        </w:sectPr>
      </w:pPr>
    </w:p>
    <w:bookmarkStart w:id="186" w:name="page187"/>
    <w:bookmarkEnd w:id="18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Name</w:t>
            </w:r>
          </w:p>
        </w:tc>
        <w:tc>
          <w:tcPr>
            <w:tcW w:w="570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Greenstar Paterson, LLC</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Pittsburgh,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Recycled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Greenstar,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Grupo WMX, S.A. De C.V.</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Guadalupe Mines Mutual Water Company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Guadalupe Rubbish Disposal Co.,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Harris Sanitation,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Harwood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Hedco Landfill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Mountain Fuels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Hillsboro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Holyoke Sanitary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Landfills,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Environmental Management,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Jahner Sanitation,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Jay County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JFS (UK)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and W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Keene Road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Kelly Run Sanitation,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George Landfill Properties,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 George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Kirby Canyon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Lakeville Recycling, L.P.</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South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Landfill Services of Charleston,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Laurel Highlands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LCS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Liberty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Liquid Waste Management,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Longleaf C&amp;D Disposal Facility,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Looney Bins,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Mahoning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Mass Gravel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 Ginnes Industrial Maintenance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McDaniel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McGill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Meadowfill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Michigan Environs,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Midwest One Land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Modesto Garbage Co.,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Moor Refuse,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Mountain Indemnity Insurance Company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Vermont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Mountainview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Mountainview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Nassau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261" w:right="239" w:bottom="1440" w:gutter="0" w:footer="0" w:header="0"/>
        </w:sectPr>
      </w:pPr>
    </w:p>
    <w:bookmarkStart w:id="187" w:name="page188"/>
    <w:bookmarkEnd w:id="1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Name</w:t>
            </w:r>
          </w:p>
        </w:tc>
        <w:tc>
          <w:tcPr>
            <w:tcW w:w="570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National Guaranty Insurance Company of Vermont</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Vermont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England CR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Milford Connecticut Farms,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Milford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Orleans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Manatee Recycling and Disposal Facility,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Northwestern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Nu-Way Live Oak Reclamation,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 Grove Disposal Co.,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Oakleaf Global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Oakleaf Waste Management Ltd.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Federally Chartered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Oakleaf Waste Management,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Oakleaf Waste Management,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Oakridge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Oakwood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OGH Acquisition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Okeechobee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Ozark Ridge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Arkansas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 &amp; R Environmental Industries,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Waste Management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Pappy,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Peltz H.C.,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Pen-Rob,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People’s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Peterson Demolition,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Phoenix Resources,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Pine Grove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Pine Tree Acres,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Quail Hollow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Questquill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 &amp; B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 Colorado,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RAA Trucking,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RCI Hudson,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Recycle America Co.,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Recycle America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Redwood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Refuse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Refuse,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Reliable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Remote Landfill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Reno Disposal Co.</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Resco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Resource Control Composting,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Resource Control,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Richland County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Riverbend Landfill Co.</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bl>
    <w:p>
      <w:pPr>
        <w:sectPr>
          <w:pgSz w:w="11900" w:h="16838" w:orient="portrait"/>
          <w:cols w:equalWidth="0" w:num="1">
            <w:col w:w="11420"/>
          </w:cols>
          <w:pgMar w:left="240" w:top="262" w:right="239" w:bottom="1440" w:gutter="0" w:footer="0" w:header="0"/>
        </w:sectPr>
      </w:pPr>
    </w:p>
    <w:bookmarkStart w:id="188" w:name="page189"/>
    <w:bookmarkEnd w:id="18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RTS</w:t>
            </w:r>
          </w:p>
        </w:tc>
        <w:tc>
          <w:tcPr>
            <w:tcW w:w="57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Landfill, Inc.</w:t>
            </w:r>
          </w:p>
        </w:tc>
        <w:tc>
          <w:tcPr>
            <w:tcW w:w="5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Rust Engineering &amp; Construction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Rust Engineering (Thailand) Ltd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Rust International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J Landfill Limited Partnership</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&amp; S Grading,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West 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S&amp;T Materials,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Sanifill de Mexico (US),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Sanifill de Mexico, S.A. de C.V.</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Serurbam Servicos Urbanos E Ambientais Ltda</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Shade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Sierra Estrella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Arizona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Alleghenies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One Land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Southern Waste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Spruce Ridge,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Stony Hollow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Suburban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Swire Waste Management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Texarkana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Rat—Austin #1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Rat—Dallas #1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Rat—Houston #1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Rat—Houston #2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Rat—Houston #3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Rat—San Antonio #1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Pack Rat Service Company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Peltz Group,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Waste Management Charitable Foundation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Woodlands of Van Buren,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Thermal Remediation Solutions,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TN’T Sands,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Trail Ridge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Transamerican Waste Central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Trash Hunters,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TrashCo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TX Newco,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Waste Systems Leasing,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South Hills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Valley Facility,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Geneva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Landfill Operations and Transfer,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of California,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of Texas Landfills,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of Virginia Landfills,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 Waste Services of NYC,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262" w:right="239" w:bottom="1440" w:gutter="0" w:footer="0" w:header="0"/>
        </w:sectPr>
      </w:pPr>
    </w:p>
    <w:bookmarkStart w:id="189" w:name="page190"/>
    <w:bookmarkEnd w:id="18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94"/>
              </w:rPr>
              <w:t>USA</w:t>
            </w:r>
          </w:p>
        </w:tc>
        <w:tc>
          <w:tcPr>
            <w:tcW w:w="5700" w:type="dxa"/>
            <w:vAlign w:val="bottom"/>
          </w:tcPr>
          <w:p>
            <w:pPr>
              <w:ind w:left="60"/>
              <w:spacing w:after="0" w:line="185" w:lineRule="exact"/>
              <w:rPr>
                <w:sz w:val="20"/>
                <w:szCs w:val="20"/>
                <w:color w:val="auto"/>
              </w:rPr>
            </w:pPr>
            <w:r>
              <w:rPr>
                <w:rFonts w:ascii="Times New Roman" w:cs="Times New Roman" w:eastAsia="Times New Roman" w:hAnsi="Times New Roman"/>
                <w:sz w:val="18"/>
                <w:szCs w:val="18"/>
                <w:color w:val="auto"/>
              </w:rPr>
              <w:t>Waste-Management Resources, LLC</w:t>
            </w:r>
          </w:p>
        </w:tc>
        <w:tc>
          <w:tcPr>
            <w:tcW w:w="5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USA-Crinc,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UWS Barre,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Valley Garbage and Rubbish Company,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Vern’s Refuse Service,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Dakota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Vickery Environmental,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Vista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Voyageur Disposal Processing,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Warner Company</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Away Group,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Alabama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Arizona Landfills,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Buckeye,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Collection and Recycling,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Colorado,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Maine,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Maine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Maryland,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Massachusetts,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Oregon,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Pennsylvania,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Disposal Services of Virginia,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 of Florida</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Indycoke,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International,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National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National Transportation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Alameda County,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Alaska,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Arizona,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Arkansas,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California,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Canada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Nova Scotia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Carolinas,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North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Colorado,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Connecticut,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Delaware,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Fairless,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Five Oaks Recycling and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Facility, Inc.</w:t>
            </w:r>
          </w:p>
        </w:tc>
        <w:tc>
          <w:tcPr>
            <w:tcW w:w="5360" w:type="dxa"/>
            <w:vAlign w:val="bottom"/>
          </w:tcPr>
          <w:p>
            <w:pPr>
              <w:spacing w:after="0"/>
              <w:rPr>
                <w:sz w:val="19"/>
                <w:szCs w:val="19"/>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Georgia,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Hawaii,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Idaho,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Idaho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Illinois,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Indiana Holdings One,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Indiana Holdings Two,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Indiana,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Iowa,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Iowa</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Kansas,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Kansas</w:t>
            </w:r>
          </w:p>
        </w:tc>
      </w:tr>
    </w:tbl>
    <w:p>
      <w:pPr>
        <w:sectPr>
          <w:pgSz w:w="11900" w:h="16838" w:orient="portrait"/>
          <w:cols w:equalWidth="0" w:num="1">
            <w:col w:w="11420"/>
          </w:cols>
          <w:pgMar w:left="240" w:top="261" w:right="239" w:bottom="1440" w:gutter="0" w:footer="0" w:header="0"/>
        </w:sectPr>
      </w:pPr>
    </w:p>
    <w:bookmarkStart w:id="190" w:name="page191"/>
    <w:bookmarkEnd w:id="1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75"/>
              </w:rPr>
              <w:t>Waste</w:t>
            </w:r>
          </w:p>
        </w:tc>
        <w:tc>
          <w:tcPr>
            <w:tcW w:w="57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Management of Kentucky Holdings, Inc.</w:t>
            </w:r>
          </w:p>
        </w:tc>
        <w:tc>
          <w:tcPr>
            <w:tcW w:w="5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Kentucky,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Leon County,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Londonderry,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Louisiana Holdings One,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Louisiana,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Maine,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Maine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Maryland,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Maryland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Massachusetts,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Metro Atlanta,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Michigan,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Minnesota,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Minnesota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Mississippi,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Missouri,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Montana,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Nebraska,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Nevada,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Nevada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New Hampshire,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Connecticut</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New Jersey,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New Mexico,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New Mexico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New York,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North Dakota,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Ohio,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Ohio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Oklahoma,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Oklahoma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Oregon,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Oregon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Pennsylvania Gas Recovery,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Pennsylvania,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Rhode Island,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South Carolina,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Carolina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South Dakota,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South Dakota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Texas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Texas,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Tunica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Mississippi</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Utah,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Utah</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Virginia,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Virginia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Washington,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West Virginia,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Wisconsin,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Wisconsin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of Wyoming,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Partners,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Recycling and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Disposal Services of California, Inc.</w:t>
            </w:r>
          </w:p>
        </w:tc>
        <w:tc>
          <w:tcPr>
            <w:tcW w:w="5360" w:type="dxa"/>
            <w:vAlign w:val="bottom"/>
          </w:tcPr>
          <w:p>
            <w:pPr>
              <w:spacing w:after="0"/>
              <w:rPr>
                <w:sz w:val="19"/>
                <w:szCs w:val="19"/>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Recycling of New Jersey,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Service Center,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Waste Management, Inc. of Tennessee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Tennessee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One Land Corporation</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Waste Industries</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Waste of Texas,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261" w:right="23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9"/>
              </w:rPr>
              <w:t>Name</w:t>
            </w:r>
          </w:p>
        </w:tc>
        <w:tc>
          <w:tcPr>
            <w:tcW w:w="5700" w:type="dxa"/>
            <w:vAlign w:val="bottom"/>
          </w:tcPr>
          <w:p>
            <w:pPr>
              <w:spacing w:after="0"/>
              <w:rPr>
                <w:sz w:val="16"/>
                <w:szCs w:val="16"/>
                <w:color w:val="auto"/>
              </w:rPr>
            </w:pP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60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Wheelabrator China Holdings, Limited</w:t>
            </w:r>
          </w:p>
        </w:tc>
        <w:tc>
          <w:tcPr>
            <w:tcW w:w="53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Hong Kong</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North Broward,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Wheelabrator Technologies International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Lake Landfill,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Michigan</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 Oak Landfill,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Willows Power and Recycling Holdings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Willows Power and Recycling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Willows Power and Recycling Operations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Willows Power and Recycling Trading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Avon,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Bagco,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Billerica,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CCP Solutions,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Conversion Fund,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Corporate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Curbside,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DDI Merger Sub,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Emergency Employee Support Fund,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Energy Resources,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Energy Solutions,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Green Squad,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GreenOps,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GTL JV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GTL,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GTL,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Healthcare Solutions,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Illinois Renewable Energy,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Intellectual Property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International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KS Energy Resources,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LampTracker,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Landfills of Ohio,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Landfills of Tennessee,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Leasing of Arizona,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Leasing of Texas, L.P.</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Leasing Services of Texas,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LNG,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Logistics India Private Limited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Logistics,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Mercury Waste,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Middle Tennessee Environmental Center,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Mobile Bay Environmental Center,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ND Energy Resources II,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ND Energy Resources,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Nevada Renewable Energy,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Organic Growth,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 Holdings,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420"/>
          </w:cols>
          <w:pgMar w:left="240" w:top="261" w:right="239"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Jurisdiction of Formation/Incorporation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WM</w:t>
            </w:r>
          </w:p>
        </w:tc>
        <w:tc>
          <w:tcPr>
            <w:tcW w:w="57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Pack-Rat of California, LLC</w:t>
            </w:r>
          </w:p>
        </w:tc>
        <w:tc>
          <w:tcPr>
            <w:tcW w:w="5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Illinois,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Kentucky,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Maryland,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Massachusetts,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Michigan,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Nevada,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Ohio,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of Rhode Island,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Pack-Rat,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Partnership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Phoenix Energy Resources,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Product Recovery Centers,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Product Recovery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Quebec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Federally Chartered</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RA Canada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Ontario</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Recycle America,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Recycle Europe,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Recycling Latin America,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Refined Coal,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Renewable Energy,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Resource Recovery &amp; Recycling Center,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Resources,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Pennsylvania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Safety Services,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Security Services,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Services SA</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Storage II,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Storage,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Texas Pack Rat,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Trash Monitor Plus,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TX Energy Resources II,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TX Energy Resources,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WY Energy Resources II,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WY Energy Resources III,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 WY Energy Resources,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WMI Mexico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WMNA Container Recycling,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WMRE of Kentucky,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WMRE of Michigan,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WMRE of Ohio,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WMRE of Ohio-American, LLC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WMSALSA,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Texas</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Air Pollution Control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Rust Holdings Inc.</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 UK Fin Co Ltd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WTI/Willows Construction Ltd</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England</w:t>
            </w:r>
          </w:p>
        </w:tc>
      </w:tr>
    </w:tbl>
    <w:p>
      <w:pPr>
        <w:sectPr>
          <w:pgSz w:w="11900" w:h="16838" w:orient="portrait"/>
          <w:cols w:equalWidth="0" w:num="1">
            <w:col w:w="11420"/>
          </w:cols>
          <w:pgMar w:left="240" w:top="262" w:right="2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17" w:lineRule="exact"/>
        <w:rPr>
          <w:sz w:val="20"/>
          <w:szCs w:val="20"/>
          <w:color w:val="auto"/>
        </w:rPr>
      </w:pPr>
    </w:p>
    <w:p>
      <w:pPr>
        <w:ind w:left="460" w:right="240" w:firstLine="4"/>
        <w:spacing w:after="0" w:line="282" w:lineRule="auto"/>
        <w:tabs>
          <w:tab w:leader="none" w:pos="7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333-181335) of Waste Management, Inc. pertaining to the issuance of shares of common stock pursuant to the Waste Management, Inc. Employee Stock Purchase Plan,</w:t>
      </w:r>
    </w:p>
    <w:p>
      <w:pPr>
        <w:spacing w:after="0" w:line="53" w:lineRule="exact"/>
        <w:rPr>
          <w:rFonts w:ascii="Times New Roman" w:cs="Times New Roman" w:eastAsia="Times New Roman" w:hAnsi="Times New Roman"/>
          <w:sz w:val="18"/>
          <w:szCs w:val="18"/>
          <w:color w:val="auto"/>
        </w:rPr>
      </w:pPr>
    </w:p>
    <w:p>
      <w:pPr>
        <w:ind w:left="460" w:right="240" w:firstLine="4"/>
        <w:spacing w:after="0" w:line="282" w:lineRule="auto"/>
        <w:tabs>
          <w:tab w:leader="none" w:pos="7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333-195980) of Waste Management, Inc. pertaining to the issuance of shares of common stock pursuant to the 2014 Stock Incentive Plan,</w:t>
      </w:r>
    </w:p>
    <w:p>
      <w:pPr>
        <w:spacing w:after="0" w:line="53" w:lineRule="exact"/>
        <w:rPr>
          <w:rFonts w:ascii="Times New Roman" w:cs="Times New Roman" w:eastAsia="Times New Roman" w:hAnsi="Times New Roman"/>
          <w:sz w:val="18"/>
          <w:szCs w:val="18"/>
          <w:color w:val="auto"/>
        </w:rPr>
      </w:pPr>
    </w:p>
    <w:p>
      <w:pPr>
        <w:ind w:left="460" w:right="240" w:firstLine="4"/>
        <w:spacing w:after="0" w:line="282" w:lineRule="auto"/>
        <w:tabs>
          <w:tab w:leader="none" w:pos="7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333-184156) of Waste Management, Inc. pertaining to the issuance of shares of common stock pursuant to the Waste Management Retirement Savings Plan and the Waste Management Retirement Savings Plan for Bargaining Unit Employees,</w:t>
      </w:r>
    </w:p>
    <w:p>
      <w:pPr>
        <w:spacing w:after="0" w:line="53"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Automatic Shelf Registration No. 333-184157) of Waste Management, Inc.,</w:t>
      </w:r>
    </w:p>
    <w:p>
      <w:pPr>
        <w:spacing w:after="0" w:line="117"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S-4 No. 333-32805 and Post-Effective Amendment No. 1 thereto) of Waste Management, Inc.,</w:t>
      </w:r>
    </w:p>
    <w:p>
      <w:pPr>
        <w:spacing w:after="0" w:line="117" w:lineRule="exact"/>
        <w:rPr>
          <w:rFonts w:ascii="Times New Roman" w:cs="Times New Roman" w:eastAsia="Times New Roman" w:hAnsi="Times New Roman"/>
          <w:sz w:val="18"/>
          <w:szCs w:val="18"/>
          <w:color w:val="auto"/>
        </w:rPr>
      </w:pPr>
    </w:p>
    <w:p>
      <w:pPr>
        <w:ind w:left="460" w:right="240" w:firstLine="4"/>
        <w:spacing w:after="0" w:line="282" w:lineRule="auto"/>
        <w:tabs>
          <w:tab w:leader="none" w:pos="7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333-159476) of Waste Management, Inc. pertaining to the issuance of shares of common stock pursuant to the 2009 Stock Incentive Plan, and</w:t>
      </w:r>
    </w:p>
    <w:p>
      <w:pPr>
        <w:spacing w:after="0" w:line="53" w:lineRule="exact"/>
        <w:rPr>
          <w:rFonts w:ascii="Times New Roman" w:cs="Times New Roman" w:eastAsia="Times New Roman" w:hAnsi="Times New Roman"/>
          <w:sz w:val="18"/>
          <w:szCs w:val="18"/>
          <w:color w:val="auto"/>
        </w:rPr>
      </w:pPr>
    </w:p>
    <w:p>
      <w:pPr>
        <w:ind w:left="460" w:right="240" w:firstLine="4"/>
        <w:spacing w:after="0" w:line="282" w:lineRule="auto"/>
        <w:tabs>
          <w:tab w:leader="none" w:pos="7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333-115932) of Waste Management, Inc. pertaining to the issuance of shares of common stock pursuant to the 2004 Stock Incentive Plan;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of our reports dated February 17, 2015, with respect to the consolidated financial statements and schedule of Waste Management, Inc. and the effectiveness of internal control over financial reporting of Waste Management, Inc. included in this Annual Report (Form 10-K) of Waste Management, Inc. for the year ended December 31, 2014.</w:t>
      </w:r>
    </w:p>
    <w:p>
      <w:pPr>
        <w:spacing w:after="0" w:line="28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ectPr>
          <w:pgSz w:w="11900" w:h="16838" w:orient="portrait"/>
          <w:cols w:equalWidth="0" w:num="1">
            <w:col w:w="11420"/>
          </w:cols>
          <w:pgMar w:left="240" w:top="117" w:right="2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260" w:right="21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P. Steiner, certify that: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13" w:lineRule="auto"/>
        <w:tabs>
          <w:tab w:leader="none" w:pos="646"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200" w:firstLine="464"/>
        <w:spacing w:after="0" w:line="282" w:lineRule="auto"/>
        <w:tabs>
          <w:tab w:leader="none" w:pos="697"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40" w:firstLine="464"/>
        <w:spacing w:after="0" w:line="266" w:lineRule="auto"/>
        <w:tabs>
          <w:tab w:leader="none" w:pos="67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68" w:lineRule="exact"/>
        <w:rPr>
          <w:rFonts w:ascii="Times New Roman" w:cs="Times New Roman" w:eastAsia="Times New Roman" w:hAnsi="Times New Roman"/>
          <w:sz w:val="18"/>
          <w:szCs w:val="18"/>
          <w:color w:val="auto"/>
        </w:rPr>
      </w:pPr>
    </w:p>
    <w:p>
      <w:pPr>
        <w:ind w:left="460" w:right="80" w:firstLine="443"/>
        <w:spacing w:after="0" w:line="266" w:lineRule="auto"/>
        <w:tabs>
          <w:tab w:leader="none" w:pos="11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460" w:right="440" w:firstLine="443"/>
        <w:spacing w:after="0" w:line="266" w:lineRule="auto"/>
        <w:tabs>
          <w:tab w:leader="none" w:pos="110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10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80" w:firstLine="443"/>
        <w:spacing w:after="0" w:line="266" w:lineRule="auto"/>
        <w:tabs>
          <w:tab w:leader="none" w:pos="111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622"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60" w:firstLine="443"/>
        <w:spacing w:after="0" w:line="282" w:lineRule="auto"/>
        <w:tabs>
          <w:tab w:leader="none" w:pos="110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P. STEINER</w:t>
            </w:r>
          </w:p>
        </w:tc>
      </w:tr>
      <w:tr>
        <w:trPr>
          <w:trHeight w:val="189"/>
        </w:trPr>
        <w:tc>
          <w:tcPr>
            <w:tcW w:w="420" w:type="dxa"/>
            <w:vAlign w:val="bottom"/>
          </w:tcPr>
          <w:p>
            <w:pPr>
              <w:spacing w:after="0"/>
              <w:rPr>
                <w:sz w:val="16"/>
                <w:szCs w:val="16"/>
                <w:color w:val="auto"/>
              </w:rPr>
            </w:pPr>
          </w:p>
        </w:tc>
        <w:tc>
          <w:tcPr>
            <w:tcW w:w="4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David P. Steiner</w:t>
            </w:r>
          </w:p>
        </w:tc>
      </w:tr>
      <w:tr>
        <w:trPr>
          <w:trHeight w:val="236"/>
        </w:trPr>
        <w:tc>
          <w:tcPr>
            <w:tcW w:w="4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2015</w:t>
      </w:r>
    </w:p>
    <w:p>
      <w:pPr>
        <w:sectPr>
          <w:pgSz w:w="11900" w:h="16838" w:orient="portrait"/>
          <w:cols w:equalWidth="0" w:num="1">
            <w:col w:w="11420"/>
          </w:cols>
          <w:pgMar w:left="240" w:top="117" w:right="2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260" w:right="210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Fish, Jr., certify that: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I have reviewed this report on Form 10-K of Waste Management, Inc.;</w:t>
      </w:r>
    </w:p>
    <w:p>
      <w:pPr>
        <w:spacing w:after="0" w:line="225" w:lineRule="exact"/>
        <w:rPr>
          <w:sz w:val="20"/>
          <w:szCs w:val="20"/>
          <w:color w:val="auto"/>
        </w:rPr>
      </w:pPr>
    </w:p>
    <w:p>
      <w:pPr>
        <w:ind w:right="300" w:firstLine="464"/>
        <w:spacing w:after="0" w:line="313" w:lineRule="auto"/>
        <w:tabs>
          <w:tab w:leader="none" w:pos="64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Times New Roman" w:cs="Times New Roman" w:eastAsia="Times New Roman" w:hAnsi="Times New Roman"/>
          <w:sz w:val="17"/>
          <w:szCs w:val="17"/>
          <w:color w:val="auto"/>
        </w:rPr>
      </w:pPr>
    </w:p>
    <w:p>
      <w:pPr>
        <w:ind w:right="200" w:firstLine="464"/>
        <w:spacing w:after="0" w:line="282" w:lineRule="auto"/>
        <w:tabs>
          <w:tab w:leader="none" w:pos="697"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140" w:firstLine="464"/>
        <w:spacing w:after="0" w:line="266" w:lineRule="auto"/>
        <w:tabs>
          <w:tab w:leader="none" w:pos="67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68" w:lineRule="exact"/>
        <w:rPr>
          <w:rFonts w:ascii="Times New Roman" w:cs="Times New Roman" w:eastAsia="Times New Roman" w:hAnsi="Times New Roman"/>
          <w:sz w:val="18"/>
          <w:szCs w:val="18"/>
          <w:color w:val="auto"/>
        </w:rPr>
      </w:pPr>
    </w:p>
    <w:p>
      <w:pPr>
        <w:ind w:left="460" w:right="80" w:firstLine="443"/>
        <w:spacing w:after="0" w:line="266" w:lineRule="auto"/>
        <w:tabs>
          <w:tab w:leader="none" w:pos="11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460" w:right="440" w:firstLine="443"/>
        <w:spacing w:after="0" w:line="266" w:lineRule="auto"/>
        <w:tabs>
          <w:tab w:leader="none" w:pos="110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10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460" w:right="80" w:firstLine="443"/>
        <w:spacing w:after="0" w:line="266" w:lineRule="auto"/>
        <w:tabs>
          <w:tab w:leader="none" w:pos="111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 w:firstLine="464"/>
        <w:spacing w:after="0" w:line="282" w:lineRule="auto"/>
        <w:tabs>
          <w:tab w:leader="none" w:pos="62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760" w:firstLine="443"/>
        <w:spacing w:after="0" w:line="282" w:lineRule="auto"/>
        <w:tabs>
          <w:tab w:leader="none" w:pos="110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420" w:type="dxa"/>
            <w:vAlign w:val="bottom"/>
          </w:tcPr>
          <w:p>
            <w:pPr>
              <w:spacing w:after="0"/>
              <w:rPr>
                <w:sz w:val="16"/>
                <w:szCs w:val="16"/>
                <w:color w:val="auto"/>
              </w:rPr>
            </w:pPr>
          </w:p>
        </w:tc>
        <w:tc>
          <w:tcPr>
            <w:tcW w:w="4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16"/>
        </w:trPr>
        <w:tc>
          <w:tcPr>
            <w:tcW w:w="4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4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17, 2015</w:t>
      </w:r>
    </w:p>
    <w:p>
      <w:pPr>
        <w:sectPr>
          <w:pgSz w:w="11900" w:h="16838" w:orient="portrait"/>
          <w:cols w:equalWidth="0" w:num="1">
            <w:col w:w="11420"/>
          </w:cols>
          <w:pgMar w:left="240" w:top="117" w:right="2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2014 as filed with the Securities and Exchange Commission on the date hereof (the “Report”), I, David P. Steiner, Chief Executive Officer of the Company, certify, pursuant to 18 U.S.C. § 1350, as adopted pursuant to § 906 of the Sarbanes-Oxley Act of 2002, that:</w:t>
      </w:r>
    </w:p>
    <w:p>
      <w:pPr>
        <w:spacing w:after="0" w:line="68" w:lineRule="exact"/>
        <w:rPr>
          <w:sz w:val="20"/>
          <w:szCs w:val="20"/>
          <w:color w:val="auto"/>
        </w:rPr>
      </w:pPr>
    </w:p>
    <w:p>
      <w:pPr>
        <w:ind w:left="1160" w:hanging="257"/>
        <w:spacing w:after="0"/>
        <w:tabs>
          <w:tab w:leader="none" w:pos="11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153"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10"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P. STEINER</w:t>
            </w:r>
          </w:p>
        </w:tc>
      </w:tr>
      <w:tr>
        <w:trPr>
          <w:trHeight w:val="189"/>
        </w:trPr>
        <w:tc>
          <w:tcPr>
            <w:tcW w:w="420" w:type="dxa"/>
            <w:vAlign w:val="bottom"/>
          </w:tcPr>
          <w:p>
            <w:pPr>
              <w:spacing w:after="0"/>
              <w:rPr>
                <w:sz w:val="16"/>
                <w:szCs w:val="16"/>
                <w:color w:val="auto"/>
              </w:rPr>
            </w:pPr>
          </w:p>
        </w:tc>
        <w:tc>
          <w:tcPr>
            <w:tcW w:w="4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David P. Steiner</w:t>
            </w:r>
          </w:p>
        </w:tc>
      </w:tr>
      <w:tr>
        <w:trPr>
          <w:trHeight w:val="236"/>
        </w:trPr>
        <w:tc>
          <w:tcPr>
            <w:tcW w:w="4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ectPr>
          <w:pgSz w:w="11900" w:h="16838" w:orient="portrait"/>
          <w:cols w:equalWidth="0" w:num="1">
            <w:col w:w="11420"/>
          </w:cols>
          <w:pgMar w:left="240" w:top="117" w:right="2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Waste Management, Inc. (the “Company”) on Form 10-K for the period ended December 31, 2014 as filed with the Securities and Exchange Commission on the date hereof (the “Report”), I, James C. Fish, Jr., Chief Financial Officer of the Company, certify, pursuant to 18 U.S.C. § 1350, as adopted pursuant to § 906 of the Sarbanes-Oxley Act of 2002, that:</w:t>
      </w:r>
    </w:p>
    <w:p>
      <w:pPr>
        <w:spacing w:after="0" w:line="68" w:lineRule="exact"/>
        <w:rPr>
          <w:sz w:val="20"/>
          <w:szCs w:val="20"/>
          <w:color w:val="auto"/>
        </w:rPr>
      </w:pPr>
    </w:p>
    <w:p>
      <w:pPr>
        <w:ind w:left="1160" w:hanging="257"/>
        <w:spacing w:after="0"/>
        <w:tabs>
          <w:tab w:leader="none" w:pos="11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153"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JAMES C. FISH, JR.</w:t>
            </w:r>
          </w:p>
        </w:tc>
      </w:tr>
      <w:tr>
        <w:trPr>
          <w:trHeight w:val="189"/>
        </w:trPr>
        <w:tc>
          <w:tcPr>
            <w:tcW w:w="420" w:type="dxa"/>
            <w:vAlign w:val="bottom"/>
          </w:tcPr>
          <w:p>
            <w:pPr>
              <w:spacing w:after="0"/>
              <w:rPr>
                <w:sz w:val="16"/>
                <w:szCs w:val="16"/>
                <w:color w:val="auto"/>
              </w:rPr>
            </w:pPr>
          </w:p>
        </w:tc>
        <w:tc>
          <w:tcPr>
            <w:tcW w:w="41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James C. Fish, Jr.</w:t>
            </w:r>
          </w:p>
        </w:tc>
      </w:tr>
      <w:tr>
        <w:trPr>
          <w:trHeight w:val="216"/>
        </w:trPr>
        <w:tc>
          <w:tcPr>
            <w:tcW w:w="420" w:type="dxa"/>
            <w:vAlign w:val="bottom"/>
          </w:tcPr>
          <w:p>
            <w:pPr>
              <w:spacing w:after="0"/>
              <w:rPr>
                <w:sz w:val="18"/>
                <w:szCs w:val="18"/>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w:t>
            </w:r>
          </w:p>
        </w:tc>
      </w:tr>
      <w:tr>
        <w:trPr>
          <w:trHeight w:val="236"/>
        </w:trPr>
        <w:tc>
          <w:tcPr>
            <w:tcW w:w="4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17, 2015</w:t>
      </w:r>
    </w:p>
    <w:p>
      <w:pPr>
        <w:sectPr>
          <w:pgSz w:w="11900" w:h="16838" w:orient="portrait"/>
          <w:cols w:equalWidth="0" w:num="1">
            <w:col w:w="11420"/>
          </w:cols>
          <w:pgMar w:left="240" w:top="117" w:right="2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29" w:lineRule="exact"/>
        <w:rPr>
          <w:sz w:val="20"/>
          <w:szCs w:val="20"/>
          <w:color w:val="auto"/>
        </w:rPr>
      </w:pPr>
    </w:p>
    <w:p>
      <w:pPr>
        <w:jc w:val="both"/>
        <w:ind w:right="560" w:firstLine="456"/>
        <w:spacing w:after="0" w:line="266" w:lineRule="auto"/>
        <w:rPr>
          <w:sz w:val="20"/>
          <w:szCs w:val="20"/>
          <w:color w:val="auto"/>
        </w:rPr>
      </w:pPr>
      <w:r>
        <w:rPr>
          <w:rFonts w:ascii="Times New Roman" w:cs="Times New Roman" w:eastAsia="Times New Roman" w:hAnsi="Times New Roman"/>
          <w:sz w:val="18"/>
          <w:szCs w:val="18"/>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2014,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or (e) an imminent danger order under section 107(a) of the Mine Safety Act. Waste Management of North Dakota, Inc. was assessed proposed penalties of $1,171 during 2014 in connection with operation of a construction sand and gravel surface mine in Roosevelt County, Montana.</w:t>
      </w:r>
    </w:p>
    <w:p>
      <w:pPr>
        <w:spacing w:after="0" w:line="18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addition, during the year ended December 31, 2014,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1)"/>
      <w:numFmt w:val="decimal"/>
      <w:start w:val="713"/>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
      <w:numFmt w:val="bullet"/>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
      <w:numFmt w:val="bullet"/>
      <w:start w:val="1"/>
    </w:lvl>
  </w:abstractNum>
  <w:abstractNum w:abstractNumId="9">
    <w:nsid w:val="2DF6D648"/>
    <w:multiLevelType w:val="hybridMultilevel"/>
    <w:lvl w:ilvl="0">
      <w:lvlJc w:val="left"/>
      <w:lvlText w:val="•"/>
      <w:numFmt w:val="bullet"/>
      <w:start w:val="1"/>
    </w:lvl>
  </w:abstractNum>
  <w:abstractNum w:abstractNumId="10">
    <w:nsid w:val="46B7D447"/>
    <w:multiLevelType w:val="hybridMultilevel"/>
    <w:lvl w:ilvl="0">
      <w:lvlJc w:val="left"/>
      <w:lvlText w:val="•"/>
      <w:numFmt w:val="bullet"/>
      <w:start w:val="1"/>
    </w:lvl>
  </w:abstractNum>
  <w:abstractNum w:abstractNumId="11">
    <w:nsid w:val="4A2AC315"/>
    <w:multiLevelType w:val="hybridMultilevel"/>
    <w:lvl w:ilvl="0">
      <w:lvlJc w:val="left"/>
      <w:lvlText w:val="•"/>
      <w:numFmt w:val="bullet"/>
      <w:start w:val="1"/>
    </w:lvl>
  </w:abstractNum>
  <w:abstractNum w:abstractNumId="12">
    <w:nsid w:val="39EE015C"/>
    <w:multiLevelType w:val="hybridMultilevel"/>
    <w:lvl w:ilvl="0">
      <w:lvlJc w:val="left"/>
      <w:lvlText w:val="•"/>
      <w:numFmt w:val="bullet"/>
      <w:start w:val="1"/>
    </w:lvl>
  </w:abstractNum>
  <w:abstractNum w:abstractNumId="13">
    <w:nsid w:val="57FC4FBB"/>
    <w:multiLevelType w:val="hybridMultilevel"/>
    <w:lvl w:ilvl="0">
      <w:lvlJc w:val="left"/>
      <w:lvlText w:val="•"/>
      <w:numFmt w:val="bullet"/>
      <w:start w:val="1"/>
    </w:lvl>
  </w:abstractNum>
  <w:abstractNum w:abstractNumId="14">
    <w:nsid w:val="CC1016F"/>
    <w:multiLevelType w:val="hybridMultilevel"/>
    <w:lvl w:ilvl="0">
      <w:lvlJc w:val="left"/>
      <w:lvlText w:val="•"/>
      <w:numFmt w:val="bullet"/>
      <w:start w:val="1"/>
    </w:lvl>
  </w:abstractNum>
  <w:abstractNum w:abstractNumId="15">
    <w:nsid w:val="43F18422"/>
    <w:multiLevelType w:val="hybridMultilevel"/>
    <w:lvl w:ilvl="0">
      <w:lvlJc w:val="left"/>
      <w:lvlText w:val="•"/>
      <w:numFmt w:val="bullet"/>
      <w:start w:val="1"/>
    </w:lvl>
  </w:abstractNum>
  <w:abstractNum w:abstractNumId="16">
    <w:nsid w:val="60EF0119"/>
    <w:multiLevelType w:val="hybridMultilevel"/>
    <w:lvl w:ilvl="0">
      <w:lvlJc w:val="left"/>
      <w:lvlText w:val="(%1)"/>
      <w:numFmt w:val="lowerRoman"/>
      <w:start w:val="2"/>
    </w:lvl>
  </w:abstractNum>
  <w:abstractNum w:abstractNumId="17">
    <w:nsid w:val="26F324BA"/>
    <w:multiLevelType w:val="hybridMultilevel"/>
    <w:lvl w:ilvl="0">
      <w:lvlJc w:val="left"/>
      <w:lvlText w:val="(%1)"/>
      <w:numFmt w:val="lowerLetter"/>
      <w:start w:val="1"/>
    </w:lvl>
  </w:abstractNum>
  <w:abstractNum w:abstractNumId="18">
    <w:nsid w:val="7F01579B"/>
    <w:multiLevelType w:val="hybridMultilevel"/>
    <w:lvl w:ilvl="0">
      <w:lvlJc w:val="left"/>
      <w:lvlText w:val="(%1)"/>
      <w:numFmt w:val="lowerLetter"/>
      <w:start w:val="1"/>
    </w:lvl>
  </w:abstractNum>
  <w:abstractNum w:abstractNumId="19">
    <w:nsid w:val="49DA307D"/>
    <w:multiLevelType w:val="hybridMultilevel"/>
    <w:lvl w:ilvl="0">
      <w:lvlJc w:val="left"/>
      <w:lvlText w:val="•"/>
      <w:numFmt w:val="bullet"/>
      <w:start w:val="1"/>
    </w:lvl>
  </w:abstractNum>
  <w:abstractNum w:abstractNumId="20">
    <w:nsid w:val="7055A5F5"/>
    <w:multiLevelType w:val="hybridMultilevel"/>
    <w:lvl w:ilvl="0">
      <w:lvlJc w:val="left"/>
      <w:lvlText w:val="•"/>
      <w:numFmt w:val="bullet"/>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
      <w:numFmt w:val="bullet"/>
      <w:start w:val="1"/>
    </w:lvl>
  </w:abstractNum>
  <w:abstractNum w:abstractNumId="25">
    <w:nsid w:val="6AA78F7F"/>
    <w:multiLevelType w:val="hybridMultilevel"/>
    <w:lvl w:ilvl="0">
      <w:lvlJc w:val="left"/>
      <w:lvlText w:val="•"/>
      <w:numFmt w:val="bullet"/>
      <w:start w:val="1"/>
    </w:lvl>
  </w:abstractNum>
  <w:abstractNum w:abstractNumId="26">
    <w:nsid w:val="7672BD23"/>
    <w:multiLevelType w:val="hybridMultilevel"/>
    <w:lvl w:ilvl="0">
      <w:lvlJc w:val="left"/>
      <w:lvlText w:val="•"/>
      <w:numFmt w:val="bullet"/>
      <w:start w:val="1"/>
    </w:lvl>
  </w:abstractNum>
  <w:abstractNum w:abstractNumId="27">
    <w:nsid w:val="6FC75AF8"/>
    <w:multiLevelType w:val="hybridMultilevel"/>
    <w:lvl w:ilvl="0">
      <w:lvlJc w:val="left"/>
      <w:lvlText w:val="(%1)"/>
      <w:numFmt w:val="lowerRoman"/>
      <w:start w:val="2"/>
    </w:lvl>
  </w:abstractNum>
  <w:abstractNum w:abstractNumId="28">
    <w:nsid w:val="6A5F7029"/>
    <w:multiLevelType w:val="hybridMultilevel"/>
    <w:lvl w:ilvl="0">
      <w:lvlJc w:val="left"/>
      <w:lvlText w:val="•"/>
      <w:numFmt w:val="bullet"/>
      <w:start w:val="1"/>
    </w:lvl>
  </w:abstractNum>
  <w:abstractNum w:abstractNumId="29">
    <w:nsid w:val="7D5E18F8"/>
    <w:multiLevelType w:val="hybridMultilevel"/>
    <w:lvl w:ilvl="0">
      <w:lvlJc w:val="left"/>
      <w:lvlText w:val="•"/>
      <w:numFmt w:val="bullet"/>
      <w:start w:val="1"/>
    </w:lvl>
  </w:abstractNum>
  <w:abstractNum w:abstractNumId="30">
    <w:nsid w:val="5F3534A4"/>
    <w:multiLevelType w:val="hybridMultilevel"/>
    <w:lvl w:ilvl="0">
      <w:lvlJc w:val="left"/>
      <w:lvlText w:val="(%1)"/>
      <w:numFmt w:val="lowerRoman"/>
      <w:start w:val="1"/>
    </w:lvl>
  </w:abstractNum>
  <w:abstractNum w:abstractNumId="31">
    <w:nsid w:val="73A1821B"/>
    <w:multiLevelType w:val="hybridMultilevel"/>
    <w:lvl w:ilvl="0">
      <w:lvlJc w:val="left"/>
      <w:lvlText w:val="(%1)"/>
      <w:numFmt w:val="lowerLetter"/>
      <w:start w:val="1"/>
    </w:lvl>
  </w:abstractNum>
  <w:abstractNum w:abstractNumId="32">
    <w:nsid w:val="7DE67713"/>
    <w:multiLevelType w:val="hybridMultilevel"/>
    <w:lvl w:ilvl="0">
      <w:lvlJc w:val="left"/>
      <w:lvlText w:val="(%1)"/>
      <w:numFmt w:val="lowerRoman"/>
      <w:start w:val="1"/>
    </w:lvl>
  </w:abstractNum>
  <w:abstractNum w:abstractNumId="33">
    <w:nsid w:val="555C55B5"/>
    <w:multiLevelType w:val="hybridMultilevel"/>
    <w:lvl w:ilvl="0">
      <w:lvlJc w:val="left"/>
      <w:lvlText w:val="(%1)"/>
      <w:numFmt w:val="lowerRoman"/>
      <w:start w:val="2"/>
    </w:lvl>
  </w:abstractNum>
  <w:abstractNum w:abstractNumId="34">
    <w:nsid w:val="3FA62ACA"/>
    <w:multiLevelType w:val="hybridMultilevel"/>
    <w:lvl w:ilvl="0">
      <w:lvlJc w:val="left"/>
      <w:lvlText w:val="(%1)"/>
      <w:numFmt w:val="lowerRoman"/>
      <w:start w:val="1"/>
    </w:lvl>
  </w:abstractNum>
  <w:abstractNum w:abstractNumId="35">
    <w:nsid w:val="14FCE74E"/>
    <w:multiLevelType w:val="hybridMultilevel"/>
    <w:lvl w:ilvl="0">
      <w:lvlJc w:val="left"/>
      <w:lvlText w:val="(%1)"/>
      <w:numFmt w:val="lowerRoman"/>
      <w:start w:val="1"/>
    </w:lvl>
  </w:abstractNum>
  <w:abstractNum w:abstractNumId="36">
    <w:nsid w:val="6A3DD3E8"/>
    <w:multiLevelType w:val="hybridMultilevel"/>
    <w:lvl w:ilvl="0">
      <w:lvlJc w:val="left"/>
      <w:lvlText w:val="(%1)"/>
      <w:numFmt w:val="lowerRoman"/>
      <w:start w:val="1"/>
    </w:lvl>
  </w:abstractNum>
  <w:abstractNum w:abstractNumId="37">
    <w:nsid w:val="71C91298"/>
    <w:multiLevelType w:val="hybridMultilevel"/>
    <w:lvl w:ilvl="0">
      <w:lvlJc w:val="left"/>
      <w:lvlText w:val="•"/>
      <w:numFmt w:val="bullet"/>
      <w:start w:val="1"/>
    </w:lvl>
  </w:abstractNum>
  <w:abstractNum w:abstractNumId="38">
    <w:nsid w:val="9DAF632"/>
    <w:multiLevelType w:val="hybridMultilevel"/>
    <w:lvl w:ilvl="0">
      <w:lvlJc w:val="left"/>
      <w:lvlText w:val="•"/>
      <w:numFmt w:val="bullet"/>
      <w:start w:val="1"/>
    </w:lvl>
  </w:abstractNum>
  <w:abstractNum w:abstractNumId="39">
    <w:nsid w:val="53299938"/>
    <w:multiLevelType w:val="hybridMultilevel"/>
    <w:lvl w:ilvl="0">
      <w:lvlJc w:val="left"/>
      <w:lvlText w:val="•"/>
      <w:numFmt w:val="bullet"/>
      <w:start w:val="1"/>
    </w:lvl>
  </w:abstractNum>
  <w:abstractNum w:abstractNumId="40">
    <w:nsid w:val="1FBFE8E0"/>
    <w:multiLevelType w:val="hybridMultilevel"/>
    <w:lvl w:ilvl="0">
      <w:lvlJc w:val="left"/>
      <w:lvlText w:val="(%1)"/>
      <w:numFmt w:val="lowerRoman"/>
      <w:start w:val="7"/>
    </w:lvl>
  </w:abstractNum>
  <w:abstractNum w:abstractNumId="41">
    <w:nsid w:val="5092CA79"/>
    <w:multiLevelType w:val="hybridMultilevel"/>
    <w:lvl w:ilvl="0">
      <w:lvlJc w:val="left"/>
      <w:lvlText w:val="•"/>
      <w:numFmt w:val="bullet"/>
      <w:start w:val="1"/>
    </w:lvl>
  </w:abstractNum>
  <w:abstractNum w:abstractNumId="42">
    <w:nsid w:val="1D545C4D"/>
    <w:multiLevelType w:val="hybridMultilevel"/>
    <w:lvl w:ilvl="0">
      <w:lvlJc w:val="left"/>
      <w:lvlText w:val="•"/>
      <w:numFmt w:val="bullet"/>
      <w:start w:val="1"/>
    </w:lvl>
  </w:abstractNum>
  <w:abstractNum w:abstractNumId="43">
    <w:nsid w:val="59ADEA3D"/>
    <w:multiLevelType w:val="hybridMultilevel"/>
    <w:lvl w:ilvl="0">
      <w:lvlJc w:val="left"/>
      <w:lvlText w:val="(%1)"/>
      <w:numFmt w:val="lowerRoman"/>
      <w:start w:val="3"/>
    </w:lvl>
  </w:abstractNum>
  <w:abstractNum w:abstractNumId="44">
    <w:nsid w:val="288F1A34"/>
    <w:multiLevelType w:val="hybridMultilevel"/>
    <w:lvl w:ilvl="0">
      <w:lvlJc w:val="left"/>
      <w:lvlText w:val="•"/>
      <w:numFmt w:val="bullet"/>
      <w:start w:val="1"/>
    </w:lvl>
  </w:abstractNum>
  <w:abstractNum w:abstractNumId="45">
    <w:nsid w:val="2A155DBC"/>
    <w:multiLevelType w:val="hybridMultilevel"/>
    <w:lvl w:ilvl="0">
      <w:lvlJc w:val="left"/>
      <w:lvlText w:val="•"/>
      <w:numFmt w:val="bullet"/>
      <w:start w:val="1"/>
    </w:lvl>
  </w:abstractNum>
  <w:abstractNum w:abstractNumId="46">
    <w:nsid w:val="1D9F6E5F"/>
    <w:multiLevelType w:val="hybridMultilevel"/>
    <w:lvl w:ilvl="0">
      <w:lvlJc w:val="left"/>
      <w:lvlText w:val="•"/>
      <w:numFmt w:val="bullet"/>
      <w:start w:val="1"/>
    </w:lvl>
  </w:abstractNum>
  <w:abstractNum w:abstractNumId="47">
    <w:nsid w:val="97E1B4E"/>
    <w:multiLevelType w:val="hybridMultilevel"/>
    <w:lvl w:ilvl="0">
      <w:lvlJc w:val="left"/>
      <w:lvlText w:val="•"/>
      <w:numFmt w:val="bullet"/>
      <w:start w:val="1"/>
    </w:lvl>
  </w:abstractNum>
  <w:abstractNum w:abstractNumId="48">
    <w:nsid w:val="51088277"/>
    <w:multiLevelType w:val="hybridMultilevel"/>
    <w:lvl w:ilvl="0">
      <w:lvlJc w:val="left"/>
      <w:lvlText w:val="*"/>
      <w:numFmt w:val="bullet"/>
      <w:start w:val="1"/>
    </w:lvl>
  </w:abstractNum>
  <w:abstractNum w:abstractNumId="49">
    <w:nsid w:val="1CA0C5FA"/>
    <w:multiLevelType w:val="hybridMultilevel"/>
    <w:lvl w:ilvl="0">
      <w:lvlJc w:val="left"/>
      <w:lvlText w:val="(%1)"/>
      <w:numFmt w:val="lowerRoman"/>
      <w:start w:val="2"/>
    </w:lvl>
  </w:abstractNum>
  <w:abstractNum w:abstractNumId="50">
    <w:nsid w:val="53584BCB"/>
    <w:multiLevelType w:val="hybridMultilevel"/>
    <w:lvl w:ilvl="0">
      <w:lvlJc w:val="left"/>
      <w:lvlText w:val="•"/>
      <w:numFmt w:val="bullet"/>
      <w:start w:val="1"/>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
      <w:numFmt w:val="bullet"/>
      <w:start w:val="1"/>
    </w:lvl>
  </w:abstractNum>
  <w:abstractNum w:abstractNumId="53">
    <w:nsid w:val="23D86AAC"/>
    <w:multiLevelType w:val="hybridMultilevel"/>
    <w:lvl w:ilvl="0">
      <w:lvlJc w:val="left"/>
      <w:lvlText w:val="•"/>
      <w:numFmt w:val="bullet"/>
      <w:start w:val="1"/>
    </w:lvl>
  </w:abstractNum>
  <w:abstractNum w:abstractNumId="54">
    <w:nsid w:val="45E6D486"/>
    <w:multiLevelType w:val="hybridMultilevel"/>
    <w:lvl w:ilvl="0">
      <w:lvlJc w:val="left"/>
      <w:lvlText w:val="•"/>
      <w:numFmt w:val="bullet"/>
      <w:start w:val="1"/>
    </w:lvl>
  </w:abstractNum>
  <w:abstractNum w:abstractNumId="55">
    <w:nsid w:val="5C10FE21"/>
    <w:multiLevelType w:val="hybridMultilevel"/>
    <w:lvl w:ilvl="0">
      <w:lvlJc w:val="left"/>
      <w:lvlText w:val="•"/>
      <w:numFmt w:val="bullet"/>
      <w:start w:val="1"/>
    </w:lvl>
  </w:abstractNum>
  <w:abstractNum w:abstractNumId="56">
    <w:nsid w:val="E7FFA2B"/>
    <w:multiLevelType w:val="hybridMultilevel"/>
    <w:lvl w:ilvl="0">
      <w:lvlJc w:val="left"/>
      <w:lvlText w:val="•"/>
      <w:numFmt w:val="bullet"/>
      <w:start w:val="1"/>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1)"/>
      <w:numFmt w:val="lowerLetter"/>
      <w:start w:val="1"/>
    </w:lvl>
  </w:abstractNum>
  <w:abstractNum w:abstractNumId="59">
    <w:nsid w:val="78DF6A55"/>
    <w:multiLevelType w:val="hybridMultilevel"/>
    <w:lvl w:ilvl="0">
      <w:lvlJc w:val="left"/>
      <w:lvlText w:val="(%1)"/>
      <w:numFmt w:val="lowerLetter"/>
      <w:start w:val="1"/>
    </w:lvl>
  </w:abstractNum>
  <w:abstractNum w:abstractNumId="60">
    <w:nsid w:val="39B7AAA2"/>
    <w:multiLevelType w:val="hybridMultilevel"/>
    <w:lvl w:ilvl="0">
      <w:lvlJc w:val="left"/>
      <w:lvlText w:val="(%1)"/>
      <w:numFmt w:val="lowerLetter"/>
      <w:start w:val="1"/>
    </w:lvl>
  </w:abstractNum>
  <w:abstractNum w:abstractNumId="61">
    <w:nsid w:val="2B0D8DBE"/>
    <w:multiLevelType w:val="hybridMultilevel"/>
    <w:lvl w:ilvl="0">
      <w:lvlJc w:val="left"/>
      <w:lvlText w:val="•"/>
      <w:numFmt w:val="bullet"/>
      <w:start w:val="1"/>
    </w:lvl>
  </w:abstractNum>
  <w:abstractNum w:abstractNumId="62">
    <w:nsid w:val="6C80EC70"/>
    <w:multiLevelType w:val="hybridMultilevel"/>
    <w:lvl w:ilvl="0">
      <w:lvlJc w:val="left"/>
      <w:lvlText w:val="•"/>
      <w:numFmt w:val="bullet"/>
      <w:start w:val="1"/>
    </w:lvl>
  </w:abstractNum>
  <w:abstractNum w:abstractNumId="63">
    <w:nsid w:val="379E21B5"/>
    <w:multiLevelType w:val="hybridMultilevel"/>
    <w:lvl w:ilvl="0">
      <w:lvlJc w:val="left"/>
      <w:lvlText w:val="(%1)"/>
      <w:numFmt w:val="lowerLetter"/>
      <w:start w:val="1"/>
    </w:lvl>
  </w:abstractNum>
  <w:abstractNum w:abstractNumId="64">
    <w:nsid w:val="69E373"/>
    <w:multiLevelType w:val="hybridMultilevel"/>
    <w:lvl w:ilvl="0">
      <w:lvlJc w:val="left"/>
      <w:lvlText w:val="•"/>
      <w:numFmt w:val="bullet"/>
      <w:start w:val="1"/>
    </w:lvl>
    <w:lvl w:ilvl="1">
      <w:lvlJc w:val="left"/>
      <w:lvlText w:val="•"/>
      <w:numFmt w:val="bullet"/>
      <w:start w:val="1"/>
    </w:lvl>
  </w:abstractNum>
  <w:abstractNum w:abstractNumId="65">
    <w:nsid w:val="2C27173B"/>
    <w:multiLevelType w:val="hybridMultilevel"/>
    <w:lvl w:ilvl="0">
      <w:lvlJc w:val="left"/>
      <w:lvlText w:val="•"/>
      <w:numFmt w:val="bullet"/>
      <w:start w:val="1"/>
    </w:lvl>
  </w:abstractNum>
  <w:abstractNum w:abstractNumId="66">
    <w:nsid w:val="4C9B0904"/>
    <w:multiLevelType w:val="hybridMultilevel"/>
    <w:lvl w:ilvl="0">
      <w:lvlJc w:val="left"/>
      <w:lvlText w:val="•"/>
      <w:numFmt w:val="bullet"/>
      <w:start w:val="1"/>
    </w:lvl>
  </w:abstractNum>
  <w:abstractNum w:abstractNumId="67">
    <w:nsid w:val="6AA7B75C"/>
    <w:multiLevelType w:val="hybridMultilevel"/>
    <w:lvl w:ilvl="0">
      <w:lvlJc w:val="left"/>
      <w:lvlText w:val="•"/>
      <w:numFmt w:val="bullet"/>
      <w:start w:val="1"/>
    </w:lvl>
  </w:abstractNum>
  <w:abstractNum w:abstractNumId="68">
    <w:nsid w:val="1DF029D3"/>
    <w:multiLevelType w:val="hybridMultilevel"/>
    <w:lvl w:ilvl="0">
      <w:lvlJc w:val="left"/>
      <w:lvlText w:val="•"/>
      <w:numFmt w:val="bullet"/>
      <w:start w:val="1"/>
    </w:lvl>
  </w:abstractNum>
  <w:abstractNum w:abstractNumId="69">
    <w:nsid w:val="5675FF36"/>
    <w:multiLevelType w:val="hybridMultilevel"/>
    <w:lvl w:ilvl="0">
      <w:lvlJc w:val="left"/>
      <w:lvlText w:val="•"/>
      <w:numFmt w:val="bullet"/>
      <w:start w:val="1"/>
    </w:lvl>
  </w:abstractNum>
  <w:abstractNum w:abstractNumId="70">
    <w:nsid w:val="3DD15094"/>
    <w:multiLevelType w:val="hybridMultilevel"/>
    <w:lvl w:ilvl="0">
      <w:lvlJc w:val="left"/>
      <w:lvlText w:val="•"/>
      <w:numFmt w:val="bullet"/>
      <w:start w:val="1"/>
    </w:lvl>
  </w:abstractNum>
  <w:abstractNum w:abstractNumId="71">
    <w:nsid w:val="3DB012B3"/>
    <w:multiLevelType w:val="hybridMultilevel"/>
    <w:lvl w:ilvl="0">
      <w:lvlJc w:val="left"/>
      <w:lvlText w:val="•"/>
      <w:numFmt w:val="bullet"/>
      <w:start w:val="1"/>
    </w:lvl>
  </w:abstractNum>
  <w:abstractNum w:abstractNumId="72">
    <w:nsid w:val="2708C9AF"/>
    <w:multiLevelType w:val="hybridMultilevel"/>
    <w:lvl w:ilvl="0">
      <w:lvlJc w:val="left"/>
      <w:lvlText w:val="•"/>
      <w:numFmt w:val="bullet"/>
      <w:start w:val="1"/>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1)"/>
      <w:numFmt w:val="lowerLetter"/>
      <w:start w:val="1"/>
    </w:lvl>
  </w:abstractNum>
  <w:abstractNum w:abstractNumId="75">
    <w:nsid w:val="4F97E3E4"/>
    <w:multiLevelType w:val="hybridMultilevel"/>
    <w:lvl w:ilvl="0">
      <w:lvlJc w:val="left"/>
      <w:lvlText w:val="%1."/>
      <w:numFmt w:val="lowerRoman"/>
      <w:start w:val="1"/>
    </w:lvl>
  </w:abstractNum>
  <w:abstractNum w:abstractNumId="76">
    <w:nsid w:val="53B0A9E"/>
    <w:multiLevelType w:val="hybridMultilevel"/>
    <w:lvl w:ilvl="0">
      <w:lvlJc w:val="left"/>
      <w:lvlText w:val="%1."/>
      <w:numFmt w:val="decimal"/>
      <w:start w:val="2"/>
    </w:lvl>
  </w:abstractNum>
  <w:abstractNum w:abstractNumId="77">
    <w:nsid w:val="34FD6B4F"/>
    <w:multiLevelType w:val="hybridMultilevel"/>
    <w:lvl w:ilvl="0">
      <w:lvlJc w:val="left"/>
      <w:lvlText w:val="%1."/>
      <w:numFmt w:val="decimal"/>
      <w:start w:val="3"/>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lvl w:ilvl="1">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1)"/>
      <w:numFmt w:val="lowerLetter"/>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lowerLetter"/>
      <w:start w:val="2"/>
    </w:lvl>
  </w:abstractNum>
  <w:abstractNum w:abstractNumId="85">
    <w:nsid w:val="5D888A08"/>
    <w:multiLevelType w:val="hybridMultilevel"/>
    <w:lvl w:ilvl="0">
      <w:lvlJc w:val="left"/>
      <w:lvlText w:val="(%1)"/>
      <w:numFmt w:val="lowerLetter"/>
      <w:start w:val="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1"/>
    </w:lvl>
  </w:abstractNum>
  <w:abstractNum w:abstractNumId="88">
    <w:nsid w:val="19E21BB2"/>
    <w:multiLevelType w:val="hybridMultilevel"/>
    <w:lvl w:ilvl="0">
      <w:lvlJc w:val="left"/>
      <w:lvlText w:val="(%1)"/>
      <w:numFmt w:val="lowerRoman"/>
      <w:start w:val="6"/>
    </w:lvl>
  </w:abstractNum>
  <w:abstractNum w:abstractNumId="89">
    <w:nsid w:val="75E0858A"/>
    <w:multiLevelType w:val="hybridMultilevel"/>
    <w:lvl w:ilvl="0">
      <w:lvlJc w:val="left"/>
      <w:lvlText w:val="(%1)"/>
      <w:numFmt w:val="lowerLetter"/>
      <w:start w:val="1"/>
    </w:lvl>
  </w:abstractNum>
  <w:abstractNum w:abstractNumId="90">
    <w:nsid w:val="57A61A29"/>
    <w:multiLevelType w:val="hybridMultilevel"/>
    <w:lvl w:ilvl="0">
      <w:lvlJc w:val="left"/>
      <w:lvlText w:val="(%1)"/>
      <w:numFmt w:val="lowerLetter"/>
      <w:start w:val="5"/>
    </w:lvl>
  </w:abstractNum>
  <w:abstractNum w:abstractNumId="91">
    <w:nsid w:val="5399C654"/>
    <w:multiLevelType w:val="hybridMultilevel"/>
    <w:lvl w:ilvl="0">
      <w:lvlJc w:val="left"/>
      <w:lvlText w:val="(%1)"/>
      <w:numFmt w:val="lowerLetter"/>
      <w:start w:val="1"/>
    </w:lvl>
  </w:abstractNum>
  <w:abstractNum w:abstractNumId="92">
    <w:nsid w:val="20EE1348"/>
    <w:multiLevelType w:val="hybridMultilevel"/>
    <w:lvl w:ilvl="0">
      <w:lvlJc w:val="left"/>
      <w:lvlText w:val="(%1)"/>
      <w:numFmt w:val="lowerLetter"/>
      <w:start w:val="2"/>
    </w:lvl>
  </w:abstractNum>
  <w:abstractNum w:abstractNumId="93">
    <w:nsid w:val="4427069A"/>
    <w:multiLevelType w:val="hybridMultilevel"/>
    <w:lvl w:ilvl="0">
      <w:lvlJc w:val="left"/>
      <w:lvlText w:val="•"/>
      <w:numFmt w:val="bullet"/>
      <w:start w:val="1"/>
    </w:lvl>
  </w:abstractNum>
  <w:abstractNum w:abstractNumId="94">
    <w:nsid w:val="B37E80A"/>
    <w:multiLevelType w:val="hybridMultilevel"/>
    <w:lvl w:ilvl="0">
      <w:lvlJc w:val="left"/>
      <w:lvlText w:val="•"/>
      <w:numFmt w:val="bullet"/>
      <w:start w:val="1"/>
    </w:lvl>
  </w:abstractNum>
  <w:abstractNum w:abstractNumId="95">
    <w:nsid w:val="2157F6BC"/>
    <w:multiLevelType w:val="hybridMultilevel"/>
    <w:lvl w:ilvl="0">
      <w:lvlJc w:val="left"/>
      <w:lvlText w:val="•"/>
      <w:numFmt w:val="bullet"/>
      <w:start w:val="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
      <w:numFmt w:val="bullet"/>
      <w:start w:val="1"/>
    </w:lvl>
  </w:abstractNum>
  <w:abstractNum w:abstractNumId="98">
    <w:nsid w:val="BFFAE18"/>
    <w:multiLevelType w:val="hybridMultilevel"/>
    <w:lvl w:ilvl="0">
      <w:lvlJc w:val="left"/>
      <w:lvlText w:val="•"/>
      <w:numFmt w:val="bullet"/>
      <w:start w:val="1"/>
    </w:lvl>
  </w:abstractNum>
  <w:abstractNum w:abstractNumId="99">
    <w:nsid w:val="E3E47A8"/>
    <w:multiLevelType w:val="hybridMultilevel"/>
    <w:lvl w:ilvl="0">
      <w:lvlJc w:val="left"/>
      <w:lvlText w:val="(%1)"/>
      <w:numFmt w:val="lowerLetter"/>
      <w:start w:val="1"/>
    </w:lvl>
  </w:abstractNum>
  <w:abstractNum w:abstractNumId="100">
    <w:nsid w:val="2E48F044"/>
    <w:multiLevelType w:val="hybridMultilevel"/>
    <w:lvl w:ilvl="0">
      <w:lvlJc w:val="left"/>
      <w:lvlText w:val="(%1)"/>
      <w:numFmt w:val="lowerLetter"/>
      <w:start w:val="1"/>
    </w:lvl>
  </w:abstractNum>
  <w:abstractNum w:abstractNumId="101">
    <w:nsid w:val="49D0FEAC"/>
    <w:multiLevelType w:val="hybridMultilevel"/>
    <w:lvl w:ilvl="0">
      <w:lvlJc w:val="left"/>
      <w:lvlText w:val="(%1)"/>
      <w:numFmt w:val="lowerLetter"/>
      <w:start w:val="1"/>
    </w:lvl>
  </w:abstractNum>
  <w:abstractNum w:abstractNumId="102">
    <w:nsid w:val="4BEE5A5B"/>
    <w:multiLevelType w:val="hybridMultilevel"/>
    <w:lvl w:ilvl="0">
      <w:lvlJc w:val="left"/>
      <w:lvlText w:val="$"/>
      <w:numFmt w:val="bullet"/>
      <w:start w:val="1"/>
    </w:lvl>
  </w:abstractNum>
  <w:abstractNum w:abstractNumId="103">
    <w:nsid w:val="5551B9F3"/>
    <w:multiLevelType w:val="hybridMultilevel"/>
    <w:lvl w:ilvl="0">
      <w:lvlJc w:val="left"/>
      <w:lvlText w:val="$"/>
      <w:numFmt w:val="bullet"/>
      <w:start w:val="1"/>
    </w:lvl>
  </w:abstractNum>
  <w:abstractNum w:abstractNumId="104">
    <w:nsid w:val="24F6AB8E"/>
    <w:multiLevelType w:val="hybridMultilevel"/>
    <w:lvl w:ilvl="0">
      <w:lvlJc w:val="left"/>
      <w:lvlText w:val="(%1)"/>
      <w:numFmt w:val="lowerLetter"/>
      <w:start w:val="1"/>
    </w:lvl>
  </w:abstractNum>
  <w:abstractNum w:abstractNumId="105">
    <w:nsid w:val="634C574C"/>
    <w:multiLevelType w:val="hybridMultilevel"/>
    <w:lvl w:ilvl="0">
      <w:lvlJc w:val="left"/>
      <w:lvlText w:val="(%1)"/>
      <w:numFmt w:val="lowerLetter"/>
      <w:start w:val="6"/>
    </w:lvl>
  </w:abstractNum>
  <w:abstractNum w:abstractNumId="106">
    <w:nsid w:val="24E99DD7"/>
    <w:multiLevelType w:val="hybridMultilevel"/>
    <w:lvl w:ilvl="0">
      <w:lvlJc w:val="left"/>
      <w:lvlText w:val="(%1)"/>
      <w:numFmt w:val="lowerLetter"/>
      <w:start w:val="8"/>
    </w:lvl>
  </w:abstractNum>
  <w:abstractNum w:abstractNumId="107">
    <w:nsid w:val="2A31B62D"/>
    <w:multiLevelType w:val="hybridMultilevel"/>
    <w:lvl w:ilvl="0">
      <w:lvlJc w:val="left"/>
      <w:lvlText w:val="(%1)"/>
      <w:numFmt w:val="lowerLetter"/>
      <w:start w:val="1"/>
    </w:lvl>
  </w:abstractNum>
  <w:abstractNum w:abstractNumId="108">
    <w:nsid w:val="1849C29B"/>
    <w:multiLevelType w:val="hybridMultilevel"/>
    <w:lvl w:ilvl="0">
      <w:lvlJc w:val="left"/>
      <w:lvlText w:val="(%1)"/>
      <w:numFmt w:val="lowerLetter"/>
      <w:start w:val="1"/>
    </w:lvl>
  </w:abstractNum>
  <w:abstractNum w:abstractNumId="109">
    <w:nsid w:val="7DFF9D09"/>
    <w:multiLevelType w:val="hybridMultilevel"/>
    <w:lvl w:ilvl="0">
      <w:lvlJc w:val="left"/>
      <w:lvlText w:val="(%1)"/>
      <w:numFmt w:val="lowerLetter"/>
      <w:start w:val="1"/>
    </w:lvl>
  </w:abstractNum>
  <w:abstractNum w:abstractNumId="110">
    <w:nsid w:val="754342"/>
    <w:multiLevelType w:val="hybridMultilevel"/>
    <w:lvl w:ilvl="0">
      <w:lvlJc w:val="left"/>
      <w:lvlText w:val="•"/>
      <w:numFmt w:val="bullet"/>
      <w:start w:val="1"/>
    </w:lvl>
  </w:abstractNum>
  <w:abstractNum w:abstractNumId="111">
    <w:nsid w:val="69E7F3E5"/>
    <w:multiLevelType w:val="hybridMultilevel"/>
    <w:lvl w:ilvl="0">
      <w:lvlJc w:val="left"/>
      <w:lvlText w:val="•"/>
      <w:numFmt w:val="bullet"/>
      <w:start w:val="1"/>
    </w:lvl>
  </w:abstractNum>
  <w:abstractNum w:abstractNumId="112">
    <w:nsid w:val="2A6DE806"/>
    <w:multiLevelType w:val="hybridMultilevel"/>
    <w:lvl w:ilvl="0">
      <w:lvlJc w:val="left"/>
      <w:lvlText w:val="•"/>
      <w:numFmt w:val="bullet"/>
      <w:start w:val="1"/>
    </w:lvl>
  </w:abstractNum>
  <w:abstractNum w:abstractNumId="113">
    <w:nsid w:val="1816F8C4"/>
    <w:multiLevelType w:val="hybridMultilevel"/>
    <w:lvl w:ilvl="0">
      <w:lvlJc w:val="left"/>
      <w:lvlText w:val="•"/>
      <w:numFmt w:val="bullet"/>
      <w:start w:val="1"/>
    </w:lvl>
  </w:abstractNum>
  <w:abstractNum w:abstractNumId="114">
    <w:nsid w:val="37DF2233"/>
    <w:multiLevelType w:val="hybridMultilevel"/>
    <w:lvl w:ilvl="0">
      <w:lvlJc w:val="left"/>
      <w:lvlText w:val="•"/>
      <w:numFmt w:val="bullet"/>
      <w:start w:val="1"/>
    </w:lvl>
  </w:abstractNum>
  <w:abstractNum w:abstractNumId="115">
    <w:nsid w:val="7AB49DAF"/>
    <w:multiLevelType w:val="hybridMultilevel"/>
    <w:lvl w:ilvl="0">
      <w:lvlJc w:val="left"/>
      <w:lvlText w:val="•"/>
      <w:numFmt w:val="bullet"/>
      <w:start w:val="1"/>
    </w:lvl>
  </w:abstractNum>
  <w:abstractNum w:abstractNumId="116">
    <w:nsid w:val="759F82CD"/>
    <w:multiLevelType w:val="hybridMultilevel"/>
    <w:lvl w:ilvl="0">
      <w:lvlJc w:val="left"/>
      <w:lvlText w:val="•"/>
      <w:numFmt w:val="bullet"/>
      <w:start w:val="1"/>
    </w:lvl>
  </w:abstractNum>
  <w:abstractNum w:abstractNumId="117">
    <w:nsid w:val="61E74EA3"/>
    <w:multiLevelType w:val="hybridMultilevel"/>
    <w:lvl w:ilvl="0">
      <w:lvlJc w:val="left"/>
      <w:lvlText w:val="•"/>
      <w:numFmt w:val="bullet"/>
      <w:start w:val="1"/>
    </w:lvl>
  </w:abstractNum>
  <w:abstractNum w:abstractNumId="118">
    <w:nsid w:val="597B4D84"/>
    <w:multiLevelType w:val="hybridMultilevel"/>
    <w:lvl w:ilvl="0">
      <w:lvlJc w:val="left"/>
      <w:lvlText w:val="•"/>
      <w:numFmt w:val="bullet"/>
      <w:start w:val="1"/>
    </w:lvl>
  </w:abstractNum>
  <w:abstractNum w:abstractNumId="119">
    <w:nsid w:val="F819E7F"/>
    <w:multiLevelType w:val="hybridMultilevel"/>
    <w:lvl w:ilvl="0">
      <w:lvlJc w:val="left"/>
      <w:lvlText w:val="%1."/>
      <w:numFmt w:val="decimal"/>
      <w:start w:val="22"/>
    </w:lvl>
    <w:lvl w:ilvl="1">
      <w:lvlJc w:val="left"/>
      <w:lvlText w:val="•"/>
      <w:numFmt w:val="bullet"/>
      <w:start w:val="1"/>
    </w:lvl>
  </w:abstractNum>
  <w:abstractNum w:abstractNumId="120">
    <w:nsid w:val="57C7D42D"/>
    <w:multiLevelType w:val="hybridMultilevel"/>
    <w:lvl w:ilvl="0">
      <w:lvlJc w:val="left"/>
      <w:lvlText w:val="(%1)"/>
      <w:numFmt w:val="lowerLetter"/>
      <w:start w:val="1"/>
    </w:lvl>
  </w:abstractNum>
  <w:abstractNum w:abstractNumId="121">
    <w:nsid w:val="312167AD"/>
    <w:multiLevelType w:val="hybridMultilevel"/>
    <w:lvl w:ilvl="0">
      <w:lvlJc w:val="left"/>
      <w:lvlText w:val="(%1)"/>
      <w:numFmt w:val="lowerLetter"/>
      <w:start w:val="2"/>
    </w:lvl>
  </w:abstractNum>
  <w:abstractNum w:abstractNumId="122">
    <w:nsid w:val="631B64D4"/>
    <w:multiLevelType w:val="hybridMultilevel"/>
    <w:lvl w:ilvl="0">
      <w:lvlJc w:val="left"/>
      <w:lvlText w:val="(%1)"/>
      <w:numFmt w:val="lowerLetter"/>
      <w:start w:val="1"/>
    </w:lvl>
  </w:abstractNum>
  <w:abstractNum w:abstractNumId="123">
    <w:nsid w:val="78B5E776"/>
    <w:multiLevelType w:val="hybridMultilevel"/>
    <w:lvl w:ilvl="0">
      <w:lvlJc w:val="left"/>
      <w:lvlText w:val="(%1)"/>
      <w:numFmt w:val="lowerLetter"/>
      <w:start w:val="2"/>
    </w:lvl>
  </w:abstractNum>
  <w:abstractNum w:abstractNumId="124">
    <w:nsid w:val="75486E47"/>
    <w:multiLevelType w:val="hybridMultilevel"/>
    <w:lvl w:ilvl="0">
      <w:lvlJc w:val="left"/>
      <w:lvlText w:val="(%1)"/>
      <w:numFmt w:val="lowerLetter"/>
      <w:start w:val="1"/>
    </w:lvl>
  </w:abstractNum>
  <w:abstractNum w:abstractNumId="125">
    <w:nsid w:val="6E534CDE"/>
    <w:multiLevelType w:val="hybridMultilevel"/>
    <w:lvl w:ilvl="0">
      <w:lvlJc w:val="left"/>
      <w:lvlText w:val="\emdash "/>
      <w:numFmt w:val="bullet"/>
      <w:start w:val="1"/>
    </w:lvl>
  </w:abstractNum>
  <w:abstractNum w:abstractNumId="126">
    <w:nsid w:val="1A0DDE32"/>
    <w:multiLevelType w:val="hybridMultilevel"/>
    <w:lvl w:ilvl="0">
      <w:lvlJc w:val="left"/>
      <w:lvlText w:val="%1."/>
      <w:numFmt w:val="decimal"/>
      <w:start w:val="1"/>
    </w:lvl>
  </w:abstractNum>
  <w:abstractNum w:abstractNumId="127">
    <w:nsid w:val="65968C1C"/>
    <w:multiLevelType w:val="hybridMultilevel"/>
    <w:lvl w:ilvl="0">
      <w:lvlJc w:val="left"/>
      <w:lvlText w:val="(%1)"/>
      <w:numFmt w:val="decimal"/>
      <w:start w:val="1"/>
    </w:lvl>
  </w:abstractNum>
  <w:abstractNum w:abstractNumId="128">
    <w:nsid w:val="46263DEC"/>
    <w:multiLevelType w:val="hybridMultilevel"/>
    <w:lvl w:ilvl="0">
      <w:lvlJc w:val="left"/>
      <w:lvlText w:val="(%1)"/>
      <w:numFmt w:val="decimal"/>
      <w:start w:val="4"/>
    </w:lvl>
  </w:abstractNum>
  <w:abstractNum w:abstractNumId="129">
    <w:nsid w:val="260D8C4A"/>
    <w:multiLevelType w:val="hybridMultilevel"/>
    <w:lvl w:ilvl="0">
      <w:lvlJc w:val="left"/>
      <w:lvlText w:val="%1."/>
      <w:numFmt w:val="decimal"/>
      <w:start w:val="4"/>
    </w:lvl>
  </w:abstractNum>
  <w:abstractNum w:abstractNumId="130">
    <w:nsid w:val="73D4D3C4"/>
    <w:multiLevelType w:val="hybridMultilevel"/>
    <w:lvl w:ilvl="0">
      <w:lvlJc w:val="left"/>
      <w:lvlText w:val="*"/>
      <w:numFmt w:val="bullet"/>
      <w:start w:val="1"/>
    </w:lvl>
  </w:abstractNum>
  <w:abstractNum w:abstractNumId="131">
    <w:nsid w:val="746F2E30"/>
    <w:multiLevelType w:val="hybridMultilevel"/>
    <w:lvl w:ilvl="0">
      <w:lvlJc w:val="left"/>
      <w:lvlText w:val="**"/>
      <w:numFmt w:val="bullet"/>
      <w:start w:val="1"/>
    </w:lvl>
  </w:abstractNum>
  <w:abstractNum w:abstractNumId="132">
    <w:nsid w:val="6FDE8AF6"/>
    <w:multiLevelType w:val="hybridMultilevel"/>
    <w:lvl w:ilvl="0">
      <w:lvlJc w:val="left"/>
      <w:lvlText w:val="%1."/>
      <w:numFmt w:val="decimal"/>
      <w:start w:val="1"/>
    </w:lvl>
  </w:abstractNum>
  <w:abstractNum w:abstractNumId="133">
    <w:nsid w:val="3FC32E20"/>
    <w:multiLevelType w:val="hybridMultilevel"/>
    <w:lvl w:ilvl="0">
      <w:lvlJc w:val="left"/>
      <w:lvlText w:val="%1."/>
      <w:numFmt w:val="decimal"/>
      <w:start w:val="2"/>
    </w:lvl>
  </w:abstractNum>
  <w:abstractNum w:abstractNumId="134">
    <w:nsid w:val="49C0E823"/>
    <w:multiLevelType w:val="hybridMultilevel"/>
    <w:lvl w:ilvl="0">
      <w:lvlJc w:val="left"/>
      <w:lvlText w:val="%1."/>
      <w:numFmt w:val="decimal"/>
      <w:start w:val="3"/>
    </w:lvl>
    <w:lvl w:ilvl="1">
      <w:lvlJc w:val="left"/>
      <w:lvlText w:val="•"/>
      <w:numFmt w:val="bullet"/>
      <w:start w:val="1"/>
    </w:lvl>
  </w:abstractNum>
  <w:abstractNum w:abstractNumId="135">
    <w:nsid w:val="14D53685"/>
    <w:multiLevelType w:val="hybridMultilevel"/>
    <w:lvl w:ilvl="0">
      <w:lvlJc w:val="left"/>
      <w:lvlText w:val="•"/>
      <w:numFmt w:val="bullet"/>
      <w:start w:val="1"/>
    </w:lvl>
  </w:abstractNum>
  <w:abstractNum w:abstractNumId="136">
    <w:nsid w:val="230F856C"/>
    <w:multiLevelType w:val="hybridMultilevel"/>
    <w:lvl w:ilvl="0">
      <w:lvlJc w:val="left"/>
      <w:lvlText w:val="%1."/>
      <w:numFmt w:val="decimal"/>
      <w:start w:val="4"/>
    </w:lvl>
  </w:abstractNum>
  <w:abstractNum w:abstractNumId="137">
    <w:nsid w:val="6EAA85FB"/>
    <w:multiLevelType w:val="hybridMultilevel"/>
    <w:lvl w:ilvl="0">
      <w:lvlJc w:val="left"/>
      <w:lvlText w:val="%1."/>
      <w:numFmt w:val="decimal"/>
      <w:start w:val="6"/>
    </w:lvl>
  </w:abstractNum>
  <w:abstractNum w:abstractNumId="138">
    <w:nsid w:val="3F06ECB2"/>
    <w:multiLevelType w:val="hybridMultilevel"/>
    <w:lvl w:ilvl="0">
      <w:lvlJc w:val="left"/>
      <w:lvlText w:val="%1."/>
      <w:numFmt w:val="decimal"/>
      <w:start w:val="10"/>
    </w:lvl>
  </w:abstractNum>
  <w:abstractNum w:abstractNumId="139">
    <w:nsid w:val="3B594807"/>
    <w:multiLevelType w:val="hybridMultilevel"/>
    <w:lvl w:ilvl="0">
      <w:lvlJc w:val="left"/>
      <w:lvlText w:val="%1"/>
      <w:numFmt w:val="lowerLetter"/>
      <w:start w:val="1"/>
    </w:lvl>
    <w:lvl w:ilvl="1">
      <w:lvlJc w:val="left"/>
      <w:lvlText w:val="%2."/>
      <w:numFmt w:val="decimal"/>
      <w:start w:val="12"/>
    </w:lvl>
  </w:abstractNum>
  <w:abstractNum w:abstractNumId="140">
    <w:nsid w:val="6CAA2304"/>
    <w:multiLevelType w:val="hybridMultilevel"/>
    <w:lvl w:ilvl="0">
      <w:lvlJc w:val="left"/>
      <w:lvlText w:val="(%1)"/>
      <w:numFmt w:val="lowerLetter"/>
      <w:start w:val="1"/>
    </w:lvl>
    <w:lvl w:ilvl="1">
      <w:lvlJc w:val="left"/>
      <w:lvlText w:val="%2"/>
      <w:numFmt w:val="decimal"/>
      <w:start w:val="1"/>
    </w:lvl>
  </w:abstractNum>
  <w:abstractNum w:abstractNumId="141">
    <w:nsid w:val="3F7C2FF4"/>
    <w:multiLevelType w:val="hybridMultilevel"/>
    <w:lvl w:ilvl="0">
      <w:lvlJc w:val="left"/>
      <w:lvlText w:val="%1"/>
      <w:numFmt w:val="decimal"/>
      <w:start w:val="1"/>
    </w:lvl>
    <w:lvl w:ilvl="1">
      <w:lvlJc w:val="left"/>
      <w:lvlText w:val="(%2)"/>
      <w:numFmt w:val="decimal"/>
      <w:start w:val="1"/>
    </w:lvl>
  </w:abstractNum>
  <w:abstractNum w:abstractNumId="142">
    <w:nsid w:val="25413BEC"/>
    <w:multiLevelType w:val="hybridMultilevel"/>
    <w:lvl w:ilvl="0">
      <w:lvlJc w:val="left"/>
      <w:lvlText w:val="%1."/>
      <w:numFmt w:val="decimal"/>
      <w:start w:val="15"/>
    </w:lvl>
    <w:lvl w:ilvl="1">
      <w:lvlJc w:val="left"/>
      <w:lvlText w:val="%2"/>
      <w:numFmt w:val="decimal"/>
      <w:start w:val="1"/>
    </w:lvl>
  </w:abstractNum>
  <w:abstractNum w:abstractNumId="143">
    <w:nsid w:val="17180B0B"/>
    <w:multiLevelType w:val="hybridMultilevel"/>
    <w:lvl w:ilvl="0">
      <w:lvlJc w:val="left"/>
      <w:lvlText w:val="(%1)"/>
      <w:numFmt w:val="lowerLetter"/>
      <w:start w:val="1"/>
    </w:lvl>
  </w:abstractNum>
  <w:abstractNum w:abstractNumId="144">
    <w:nsid w:val="579328B9"/>
    <w:multiLevelType w:val="hybridMultilevel"/>
    <w:lvl w:ilvl="0">
      <w:lvlJc w:val="left"/>
      <w:lvlText w:val="(%1)"/>
      <w:numFmt w:val="lowerLetter"/>
      <w:start w:val="4"/>
    </w:lvl>
  </w:abstractNum>
  <w:abstractNum w:abstractNumId="145">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6">
    <w:nsid w:val="11CCA8BA"/>
    <w:multiLevelType w:val="hybridMultilevel"/>
    <w:lvl w:ilvl="0">
      <w:lvlJc w:val="left"/>
      <w:lvlText w:val="%1."/>
      <w:numFmt w:val="decimal"/>
      <w:start w:val="1"/>
    </w:lvl>
  </w:abstractNum>
  <w:abstractNum w:abstractNumId="147">
    <w:nsid w:val="4D32AB86"/>
    <w:multiLevelType w:val="hybridMultilevel"/>
    <w:lvl w:ilvl="0">
      <w:lvlJc w:val="left"/>
      <w:lvlText w:val="%1."/>
      <w:numFmt w:val="decimal"/>
      <w:start w:val="1"/>
    </w:lvl>
  </w:abstractNum>
  <w:abstractNum w:abstractNumId="148">
    <w:nsid w:val="3F07ACC3"/>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1"/>
    </w:lvl>
  </w:abstractNum>
  <w:abstractNum w:abstractNumId="149">
    <w:nsid w:val="6B47F63E"/>
    <w:multiLevelType w:val="hybridMultilevel"/>
    <w:lvl w:ilvl="0">
      <w:lvlJc w:val="left"/>
      <w:lvlText w:val="(%1)"/>
      <w:numFmt w:val="lowerLetter"/>
      <w:start w:val="9"/>
    </w:lvl>
    <w:lvl w:ilvl="1">
      <w:lvlJc w:val="left"/>
      <w:lvlText w:val="%2"/>
      <w:numFmt w:val="lowerRoman"/>
      <w:start w:val="1"/>
    </w:lvl>
    <w:lvl w:ilvl="2">
      <w:lvlJc w:val="left"/>
      <w:lvlText w:val="%3."/>
      <w:numFmt w:val="lowerLetter"/>
      <w:start w:val="1"/>
    </w:lvl>
  </w:abstractNum>
  <w:abstractNum w:abstractNumId="150">
    <w:nsid w:val="5CB44A05"/>
    <w:multiLevelType w:val="hybridMultilevel"/>
    <w:lvl w:ilvl="0">
      <w:lvlJc w:val="left"/>
      <w:lvlText w:val="(%1)"/>
      <w:numFmt w:val="lowerRoman"/>
      <w:start w:val="2"/>
    </w:lvl>
  </w:abstractNum>
  <w:abstractNum w:abstractNumId="151">
    <w:nsid w:val="16CF80F1"/>
    <w:multiLevelType w:val="hybridMultilevel"/>
    <w:lvl w:ilvl="0">
      <w:lvlJc w:val="left"/>
      <w:lvlText w:val="%1."/>
      <w:numFmt w:val="decimal"/>
      <w:start w:val="1"/>
    </w:lvl>
  </w:abstractNum>
  <w:abstractNum w:abstractNumId="152">
    <w:nsid w:val="1C695DEC"/>
    <w:multiLevelType w:val="hybridMultilevel"/>
    <w:lvl w:ilvl="0">
      <w:lvlJc w:val="left"/>
      <w:lvlText w:val="(%1)"/>
      <w:numFmt w:val="lowerLetter"/>
      <w:start w:val="7"/>
    </w:lvl>
  </w:abstractNum>
  <w:abstractNum w:abstractNumId="153">
    <w:nsid w:val="3FCFAED9"/>
    <w:multiLevelType w:val="hybridMultilevel"/>
    <w:lvl w:ilvl="0">
      <w:lvlJc w:val="left"/>
      <w:lvlText w:val="(%1)"/>
      <w:numFmt w:val="lowerRoman"/>
      <w:start w:val="1"/>
    </w:lvl>
  </w:abstractNum>
  <w:abstractNum w:abstractNumId="154">
    <w:nsid w:val="F856867"/>
    <w:multiLevelType w:val="hybridMultilevel"/>
    <w:lvl w:ilvl="0">
      <w:lvlJc w:val="left"/>
      <w:lvlText w:val="(%1)"/>
      <w:numFmt w:val="lowerRoman"/>
      <w:start w:val="3"/>
    </w:lvl>
  </w:abstractNum>
  <w:abstractNum w:abstractNumId="155">
    <w:nsid w:val="11B1CC33"/>
    <w:multiLevelType w:val="hybridMultilevel"/>
    <w:lvl w:ilvl="0">
      <w:lvlJc w:val="left"/>
      <w:lvlText w:val="(%1)"/>
      <w:numFmt w:val="lowerLetter"/>
      <w:start w:val="8"/>
    </w:lvl>
  </w:abstractNum>
  <w:abstractNum w:abstractNumId="156">
    <w:nsid w:val="2E22FBB7"/>
    <w:multiLevelType w:val="hybridMultilevel"/>
    <w:lvl w:ilvl="0">
      <w:lvlJc w:val="left"/>
      <w:lvlText w:val="(%1)"/>
      <w:numFmt w:val="lowerRoman"/>
      <w:start w:val="1"/>
    </w:lvl>
  </w:abstractNum>
  <w:abstractNum w:abstractNumId="157">
    <w:nsid w:val="29934699"/>
    <w:multiLevelType w:val="hybridMultilevel"/>
    <w:lvl w:ilvl="0">
      <w:lvlJc w:val="left"/>
      <w:lvlText w:val="%1."/>
      <w:numFmt w:val="decimal"/>
      <w:start w:val="3"/>
    </w:lvl>
  </w:abstractNum>
  <w:abstractNum w:abstractNumId="158">
    <w:nsid w:val="77485850"/>
    <w:multiLevelType w:val="hybridMultilevel"/>
    <w:lvl w:ilvl="0">
      <w:lvlJc w:val="left"/>
      <w:lvlText w:val="%1."/>
      <w:numFmt w:val="decimal"/>
      <w:start w:val="1"/>
    </w:lvl>
  </w:abstractNum>
  <w:abstractNum w:abstractNumId="159">
    <w:nsid w:val="744939A3"/>
    <w:multiLevelType w:val="hybridMultilevel"/>
    <w:lvl w:ilvl="0">
      <w:lvlJc w:val="left"/>
      <w:lvlText w:val="(%1)"/>
      <w:numFmt w:val="lowerRoman"/>
      <w:start w:val="1"/>
    </w:lvl>
    <w:lvl w:ilvl="1">
      <w:lvlJc w:val="left"/>
      <w:lvlText w:val="(%2)"/>
      <w:numFmt w:val="lowerRoman"/>
      <w:start w:val="1"/>
    </w:lvl>
  </w:abstractNum>
  <w:abstractNum w:abstractNumId="160">
    <w:nsid w:val="4FA0D2E3"/>
    <w:multiLevelType w:val="hybridMultilevel"/>
    <w:lvl w:ilvl="0">
      <w:lvlJc w:val="left"/>
      <w:lvlText w:val="(%1)"/>
      <w:numFmt w:val="lowerRoman"/>
      <w:start w:val="4"/>
    </w:lvl>
  </w:abstractNum>
  <w:abstractNum w:abstractNumId="161">
    <w:nsid w:val="6B1D2C14"/>
    <w:multiLevelType w:val="hybridMultilevel"/>
    <w:lvl w:ilvl="0">
      <w:lvlJc w:val="left"/>
      <w:lvlText w:val="%1."/>
      <w:numFmt w:val="decimal"/>
      <w:start w:val="3"/>
    </w:lvl>
    <w:lvl w:ilvl="1">
      <w:lvlJc w:val="left"/>
      <w:lvlText w:val="(%2)"/>
      <w:numFmt w:val="lowerLetter"/>
      <w:start w:val="7"/>
    </w:lvl>
  </w:abstractNum>
  <w:abstractNum w:abstractNumId="162">
    <w:nsid w:val="68B867D3"/>
    <w:multiLevelType w:val="hybridMultilevel"/>
    <w:lvl w:ilvl="0">
      <w:lvlJc w:val="left"/>
      <w:lvlText w:val="(%1)"/>
      <w:numFmt w:val="lowerRoman"/>
      <w:start w:val="1"/>
    </w:lvl>
  </w:abstractNum>
  <w:abstractNum w:abstractNumId="163">
    <w:nsid w:val="3F7F5DD9"/>
    <w:multiLevelType w:val="hybridMultilevel"/>
    <w:lvl w:ilvl="0">
      <w:lvlJc w:val="left"/>
      <w:lvlText w:val="%1"/>
      <w:numFmt w:val="decimal"/>
      <w:start w:val="1"/>
    </w:lvl>
    <w:lvl w:ilvl="1">
      <w:lvlJc w:val="left"/>
      <w:lvlText w:val="(%2)"/>
      <w:numFmt w:val="lowerRoman"/>
      <w:start w:val="4"/>
    </w:lvl>
  </w:abstractNum>
  <w:abstractNum w:abstractNumId="164">
    <w:nsid w:val="2AE05A34"/>
    <w:multiLevelType w:val="hybridMultilevel"/>
    <w:lvl w:ilvl="0">
      <w:lvlJc w:val="left"/>
      <w:lvlText w:val="%1."/>
      <w:numFmt w:val="decimal"/>
      <w:start w:val="4"/>
    </w:lvl>
    <w:lvl w:ilvl="1">
      <w:lvlJc w:val="left"/>
      <w:lvlText w:val="%2"/>
      <w:numFmt w:val="lowerRoman"/>
      <w:start w:val="1"/>
    </w:lvl>
  </w:abstractNum>
  <w:abstractNum w:abstractNumId="165">
    <w:nsid w:val="32794FF7"/>
    <w:multiLevelType w:val="hybridMultilevel"/>
    <w:lvl w:ilvl="0">
      <w:lvlJc w:val="left"/>
      <w:lvlText w:val="(%1)"/>
      <w:numFmt w:val="lowerLetter"/>
      <w:start w:val="1"/>
    </w:lvl>
  </w:abstractNum>
  <w:abstractNum w:abstractNumId="166">
    <w:nsid w:val="5454945E"/>
    <w:multiLevelType w:val="hybridMultilevel"/>
    <w:lvl w:ilvl="0">
      <w:lvlJc w:val="left"/>
      <w:lvlText w:val="(%1)"/>
      <w:numFmt w:val="decimal"/>
      <w:start w:val="1"/>
    </w:lvl>
  </w:abstractNum>
  <w:abstractNum w:abstractNumId="167">
    <w:nsid w:val="4DEFDFA0"/>
    <w:multiLevelType w:val="hybridMultilevel"/>
    <w:lvl w:ilvl="0">
      <w:lvlJc w:val="left"/>
      <w:lvlText w:val="%1."/>
      <w:numFmt w:val="lowerRoman"/>
      <w:start w:val="2"/>
    </w:lvl>
    <w:lvl w:ilvl="1">
      <w:lvlJc w:val="left"/>
      <w:lvlText w:val="%2."/>
      <w:numFmt w:val="upperLetter"/>
      <w:start w:val="1"/>
    </w:lvl>
  </w:abstractNum>
  <w:abstractNum w:abstractNumId="168">
    <w:nsid w:val="2123D5F2"/>
    <w:multiLevelType w:val="hybridMultilevel"/>
    <w:lvl w:ilvl="0">
      <w:lvlJc w:val="left"/>
      <w:lvlText w:val="%1."/>
      <w:numFmt w:val="lowerRoman"/>
      <w:start w:val="2"/>
    </w:lvl>
    <w:lvl w:ilvl="1">
      <w:lvlJc w:val="left"/>
      <w:lvlText w:val="%2."/>
      <w:numFmt w:val="upperLetter"/>
      <w:start w:val="1"/>
    </w:lvl>
  </w:abstractNum>
  <w:abstractNum w:abstractNumId="169">
    <w:nsid w:val="135B8110"/>
    <w:multiLevelType w:val="hybridMultilevel"/>
    <w:lvl w:ilvl="0">
      <w:lvlJc w:val="left"/>
      <w:lvlText w:val="(%1)"/>
      <w:numFmt w:val="decimal"/>
      <w:start w:val="1"/>
    </w:lvl>
  </w:abstractNum>
  <w:abstractNum w:abstractNumId="170">
    <w:nsid w:val="94927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2019-12-29T19:14:55Z</dcterms:created>
  <dcterms:modified xsi:type="dcterms:W3CDTF">2019-12-29T19:14:55Z</dcterms:modified>
</cp:coreProperties>
</file>