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212725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June 7, 2011</w:t>
      </w:r>
    </w:p>
    <w:p>
      <w:pPr>
        <w:spacing w:after="0" w:line="20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300"/>
          </w:cols>
          <w:pgMar w:left="240" w:top="522" w:right="359" w:bottom="1440" w:gutter="0" w:footer="0" w:header="0"/>
        </w:sectPr>
      </w:pPr>
    </w:p>
    <w:p>
      <w:pPr>
        <w:spacing w:after="0" w:line="209" w:lineRule="exact"/>
        <w:rPr>
          <w:sz w:val="24"/>
          <w:szCs w:val="24"/>
          <w:color w:val="auto"/>
        </w:rPr>
      </w:pPr>
    </w:p>
    <w:p>
      <w:pPr>
        <w:ind w:left="1380"/>
        <w:spacing w:after="0"/>
        <w:rPr>
          <w:sz w:val="20"/>
          <w:szCs w:val="20"/>
          <w:color w:val="auto"/>
        </w:rPr>
      </w:pPr>
      <w:r>
        <w:rPr>
          <w:rFonts w:ascii="Arial" w:cs="Arial" w:eastAsia="Arial" w:hAnsi="Arial"/>
          <w:sz w:val="18"/>
          <w:szCs w:val="18"/>
          <w:color w:val="auto"/>
        </w:rPr>
        <w:t>Delaware</w:t>
      </w:r>
    </w:p>
    <w:p>
      <w:pPr>
        <w:spacing w:after="0" w:line="23" w:lineRule="exact"/>
        <w:rPr>
          <w:sz w:val="24"/>
          <w:szCs w:val="24"/>
          <w:color w:val="auto"/>
        </w:rPr>
      </w:pPr>
    </w:p>
    <w:p>
      <w:pPr>
        <w:ind w:left="1120"/>
        <w:spacing w:after="0"/>
        <w:rPr>
          <w:sz w:val="20"/>
          <w:szCs w:val="20"/>
          <w:color w:val="auto"/>
        </w:rPr>
      </w:pPr>
      <w:r>
        <w:rPr>
          <w:rFonts w:ascii="Arial" w:cs="Arial" w:eastAsia="Arial" w:hAnsi="Arial"/>
          <w:sz w:val="16"/>
          <w:szCs w:val="16"/>
          <w:b w:val="1"/>
          <w:bCs w:val="1"/>
          <w:color w:val="auto"/>
        </w:rPr>
        <w:t>(State or Other</w:t>
      </w:r>
    </w:p>
    <w:p>
      <w:pPr>
        <w:spacing w:after="0" w:line="32" w:lineRule="exact"/>
        <w:rPr>
          <w:sz w:val="24"/>
          <w:szCs w:val="24"/>
          <w:color w:val="auto"/>
        </w:rPr>
      </w:pPr>
    </w:p>
    <w:p>
      <w:pPr>
        <w:ind w:left="1140"/>
        <w:spacing w:after="0"/>
        <w:rPr>
          <w:sz w:val="20"/>
          <w:szCs w:val="20"/>
          <w:color w:val="auto"/>
        </w:rPr>
      </w:pPr>
      <w:r>
        <w:rPr>
          <w:rFonts w:ascii="Arial" w:cs="Arial" w:eastAsia="Arial" w:hAnsi="Arial"/>
          <w:sz w:val="16"/>
          <w:szCs w:val="16"/>
          <w:b w:val="1"/>
          <w:bCs w:val="1"/>
          <w:color w:val="auto"/>
        </w:rPr>
        <w:t>Jurisdiction of</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ind w:right="1880"/>
        <w:spacing w:after="0"/>
        <w:rPr>
          <w:sz w:val="20"/>
          <w:szCs w:val="20"/>
          <w:color w:val="auto"/>
        </w:rPr>
      </w:pPr>
      <w:r>
        <w:rPr>
          <w:rFonts w:ascii="Arial" w:cs="Arial" w:eastAsia="Arial" w:hAnsi="Arial"/>
          <w:sz w:val="18"/>
          <w:szCs w:val="18"/>
          <w:color w:val="auto"/>
        </w:rPr>
        <w:t>1-12154</w:t>
      </w:r>
    </w:p>
    <w:p>
      <w:pPr>
        <w:spacing w:after="0" w:line="23" w:lineRule="exact"/>
        <w:rPr>
          <w:sz w:val="24"/>
          <w:szCs w:val="24"/>
          <w:color w:val="auto"/>
        </w:rPr>
      </w:pPr>
    </w:p>
    <w:p>
      <w:pPr>
        <w:jc w:val="center"/>
        <w:ind w:right="1880"/>
        <w:spacing w:after="0"/>
        <w:rPr>
          <w:sz w:val="20"/>
          <w:szCs w:val="20"/>
          <w:color w:val="auto"/>
        </w:rPr>
      </w:pPr>
      <w:r>
        <w:rPr>
          <w:rFonts w:ascii="Arial" w:cs="Arial" w:eastAsia="Arial" w:hAnsi="Arial"/>
          <w:sz w:val="16"/>
          <w:szCs w:val="16"/>
          <w:b w:val="1"/>
          <w:bCs w:val="1"/>
          <w:color w:val="auto"/>
        </w:rPr>
        <w:t>(Commission File</w:t>
      </w:r>
    </w:p>
    <w:p>
      <w:pPr>
        <w:spacing w:after="0" w:line="32"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Number)</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ind w:right="880"/>
        <w:spacing w:after="0"/>
        <w:rPr>
          <w:sz w:val="20"/>
          <w:szCs w:val="20"/>
          <w:color w:val="auto"/>
        </w:rPr>
      </w:pPr>
      <w:r>
        <w:rPr>
          <w:rFonts w:ascii="Arial" w:cs="Arial" w:eastAsia="Arial" w:hAnsi="Arial"/>
          <w:sz w:val="18"/>
          <w:szCs w:val="18"/>
          <w:color w:val="auto"/>
        </w:rPr>
        <w:t>73-1309529</w:t>
      </w:r>
    </w:p>
    <w:p>
      <w:pPr>
        <w:spacing w:after="0" w:line="23" w:lineRule="exact"/>
        <w:rPr>
          <w:sz w:val="24"/>
          <w:szCs w:val="24"/>
          <w:color w:val="auto"/>
        </w:rPr>
      </w:pPr>
    </w:p>
    <w:p>
      <w:pPr>
        <w:jc w:val="center"/>
        <w:ind w:right="880"/>
        <w:spacing w:after="0"/>
        <w:rPr>
          <w:sz w:val="20"/>
          <w:szCs w:val="20"/>
          <w:color w:val="auto"/>
        </w:rPr>
      </w:pPr>
      <w:r>
        <w:rPr>
          <w:rFonts w:ascii="Arial" w:cs="Arial" w:eastAsia="Arial" w:hAnsi="Arial"/>
          <w:sz w:val="18"/>
          <w:szCs w:val="18"/>
          <w:b w:val="1"/>
          <w:bCs w:val="1"/>
          <w:color w:val="auto"/>
        </w:rPr>
        <w:t>(IRS Employer</w:t>
      </w:r>
    </w:p>
    <w:p>
      <w:pPr>
        <w:spacing w:after="0" w:line="9" w:lineRule="exact"/>
        <w:rPr>
          <w:sz w:val="24"/>
          <w:szCs w:val="24"/>
          <w:color w:val="auto"/>
        </w:rPr>
      </w:pPr>
    </w:p>
    <w:p>
      <w:pPr>
        <w:jc w:val="center"/>
        <w:ind w:right="880"/>
        <w:spacing w:after="0"/>
        <w:rPr>
          <w:sz w:val="20"/>
          <w:szCs w:val="20"/>
          <w:color w:val="auto"/>
        </w:rPr>
      </w:pPr>
      <w:r>
        <w:rPr>
          <w:rFonts w:ascii="Arial" w:cs="Arial" w:eastAsia="Arial" w:hAnsi="Arial"/>
          <w:sz w:val="16"/>
          <w:szCs w:val="16"/>
          <w:b w:val="1"/>
          <w:bCs w:val="1"/>
          <w:color w:val="auto"/>
        </w:rPr>
        <w:t>Identification No.)</w:t>
      </w:r>
    </w:p>
    <w:p>
      <w:pPr>
        <w:spacing w:after="0" w:line="31" w:lineRule="exact"/>
        <w:rPr>
          <w:sz w:val="24"/>
          <w:szCs w:val="24"/>
          <w:color w:val="auto"/>
        </w:rPr>
      </w:pPr>
    </w:p>
    <w:p>
      <w:pPr>
        <w:sectPr>
          <w:pgSz w:w="11900" w:h="16838" w:orient="portrait"/>
          <w:cols w:equalWidth="0" w:num="3">
            <w:col w:w="4340" w:space="720"/>
            <w:col w:w="3220" w:space="720"/>
            <w:col w:w="2300"/>
          </w:cols>
          <w:pgMar w:left="240" w:top="522" w:right="359" w:bottom="1440" w:gutter="0" w:footer="0" w:header="0"/>
          <w:type w:val="continuous"/>
        </w:sectPr>
      </w:pPr>
    </w:p>
    <w:p>
      <w:pPr>
        <w:ind w:left="1160"/>
        <w:spacing w:after="0"/>
        <w:rPr>
          <w:sz w:val="20"/>
          <w:szCs w:val="20"/>
          <w:color w:val="auto"/>
        </w:rPr>
      </w:pPr>
      <w:r>
        <w:rPr>
          <w:rFonts w:ascii="Arial" w:cs="Arial" w:eastAsia="Arial" w:hAnsi="Arial"/>
          <w:sz w:val="18"/>
          <w:szCs w:val="18"/>
          <w:b w:val="1"/>
          <w:bCs w:val="1"/>
          <w:color w:val="auto"/>
        </w:rPr>
        <w:t>Incorporation)</w:t>
      </w:r>
    </w:p>
    <w:p>
      <w:pPr>
        <w:spacing w:after="0" w:line="211" w:lineRule="exact"/>
        <w:rPr>
          <w:sz w:val="24"/>
          <w:szCs w:val="24"/>
          <w:color w:val="auto"/>
        </w:rPr>
      </w:pPr>
    </w:p>
    <w:p>
      <w:pPr>
        <w:ind w:left="1180" w:right="2180" w:firstLine="72"/>
        <w:spacing w:after="0" w:line="277" w:lineRule="auto"/>
        <w:rPr>
          <w:sz w:val="20"/>
          <w:szCs w:val="20"/>
          <w:color w:val="auto"/>
        </w:rPr>
      </w:pPr>
      <w:r>
        <w:rPr>
          <w:rFonts w:ascii="Arial" w:cs="Arial" w:eastAsia="Arial" w:hAnsi="Arial"/>
          <w:sz w:val="18"/>
          <w:szCs w:val="18"/>
          <w:color w:val="auto"/>
        </w:rPr>
        <w:t xml:space="preserve">1001 Fannin, Suite 4000 Houston, Texas 77002 </w:t>
      </w:r>
      <w:r>
        <w:rPr>
          <w:rFonts w:ascii="Arial" w:cs="Arial" w:eastAsia="Arial" w:hAnsi="Arial"/>
          <w:sz w:val="18"/>
          <w:szCs w:val="18"/>
          <w:b w:val="1"/>
          <w:bCs w:val="1"/>
          <w:color w:val="auto"/>
        </w:rPr>
        <w:t>(Address of Principal Executive Offices) (Zip Code)</w:t>
      </w:r>
    </w:p>
    <w:p>
      <w:pPr>
        <w:sectPr>
          <w:pgSz w:w="11900" w:h="16838" w:orient="portrait"/>
          <w:cols w:equalWidth="0" w:num="1">
            <w:col w:w="11300"/>
          </w:cols>
          <w:pgMar w:left="240" w:top="522" w:right="359" w:bottom="1440" w:gutter="0" w:footer="0" w:header="0"/>
          <w:type w:val="continuous"/>
        </w:sectPr>
      </w:pPr>
    </w:p>
    <w:p>
      <w:pPr>
        <w:spacing w:after="0" w:line="16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512-6200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154940</wp:posOffset>
            </wp:positionV>
            <wp:extent cx="1878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8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12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561975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22" w:right="359" w:bottom="1440" w:gutter="0" w:footer="0" w:header="0"/>
          <w:type w:val="continuous"/>
        </w:sectPr>
      </w:pPr>
    </w:p>
    <w:bookmarkStart w:id="1" w:name="page2"/>
    <w:bookmarkEnd w:id="1"/>
    <w:p>
      <w:pPr>
        <w:ind w:left="840" w:right="420" w:hanging="836"/>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58" w:lineRule="exact"/>
        <w:rPr>
          <w:sz w:val="20"/>
          <w:szCs w:val="20"/>
          <w:color w:val="auto"/>
        </w:rPr>
      </w:pPr>
    </w:p>
    <w:p>
      <w:pPr>
        <w:ind w:right="380" w:firstLine="225"/>
        <w:spacing w:after="0" w:line="264" w:lineRule="auto"/>
        <w:rPr>
          <w:sz w:val="20"/>
          <w:szCs w:val="20"/>
          <w:color w:val="auto"/>
        </w:rPr>
      </w:pPr>
      <w:r>
        <w:rPr>
          <w:rFonts w:ascii="Arial" w:cs="Arial" w:eastAsia="Arial" w:hAnsi="Arial"/>
          <w:sz w:val="18"/>
          <w:szCs w:val="18"/>
          <w:color w:val="auto"/>
        </w:rPr>
        <w:t>On June 8, 2011, Waste Management, Inc. (the “Company”) announced that Mr. Robert G. Simpson has given notice of his intention to retire from his positions as Senior Vice President and Chief Financial Officer of the Company, effective as of September 30, 2011. The Company is in the process of identifying a replacement for Mr. Simpson.</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copy of the news release relating to this disclosure is furnished herewith as Exhibit 99.1.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 Exhibits.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8"/>
              </w:rPr>
              <w:t>Exhibit No.</w:t>
            </w:r>
          </w:p>
        </w:tc>
        <w:tc>
          <w:tcPr>
            <w:tcW w:w="10500" w:type="dxa"/>
            <w:vAlign w:val="bottom"/>
            <w:gridSpan w:val="2"/>
          </w:tcPr>
          <w:p>
            <w:pPr>
              <w:ind w:left="340"/>
              <w:spacing w:after="0"/>
              <w:rPr>
                <w:sz w:val="20"/>
                <w:szCs w:val="20"/>
                <w:color w:val="auto"/>
              </w:rPr>
            </w:pPr>
            <w:r>
              <w:rPr>
                <w:rFonts w:ascii="Arial" w:cs="Arial" w:eastAsia="Arial" w:hAnsi="Arial"/>
                <w:sz w:val="14"/>
                <w:szCs w:val="14"/>
                <w:b w:val="1"/>
                <w:bCs w:val="1"/>
                <w:color w:val="auto"/>
              </w:rPr>
              <w:t>Description of Exhibit</w:t>
            </w:r>
          </w:p>
        </w:tc>
      </w:tr>
      <w:tr>
        <w:trPr>
          <w:trHeight w:val="224"/>
        </w:trPr>
        <w:tc>
          <w:tcPr>
            <w:tcW w:w="920" w:type="dxa"/>
            <w:vAlign w:val="bottom"/>
            <w:tcBorders>
              <w:top w:val="single" w:sz="8" w:color="auto"/>
            </w:tcBorders>
          </w:tcPr>
          <w:p>
            <w:pPr>
              <w:jc w:val="right"/>
              <w:ind w:right="219"/>
              <w:spacing w:after="0"/>
              <w:rPr>
                <w:sz w:val="20"/>
                <w:szCs w:val="20"/>
                <w:color w:val="auto"/>
              </w:rPr>
            </w:pPr>
            <w:r>
              <w:rPr>
                <w:rFonts w:ascii="Arial" w:cs="Arial" w:eastAsia="Arial" w:hAnsi="Arial"/>
                <w:sz w:val="18"/>
                <w:szCs w:val="18"/>
                <w:color w:val="auto"/>
              </w:rPr>
              <w:t>99.1</w:t>
            </w:r>
          </w:p>
        </w:tc>
        <w:tc>
          <w:tcPr>
            <w:tcW w:w="340" w:type="dxa"/>
            <w:vAlign w:val="bottom"/>
          </w:tcPr>
          <w:p>
            <w:pPr>
              <w:spacing w:after="0"/>
              <w:rPr>
                <w:sz w:val="19"/>
                <w:szCs w:val="19"/>
                <w:color w:val="auto"/>
              </w:rPr>
            </w:pPr>
          </w:p>
        </w:tc>
        <w:tc>
          <w:tcPr>
            <w:tcW w:w="10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News release dated June 8, 2011.</w:t>
            </w:r>
          </w:p>
        </w:tc>
      </w:tr>
    </w:tbl>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60" w:type="dxa"/>
            <w:vAlign w:val="bottom"/>
          </w:tcPr>
          <w:p>
            <w:pPr>
              <w:spacing w:after="0"/>
              <w:rPr>
                <w:sz w:val="20"/>
                <w:szCs w:val="20"/>
                <w:color w:val="auto"/>
              </w:rPr>
            </w:pPr>
          </w:p>
        </w:tc>
        <w:tc>
          <w:tcPr>
            <w:tcW w:w="6380" w:type="dxa"/>
            <w:vAlign w:val="bottom"/>
            <w:gridSpan w:val="2"/>
          </w:tcPr>
          <w:p>
            <w:pPr>
              <w:ind w:left="2000"/>
              <w:spacing w:after="0"/>
              <w:rPr>
                <w:sz w:val="20"/>
                <w:szCs w:val="20"/>
                <w:color w:val="auto"/>
              </w:rPr>
            </w:pPr>
            <w:r>
              <w:rPr>
                <w:rFonts w:ascii="Arial" w:cs="Arial" w:eastAsia="Arial" w:hAnsi="Arial"/>
                <w:sz w:val="18"/>
                <w:szCs w:val="18"/>
                <w:color w:val="auto"/>
              </w:rPr>
              <w:t>WASTE MANAGEMENT, INC.</w:t>
            </w:r>
          </w:p>
        </w:tc>
        <w:tc>
          <w:tcPr>
            <w:tcW w:w="1680" w:type="dxa"/>
            <w:vAlign w:val="bottom"/>
          </w:tcPr>
          <w:p>
            <w:pPr>
              <w:spacing w:after="0"/>
              <w:rPr>
                <w:sz w:val="20"/>
                <w:szCs w:val="20"/>
                <w:color w:val="auto"/>
              </w:rPr>
            </w:pPr>
          </w:p>
        </w:tc>
      </w:tr>
      <w:tr>
        <w:trPr>
          <w:trHeight w:val="432"/>
        </w:trPr>
        <w:tc>
          <w:tcPr>
            <w:tcW w:w="3360" w:type="dxa"/>
            <w:vAlign w:val="bottom"/>
          </w:tcPr>
          <w:p>
            <w:pPr>
              <w:spacing w:after="0"/>
              <w:rPr>
                <w:sz w:val="20"/>
                <w:szCs w:val="20"/>
                <w:color w:val="auto"/>
              </w:rPr>
            </w:pPr>
            <w:r>
              <w:rPr>
                <w:rFonts w:ascii="Arial" w:cs="Arial" w:eastAsia="Arial" w:hAnsi="Arial"/>
                <w:sz w:val="18"/>
                <w:szCs w:val="18"/>
                <w:color w:val="auto"/>
              </w:rPr>
              <w:t>Date: June 8, 2011</w:t>
            </w:r>
          </w:p>
        </w:tc>
        <w:tc>
          <w:tcPr>
            <w:tcW w:w="6380" w:type="dxa"/>
            <w:vAlign w:val="bottom"/>
            <w:gridSpan w:val="2"/>
          </w:tcPr>
          <w:p>
            <w:pPr>
              <w:ind w:left="20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Rick L Wittenbraker</w:t>
            </w:r>
          </w:p>
        </w:tc>
        <w:tc>
          <w:tcPr>
            <w:tcW w:w="1680" w:type="dxa"/>
            <w:vAlign w:val="bottom"/>
          </w:tcPr>
          <w:p>
            <w:pPr>
              <w:spacing w:after="0"/>
              <w:rPr>
                <w:sz w:val="24"/>
                <w:szCs w:val="24"/>
                <w:color w:val="auto"/>
              </w:rPr>
            </w:pPr>
          </w:p>
        </w:tc>
      </w:tr>
      <w:tr>
        <w:trPr>
          <w:trHeight w:val="195"/>
        </w:trPr>
        <w:tc>
          <w:tcPr>
            <w:tcW w:w="336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Rick L Wittenbraker</w:t>
            </w:r>
          </w:p>
        </w:tc>
        <w:tc>
          <w:tcPr>
            <w:tcW w:w="1680" w:type="dxa"/>
            <w:vAlign w:val="bottom"/>
          </w:tcPr>
          <w:p>
            <w:pPr>
              <w:spacing w:after="0"/>
              <w:rPr>
                <w:sz w:val="16"/>
                <w:szCs w:val="16"/>
                <w:color w:val="auto"/>
              </w:rPr>
            </w:pPr>
          </w:p>
        </w:tc>
      </w:tr>
      <w:tr>
        <w:trPr>
          <w:trHeight w:val="230"/>
        </w:trPr>
        <w:tc>
          <w:tcPr>
            <w:tcW w:w="33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Senior Vice President</w:t>
            </w:r>
          </w:p>
        </w:tc>
        <w:tc>
          <w:tcPr>
            <w:tcW w:w="1680" w:type="dxa"/>
            <w:vAlign w:val="bottom"/>
          </w:tcPr>
          <w:p>
            <w:pPr>
              <w:spacing w:after="0"/>
              <w:rPr>
                <w:sz w:val="20"/>
                <w:szCs w:val="20"/>
                <w:color w:val="auto"/>
              </w:rPr>
            </w:pPr>
          </w:p>
        </w:tc>
      </w:tr>
      <w:tr>
        <w:trPr>
          <w:trHeight w:val="621"/>
        </w:trPr>
        <w:tc>
          <w:tcPr>
            <w:tcW w:w="3360" w:type="dxa"/>
            <w:vAlign w:val="bottom"/>
          </w:tcPr>
          <w:p>
            <w:pPr>
              <w:spacing w:after="0"/>
              <w:rPr>
                <w:sz w:val="24"/>
                <w:szCs w:val="24"/>
                <w:color w:val="auto"/>
              </w:rPr>
            </w:pPr>
          </w:p>
        </w:tc>
        <w:tc>
          <w:tcPr>
            <w:tcW w:w="6380" w:type="dxa"/>
            <w:vAlign w:val="bottom"/>
            <w:gridSpan w:val="2"/>
          </w:tcPr>
          <w:p>
            <w:pPr>
              <w:jc w:val="right"/>
              <w:ind w:right="3890"/>
              <w:spacing w:after="0"/>
              <w:rPr>
                <w:sz w:val="20"/>
                <w:szCs w:val="20"/>
                <w:color w:val="auto"/>
              </w:rPr>
            </w:pPr>
            <w:r>
              <w:rPr>
                <w:rFonts w:ascii="Arial" w:cs="Arial" w:eastAsia="Arial" w:hAnsi="Arial"/>
                <w:sz w:val="18"/>
                <w:szCs w:val="18"/>
                <w:color w:val="auto"/>
              </w:rPr>
              <w:t>2</w:t>
            </w:r>
          </w:p>
        </w:tc>
        <w:tc>
          <w:tcPr>
            <w:tcW w:w="1680" w:type="dxa"/>
            <w:vAlign w:val="bottom"/>
          </w:tcPr>
          <w:p>
            <w:pPr>
              <w:spacing w:after="0"/>
              <w:rPr>
                <w:sz w:val="24"/>
                <w:szCs w:val="24"/>
                <w:color w:val="auto"/>
              </w:rPr>
            </w:pPr>
          </w:p>
        </w:tc>
      </w:tr>
      <w:tr>
        <w:trPr>
          <w:trHeight w:val="226"/>
        </w:trPr>
        <w:tc>
          <w:tcPr>
            <w:tcW w:w="3360" w:type="dxa"/>
            <w:vAlign w:val="bottom"/>
            <w:tcBorders>
              <w:bottom w:val="single" w:sz="8" w:color="808080"/>
            </w:tcBorders>
          </w:tcPr>
          <w:p>
            <w:pPr>
              <w:spacing w:after="0"/>
              <w:rPr>
                <w:sz w:val="19"/>
                <w:szCs w:val="19"/>
                <w:color w:val="auto"/>
              </w:rPr>
            </w:pPr>
          </w:p>
        </w:tc>
        <w:tc>
          <w:tcPr>
            <w:tcW w:w="2340" w:type="dxa"/>
            <w:vAlign w:val="bottom"/>
            <w:tcBorders>
              <w:bottom w:val="single" w:sz="8" w:color="808080"/>
            </w:tcBorders>
          </w:tcPr>
          <w:p>
            <w:pPr>
              <w:spacing w:after="0"/>
              <w:rPr>
                <w:sz w:val="19"/>
                <w:szCs w:val="19"/>
                <w:color w:val="auto"/>
              </w:rPr>
            </w:pPr>
          </w:p>
        </w:tc>
        <w:tc>
          <w:tcPr>
            <w:tcW w:w="404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8"/>
              </w:rPr>
              <w:t>Exhibit No.</w:t>
            </w:r>
          </w:p>
        </w:tc>
        <w:tc>
          <w:tcPr>
            <w:tcW w:w="10500" w:type="dxa"/>
            <w:vAlign w:val="bottom"/>
            <w:gridSpan w:val="2"/>
          </w:tcPr>
          <w:p>
            <w:pPr>
              <w:ind w:left="340"/>
              <w:spacing w:after="0"/>
              <w:rPr>
                <w:sz w:val="20"/>
                <w:szCs w:val="20"/>
                <w:color w:val="auto"/>
              </w:rPr>
            </w:pPr>
            <w:r>
              <w:rPr>
                <w:rFonts w:ascii="Arial" w:cs="Arial" w:eastAsia="Arial" w:hAnsi="Arial"/>
                <w:sz w:val="14"/>
                <w:szCs w:val="14"/>
                <w:b w:val="1"/>
                <w:bCs w:val="1"/>
                <w:color w:val="auto"/>
              </w:rPr>
              <w:t>Description of Exhibit</w:t>
            </w:r>
          </w:p>
        </w:tc>
      </w:tr>
      <w:tr>
        <w:trPr>
          <w:trHeight w:val="224"/>
        </w:trPr>
        <w:tc>
          <w:tcPr>
            <w:tcW w:w="920" w:type="dxa"/>
            <w:vAlign w:val="bottom"/>
            <w:tcBorders>
              <w:top w:val="single" w:sz="8" w:color="auto"/>
            </w:tcBorders>
          </w:tcPr>
          <w:p>
            <w:pPr>
              <w:jc w:val="right"/>
              <w:ind w:right="219"/>
              <w:spacing w:after="0"/>
              <w:rPr>
                <w:sz w:val="20"/>
                <w:szCs w:val="20"/>
                <w:color w:val="auto"/>
              </w:rPr>
            </w:pPr>
            <w:r>
              <w:rPr>
                <w:rFonts w:ascii="Arial" w:cs="Arial" w:eastAsia="Arial" w:hAnsi="Arial"/>
                <w:sz w:val="18"/>
                <w:szCs w:val="18"/>
                <w:color w:val="auto"/>
              </w:rPr>
              <w:t>99.1</w:t>
            </w:r>
          </w:p>
        </w:tc>
        <w:tc>
          <w:tcPr>
            <w:tcW w:w="340" w:type="dxa"/>
            <w:vAlign w:val="bottom"/>
          </w:tcPr>
          <w:p>
            <w:pPr>
              <w:spacing w:after="0"/>
              <w:rPr>
                <w:sz w:val="19"/>
                <w:szCs w:val="19"/>
                <w:color w:val="auto"/>
              </w:rPr>
            </w:pPr>
          </w:p>
        </w:tc>
        <w:tc>
          <w:tcPr>
            <w:tcW w:w="10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News release dated June 8, 2011.</w:t>
            </w:r>
          </w:p>
        </w:tc>
      </w:tr>
    </w:tbl>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958" w:right="239" w:bottom="1440" w:gutter="0" w:footer="0" w:header="0"/>
        </w:sectPr>
      </w:pPr>
    </w:p>
    <w:bookmarkStart w:id="3" w:name="page4"/>
    <w:bookmarkEnd w:id="3"/>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Waste Management SVP and CFO</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Robert G. Simpson to retire as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2011</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MORE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Cherie Rice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713-512-6548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crice@wm.com</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Lynn Brown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713-394-5093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lynnbrown@wm.com</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Web site: </w:t>
      </w:r>
      <w:r>
        <w:rPr>
          <w:rFonts w:ascii="Arial" w:cs="Arial" w:eastAsia="Arial" w:hAnsi="Arial"/>
          <w:sz w:val="18"/>
          <w:szCs w:val="18"/>
          <w:u w:val="single" w:color="auto"/>
          <w:color w:val="auto"/>
        </w:rPr>
        <w:t>www.wm.com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WM # xx-xx</w:t>
      </w:r>
    </w:p>
    <w:p>
      <w:pPr>
        <w:spacing w:after="0" w:line="200" w:lineRule="exact"/>
        <w:rPr>
          <w:sz w:val="20"/>
          <w:szCs w:val="20"/>
          <w:color w:val="auto"/>
        </w:rPr>
      </w:pPr>
    </w:p>
    <w:p>
      <w:pPr>
        <w:sectPr>
          <w:pgSz w:w="11900" w:h="16838" w:orient="portrait"/>
          <w:cols w:equalWidth="0" w:num="2">
            <w:col w:w="7280" w:space="720"/>
            <w:col w:w="3420"/>
          </w:cols>
          <w:pgMar w:left="240" w:top="121" w:right="239" w:bottom="1440" w:gutter="0" w:footer="0" w:header="0"/>
        </w:sectPr>
      </w:pPr>
    </w:p>
    <w:p>
      <w:pPr>
        <w:spacing w:after="0" w:line="156" w:lineRule="exact"/>
        <w:rPr>
          <w:sz w:val="20"/>
          <w:szCs w:val="20"/>
          <w:color w:val="auto"/>
        </w:rPr>
      </w:pPr>
    </w:p>
    <w:p>
      <w:pPr>
        <w:jc w:val="both"/>
        <w:ind w:right="180"/>
        <w:spacing w:after="0" w:line="266" w:lineRule="auto"/>
        <w:rPr>
          <w:sz w:val="20"/>
          <w:szCs w:val="20"/>
          <w:color w:val="auto"/>
        </w:rPr>
      </w:pPr>
      <w:r>
        <w:rPr>
          <w:rFonts w:ascii="Arial" w:cs="Arial" w:eastAsia="Arial" w:hAnsi="Arial"/>
          <w:sz w:val="18"/>
          <w:szCs w:val="18"/>
          <w:b w:val="1"/>
          <w:bCs w:val="1"/>
          <w:color w:val="auto"/>
        </w:rPr>
        <w:t>HOUSTON — June 8, 2010 —</w:t>
      </w:r>
      <w:r>
        <w:rPr>
          <w:rFonts w:ascii="Arial" w:cs="Arial" w:eastAsia="Arial" w:hAnsi="Arial"/>
          <w:sz w:val="18"/>
          <w:szCs w:val="18"/>
          <w:color w:val="auto"/>
        </w:rPr>
        <w:t>Waste Management today announced that senior vice president (SVP) and chief financial officer (CFO) Robert G. Simpson</w:t>
      </w:r>
      <w:r>
        <w:rPr>
          <w:rFonts w:ascii="Arial" w:cs="Arial" w:eastAsia="Arial" w:hAnsi="Arial"/>
          <w:sz w:val="18"/>
          <w:szCs w:val="18"/>
          <w:b w:val="1"/>
          <w:bCs w:val="1"/>
          <w:color w:val="auto"/>
        </w:rPr>
        <w:t xml:space="preserve"> </w:t>
      </w:r>
      <w:r>
        <w:rPr>
          <w:rFonts w:ascii="Arial" w:cs="Arial" w:eastAsia="Arial" w:hAnsi="Arial"/>
          <w:sz w:val="18"/>
          <w:szCs w:val="18"/>
          <w:color w:val="auto"/>
        </w:rPr>
        <w:t>intends to retire as of Sept. 30, 2011. Anticipating that Bob wanted to retire, the company has been conducting a search for a new CFO, and expects that the position will be filled before Bob’s Sept. 30 retirement in order to make an orderly transition.</w:t>
      </w:r>
    </w:p>
    <w:p>
      <w:pPr>
        <w:spacing w:after="0" w:line="72"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Simpson’s career spans several major companies from Kraft to Phillip Morris. He joined Waste Management from Tenneco. He has responsibility for the financial affairs of the company, including financial reporting, treasury, tax and financial analysis. Previously he was the company’s senior vice president, chief accounting officer and vice president, tax.</w:t>
      </w:r>
    </w:p>
    <w:p>
      <w:pPr>
        <w:spacing w:after="0" w:line="73"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“Bob has played a pivotal role in the success of the company. He has had a steady hand on our financial affairs and operations and has helped us build the strategy we are pursuing today,” said David Steiner, President and CEO of Waste Management. “We value his years of service, his skill and his wit. We’ll miss him and wish him well in retirement.”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About Waste Management</w:t>
      </w:r>
    </w:p>
    <w:p>
      <w:pPr>
        <w:spacing w:after="0" w:line="11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Waste Management, Inc., based in Houston, Texas, is the leading provider of comprehensive waste management services in North America. Through its subsidiaries, the company provides collection, transfer, recycling and resource recovery, and disposal services. It is the largest residential recycler in North America and a leading developer, operator and owner of waste-to-energy and landfill gas-to-energy facilities in the United States. The company’s customers include residential, commercial, industrial, and municipal customers throughout North America. To learn more information about Waste Management visit www.wm.com or www.thinkgreen.com.</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This press release contains forward-looking statements as defined in the Private Securities Litigation Reform Act of 1995. Forward-looking statements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807720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97790</wp:posOffset>
            </wp:positionV>
            <wp:extent cx="1903730" cy="3257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03730" cy="3257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4" w:name="page5"/>
    <w:bookmarkEnd w:id="4"/>
    <w:p>
      <w:pPr>
        <w:ind w:left="10600"/>
        <w:spacing w:after="0"/>
        <w:rPr>
          <w:sz w:val="20"/>
          <w:szCs w:val="20"/>
          <w:color w:val="auto"/>
        </w:rPr>
      </w:pPr>
      <w:r>
        <w:rPr>
          <w:rFonts w:ascii="Arial" w:cs="Arial" w:eastAsia="Arial" w:hAnsi="Arial"/>
          <w:sz w:val="16"/>
          <w:szCs w:val="16"/>
          <w:color w:val="auto"/>
        </w:rPr>
        <w:t>Page 2 of 2</w:t>
      </w:r>
    </w:p>
    <w:p>
      <w:pPr>
        <w:spacing w:after="0" w:line="248"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i w:val="1"/>
          <w:iCs w:val="1"/>
          <w:color w:val="auto"/>
        </w:rPr>
        <w:t>information of a non-historical nature or which relate to future events and are subject to risks and uncertainties. In many cases, you can identify forward-looking statements by terminology such as “may,” “will,” “should,” “expects,” “plans,” “anticipates,” “believes,” “estimates,” “predicts,” “potential,” or “continue,” or the negative of these terms and other comparable terminology. These statements are only predictions. Actual results could differ materially from those anticipated in these forward-looking statements as a result of a number of factors. The forward-looking statements made in this press release relate only to events as of the date of this release. We undertake no ongoing obligation to update these statements.</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1903730" cy="3257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03730" cy="325755"/>
                    </a:xfrm>
                    <a:prstGeom prst="rect">
                      <a:avLst/>
                    </a:prstGeom>
                    <a:noFill/>
                  </pic:spPr>
                </pic:pic>
              </a:graphicData>
            </a:graphic>
          </wp:anchor>
        </w:drawing>
      </w:r>
    </w:p>
    <w:sectPr>
      <w:pgSz w:w="11900" w:h="16838" w:orient="portrait"/>
      <w:cols w:equalWidth="0" w:num="1">
        <w:col w:w="11420"/>
      </w:cols>
      <w:pgMar w:left="240" w:top="9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2019-12-10T07:36:02Z</dcterms:created>
  <dcterms:modified xsi:type="dcterms:W3CDTF">2019-12-10T07:36:02Z</dcterms:modified>
</cp:coreProperties>
</file>