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1001 Fannin Street</w:t>
            </w:r>
          </w:p>
        </w:tc>
        <w:tc>
          <w:tcPr>
            <w:tcW w:w="32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16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103" w:lineRule="exact"/>
        <w:rPr>
          <w:sz w:val="24"/>
          <w:szCs w:val="24"/>
          <w:color w:val="auto"/>
        </w:rPr>
      </w:pPr>
    </w:p>
    <w:p>
      <w:pPr>
        <w:ind w:right="6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2240" w:space="720"/>
            <w:col w:w="436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27, 2020 was 422,461,187 (excluding treasury shares of 207,821,274).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57150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$46 and $28,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1,949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$2 and $1,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6,209</w:t>
            </w:r>
          </w:p>
        </w:tc>
        <w:tc>
          <w:tcPr>
            <w:tcW w:w="0" w:type="dxa"/>
            <w:vAlign w:val="bottom"/>
          </w:tcPr>
          <w:p>
            <w:pPr>
              <w:spacing w:after="0"/>
              <w:rPr>
                <w:sz w:val="1"/>
                <w:szCs w:val="1"/>
                <w:color w:val="auto"/>
              </w:rPr>
            </w:pPr>
          </w:p>
        </w:tc>
      </w:tr>
      <w:tr>
        <w:trPr>
          <w:trHeight w:val="185"/>
        </w:trPr>
        <w:tc>
          <w:tcPr>
            <w:tcW w:w="67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Property and equipment, net of accumulated depreciation and amortization of $19,031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$18,657,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12,893</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6,512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6,532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26,619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6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904</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5,772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3,144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13,280</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20,673</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5,040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5,049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10,592</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208,118,292 and 205,956,366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(8,571)</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6,891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6,893</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26,619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273"/>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3"/>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3,250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3"/>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3"/>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15"/>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jc w:val="center"/>
              <w:ind w:left="335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tcPr>
          <w:p>
            <w:pPr>
              <w:jc w:val="center"/>
              <w:ind w:right="51"/>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3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668</w:t>
            </w:r>
          </w:p>
        </w:tc>
        <w:tc>
          <w:tcPr>
            <w:tcW w:w="180" w:type="dxa"/>
            <w:vAlign w:val="bottom"/>
          </w:tcPr>
          <w:p>
            <w:pPr>
              <w:spacing w:after="0"/>
              <w:rPr>
                <w:sz w:val="17"/>
                <w:szCs w:val="17"/>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w w:val="99"/>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Interest accretion on landfill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Loss on early extinguishment of debt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Deferred revenues and other liabilities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193"/>
        </w:trPr>
        <w:tc>
          <w:tcPr>
            <w:tcW w:w="66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paid on early extinguishment of debt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Net commercial paper borrowings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repurchase program</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Cash dividends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 of common stock options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Effect of exchange rate changes on cash, cash equivalents and restricted 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rPr>
                <w:sz w:val="20"/>
                <w:szCs w:val="20"/>
                <w:color w:val="auto"/>
              </w:rPr>
            </w:pPr>
            <w:r>
              <w:rPr>
                <w:rFonts w:ascii="Arial" w:cs="Arial" w:eastAsia="Arial" w:hAnsi="Arial"/>
                <w:sz w:val="16"/>
                <w:szCs w:val="16"/>
                <w:color w:val="auto"/>
              </w:rPr>
              <w:t>Increase (decrease) in cash, cash equivalents and restricted cash and cash equivalents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6"/>
        </w:trPr>
        <w:tc>
          <w:tcPr>
            <w:tcW w:w="66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w w:val="94"/>
              </w:rPr>
              <w:t>Reconciliation of cash, cash equivalents and restricted cash and cash equivalents at end of period: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6"/>
        </w:trPr>
        <w:tc>
          <w:tcPr>
            <w:tcW w:w="662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3"/>
          </w:tcPr>
          <w:p>
            <w:pPr>
              <w:jc w:val="right"/>
              <w:ind w:right="480"/>
              <w:spacing w:after="0"/>
              <w:rPr>
                <w:sz w:val="20"/>
                <w:szCs w:val="20"/>
                <w:color w:val="auto"/>
              </w:rPr>
            </w:pPr>
            <w:r>
              <w:rPr>
                <w:rFonts w:ascii="Arial" w:cs="Arial" w:eastAsia="Arial" w:hAnsi="Arial"/>
                <w:sz w:val="13"/>
                <w:szCs w:val="13"/>
                <w:b w:val="1"/>
                <w:bCs w:val="1"/>
                <w:color w:val="auto"/>
              </w:rPr>
              <w:t>Waste Management, Inc. Stockholders’ Equity</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Paid-In</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Comprehensive</w:t>
            </w:r>
          </w:p>
        </w:tc>
        <w:tc>
          <w:tcPr>
            <w:tcW w:w="12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6"/>
              </w:rPr>
              <w:t>Capital</w:t>
            </w:r>
          </w:p>
        </w:tc>
        <w:tc>
          <w:tcPr>
            <w:tcW w:w="62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2"/>
              </w:rPr>
              <w:t>Income (Loss)</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6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2020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$ 6,745</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10,718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(91)</w:t>
            </w: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(208,287)</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 (8,916)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$0.545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(230)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260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June 30,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$ 6,893</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5,040</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10,795</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(208,118)</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 (8,909)</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1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March 31, 2019</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$ 6,417</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(53)</w:t>
            </w: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(205,556)</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6"/>
              </w:rPr>
              <w:t>$ (8,440)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$0.5125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(217)</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(1,314)</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2"/>
        </w:trPr>
        <w:tc>
          <w:tcPr>
            <w:tcW w:w="260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June 30,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$ 6,467</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4,962</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10,088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(206,482)</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 (8,568)</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CONDENSED CONSOLIDATED STATEMENT OF CHANGES IN EQUITY ─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3"/>
          </w:tcPr>
          <w:p>
            <w:pPr>
              <w:ind w:left="200"/>
              <w:spacing w:after="0"/>
              <w:rPr>
                <w:sz w:val="20"/>
                <w:szCs w:val="20"/>
                <w:color w:val="auto"/>
              </w:rPr>
            </w:pPr>
            <w:r>
              <w:rPr>
                <w:rFonts w:ascii="Arial" w:cs="Arial" w:eastAsia="Arial" w:hAnsi="Arial"/>
                <w:sz w:val="13"/>
                <w:szCs w:val="13"/>
                <w:b w:val="1"/>
                <w:bCs w:val="1"/>
                <w:color w:val="auto"/>
              </w:rPr>
              <w:t>Waste Management, Inc. Stockholders’ Equity</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Paid-In</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Comprehensive</w:t>
            </w:r>
          </w:p>
        </w:tc>
        <w:tc>
          <w:tcPr>
            <w:tcW w:w="12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Treasury Stock</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6"/>
              </w:rPr>
              <w:t>Capital</w:t>
            </w:r>
          </w:p>
        </w:tc>
        <w:tc>
          <w:tcPr>
            <w:tcW w:w="62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2"/>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66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1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6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2019</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$ 7,070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10,592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(205,956)</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2"/>
              </w:rPr>
              <w:t>$ (8,571)</w:t>
            </w:r>
          </w:p>
        </w:tc>
        <w:tc>
          <w:tcPr>
            <w:tcW w:w="16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4"/>
          </w:tcPr>
          <w:p>
            <w:pPr>
              <w:ind w:left="20"/>
              <w:spacing w:after="0" w:line="130" w:lineRule="exact"/>
              <w:rPr>
                <w:sz w:val="20"/>
                <w:szCs w:val="20"/>
                <w:color w:val="auto"/>
              </w:rPr>
            </w:pPr>
            <w:r>
              <w:rPr>
                <w:rFonts w:ascii="Arial" w:cs="Arial" w:eastAsia="Arial" w:hAnsi="Arial"/>
                <w:sz w:val="14"/>
                <w:szCs w:val="14"/>
                <w:color w:val="auto"/>
                <w:w w:val="99"/>
              </w:rPr>
              <w:t>Other comprehensive income (loss), net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tax</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$1.09 per</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(466)</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1,523</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(3,687)</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6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$ 6,893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10,795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(208,118)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(8,909)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170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2019</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42"/>
        </w:trPr>
        <w:tc>
          <w:tcPr>
            <w:tcW w:w="26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December 31, 2018</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4"/>
              </w:rPr>
              <w:t>$ 6,276</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4,993</w:t>
            </w:r>
          </w:p>
        </w:tc>
        <w:tc>
          <w:tcPr>
            <w:tcW w:w="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9,797</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(87)</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(206,299)</w:t>
            </w:r>
          </w:p>
        </w:tc>
        <w:tc>
          <w:tcPr>
            <w:tcW w:w="6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2"/>
              </w:rPr>
              <w:t>$ (8,434)</w:t>
            </w:r>
          </w:p>
        </w:tc>
        <w:tc>
          <w:tcPr>
            <w:tcW w:w="160" w:type="dxa"/>
            <w:vAlign w:val="bottom"/>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w:t>
            </w:r>
          </w:p>
        </w:tc>
      </w:tr>
      <w:tr>
        <w:trPr>
          <w:trHeight w:val="148"/>
        </w:trPr>
        <w:tc>
          <w:tcPr>
            <w:tcW w:w="26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60" w:type="dxa"/>
            <w:vAlign w:val="bottom"/>
            <w:gridSpan w:val="4"/>
          </w:tcPr>
          <w:p>
            <w:pPr>
              <w:ind w:left="20"/>
              <w:spacing w:after="0" w:line="130" w:lineRule="exact"/>
              <w:rPr>
                <w:sz w:val="20"/>
                <w:szCs w:val="20"/>
                <w:color w:val="auto"/>
              </w:rPr>
            </w:pPr>
            <w:r>
              <w:rPr>
                <w:rFonts w:ascii="Arial" w:cs="Arial" w:eastAsia="Arial" w:hAnsi="Arial"/>
                <w:sz w:val="14"/>
                <w:szCs w:val="14"/>
                <w:color w:val="auto"/>
                <w:w w:val="99"/>
              </w:rPr>
              <w:t>Other comprehensive income (loss), net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40" w:type="dxa"/>
            <w:vAlign w:val="bottom"/>
            <w:gridSpan w:val="3"/>
          </w:tcPr>
          <w:p>
            <w:pPr>
              <w:ind w:left="120"/>
              <w:spacing w:after="0"/>
              <w:rPr>
                <w:sz w:val="20"/>
                <w:szCs w:val="20"/>
                <w:color w:val="auto"/>
              </w:rPr>
            </w:pPr>
            <w:r>
              <w:rPr>
                <w:rFonts w:ascii="Arial" w:cs="Arial" w:eastAsia="Arial" w:hAnsi="Arial"/>
                <w:sz w:val="14"/>
                <w:szCs w:val="14"/>
                <w:color w:val="auto"/>
              </w:rPr>
              <w:t>tax</w:t>
            </w:r>
          </w:p>
        </w:tc>
        <w:tc>
          <w:tcPr>
            <w:tcW w:w="52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6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$1.025 per</w:t>
            </w: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(440)</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3"/>
              </w:rPr>
              <w:t>Equity-based compensation transactions, net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1,808</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(1,993)</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Other, net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2"/>
        </w:trPr>
        <w:tc>
          <w:tcPr>
            <w:tcW w:w="266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2019</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$ 6,467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10,088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(206,482)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(8,568)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United States (“U.S.”).</w:t>
      </w:r>
    </w:p>
    <w:p>
      <w:pPr>
        <w:spacing w:after="0" w:line="16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6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Condensed Consolidated Financial Statements as of June 30, 2020 and for the three and six months ended June 30, 2020 and 2019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2019.</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June 30, 2020 and December 31, 2019, we had $159 million and $153 million, respectively, of deferred contract costs, of which $117 million at each date was related to deferred sales incentives. During the three and six months ended June 30, 2020, we amortized $6 million and $11 million of sales incentives to selling, general and administrative expense, and $3 million and $5 million of other contract acquisition costs as a reduction in revenue, respectively. During the three and six months ended June 30, 2019, we amortized $6 million and $11 million of sales incentives to selling, general and administrative expense, and $5 million and $11 million of other contract acquisition costs as a reduction in revenue, respectively.</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current or long-term debt in our Condensed Consolidated Balance Sheets, as appropriate.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left="60" w:right="59" w:firstLine="247"/>
        <w:spacing w:after="0" w:line="271" w:lineRule="auto"/>
        <w:rPr>
          <w:sz w:val="20"/>
          <w:szCs w:val="20"/>
          <w:color w:val="auto"/>
        </w:rPr>
      </w:pPr>
      <w:r>
        <w:rPr>
          <w:rFonts w:ascii="Arial" w:cs="Arial" w:eastAsia="Arial" w:hAnsi="Arial"/>
          <w:sz w:val="17"/>
          <w:szCs w:val="17"/>
          <w:i w:val="1"/>
          <w:iCs w:val="1"/>
          <w:color w:val="auto"/>
        </w:rPr>
        <w:t xml:space="preserve">Financial Instruments-Credit Losses </w:t>
      </w:r>
      <w:r>
        <w:rPr>
          <w:rFonts w:ascii="Arial" w:cs="Arial" w:eastAsia="Arial" w:hAnsi="Arial"/>
          <w:sz w:val="17"/>
          <w:szCs w:val="17"/>
          <w:color w:val="auto"/>
        </w:rPr>
        <w:t>— In June 2016, the Financial Accounting Standards Board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Update (“ASU”) 2016-13 associated with the measurement of credit losses on financial instruments. On January 1, 2020, we adopted this ASU using the modified retrospective transition method. The amended guidance replaced the previous incurred loss impairment methodology of recognizing credit losses when a loss is probable, with a methodology that reflects expected credit losses and requires consideration of a broader range of reasonable and supportable information to assess credit loss estimates. This expected loss model generally results in earlier recognition of an allowance for losses. We recognized a net $2 million after tax decrease to retained earnings as of January 1, 2020 for the cumulative impact of adopting the amended guidance.</w:t>
      </w:r>
    </w:p>
    <w:p>
      <w:pPr>
        <w:spacing w:after="0" w:line="178" w:lineRule="exact"/>
        <w:rPr>
          <w:sz w:val="20"/>
          <w:szCs w:val="20"/>
          <w:color w:val="auto"/>
        </w:rPr>
      </w:pPr>
    </w:p>
    <w:p>
      <w:pPr>
        <w:jc w:val="both"/>
        <w:ind w:left="60" w:right="59" w:firstLine="247"/>
        <w:spacing w:after="0" w:line="342" w:lineRule="auto"/>
        <w:rPr>
          <w:sz w:val="20"/>
          <w:szCs w:val="20"/>
          <w:color w:val="auto"/>
        </w:rPr>
      </w:pPr>
      <w:r>
        <w:rPr>
          <w:rFonts w:ascii="Arial" w:cs="Arial" w:eastAsia="Arial" w:hAnsi="Arial"/>
          <w:sz w:val="16"/>
          <w:szCs w:val="16"/>
          <w:color w:val="auto"/>
        </w:rPr>
        <w:t>Our receivables, which are recorded when billed, when services are performed or when cash is advanced, are claims against third parties that will generally be settled in cash. The carrying value of our receivables, net of the allowance 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doubtful accounts, represents the estimated net realizable value.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7" w:lineRule="exact"/>
        <w:rPr>
          <w:sz w:val="20"/>
          <w:szCs w:val="20"/>
          <w:color w:val="auto"/>
        </w:rPr>
      </w:pPr>
    </w:p>
    <w:p>
      <w:pPr>
        <w:jc w:val="both"/>
        <w:ind w:left="60" w:right="59" w:firstLine="247"/>
        <w:spacing w:after="0" w:line="275" w:lineRule="auto"/>
        <w:rPr>
          <w:sz w:val="20"/>
          <w:szCs w:val="20"/>
          <w:color w:val="auto"/>
        </w:rPr>
      </w:pPr>
      <w:r>
        <w:rPr>
          <w:rFonts w:ascii="Arial" w:cs="Arial" w:eastAsia="Arial" w:hAnsi="Arial"/>
          <w:sz w:val="17"/>
          <w:szCs w:val="17"/>
          <w:color w:val="auto"/>
        </w:rPr>
        <w:t>For trade receivables the Company relies upon, among other factors, historical loss trends, the age of outstanding receivables, and existing as well as expected economic conditions. Due to the adoption of ASU 2016-13, we recognized a $1 million pre-tax decrease to our allowance for doubtful accounts on trade receivables. We determined that all of our trade receivables share similar risk characteristics. We monitor our credit exposure on an ongoing basis and assess whether assets in the pool continue to display similar risk characteristics.</w:t>
      </w:r>
    </w:p>
    <w:p>
      <w:pPr>
        <w:spacing w:after="0" w:line="176" w:lineRule="exact"/>
        <w:rPr>
          <w:sz w:val="20"/>
          <w:szCs w:val="20"/>
          <w:color w:val="auto"/>
        </w:rPr>
      </w:pPr>
    </w:p>
    <w:p>
      <w:pPr>
        <w:jc w:val="both"/>
        <w:ind w:left="60" w:right="59" w:firstLine="247"/>
        <w:spacing w:after="0" w:line="293" w:lineRule="auto"/>
        <w:rPr>
          <w:sz w:val="20"/>
          <w:szCs w:val="20"/>
          <w:color w:val="auto"/>
        </w:rPr>
      </w:pPr>
      <w:r>
        <w:rPr>
          <w:rFonts w:ascii="Arial" w:cs="Arial" w:eastAsia="Arial" w:hAnsi="Arial"/>
          <w:sz w:val="16"/>
          <w:szCs w:val="16"/>
          <w:color w:val="auto"/>
        </w:rPr>
        <w:t>In January 2020, a novel strain of coronavirus (“COVID-19”) was declared a Public Health Emergency of International Concern and subsequently declared a global pandemic in March 2020. Throughout the COVID-19 pandemic, the Company has proactively taken steps to put our employees’ and customers’ needs first and we continue to work with the appropriate regulatory agencies to ensure we can provide our essential waste services safely and efficiently. With this in mind, we have extended payment terms and postponed discontinuing service for customers who have been negatively impacted by the COVID-19 pandemic which has contributed to an increase in the aging of outstanding balances.</w:t>
      </w:r>
    </w:p>
    <w:p>
      <w:pPr>
        <w:spacing w:after="0" w:line="164" w:lineRule="exact"/>
        <w:rPr>
          <w:sz w:val="20"/>
          <w:szCs w:val="20"/>
          <w:color w:val="auto"/>
        </w:rPr>
      </w:pPr>
    </w:p>
    <w:p>
      <w:pPr>
        <w:jc w:val="both"/>
        <w:ind w:left="60" w:right="59" w:firstLine="247"/>
        <w:spacing w:after="0" w:line="286" w:lineRule="auto"/>
        <w:rPr>
          <w:sz w:val="20"/>
          <w:szCs w:val="20"/>
          <w:color w:val="auto"/>
        </w:rPr>
      </w:pPr>
      <w:r>
        <w:rPr>
          <w:rFonts w:ascii="Arial" w:cs="Arial" w:eastAsia="Arial" w:hAnsi="Arial"/>
          <w:sz w:val="17"/>
          <w:szCs w:val="17"/>
          <w:color w:val="auto"/>
        </w:rPr>
        <w:t>As of June 30, 2020, we had $1,888 million of trade receivables, net of allowance of $46 million. The allowance for doubtful accounts has increased by $18 million during 2020, largely due to the COVID-19 pandemic. Based on an aging analysis as of June 30, 2020, approximately 85% of our trade receivables were outstanding less than 60 days.</w:t>
      </w:r>
    </w:p>
    <w:p>
      <w:pPr>
        <w:spacing w:after="0" w:line="165" w:lineRule="exact"/>
        <w:rPr>
          <w:sz w:val="20"/>
          <w:szCs w:val="20"/>
          <w:color w:val="auto"/>
        </w:rPr>
      </w:pPr>
    </w:p>
    <w:p>
      <w:pPr>
        <w:jc w:val="both"/>
        <w:ind w:left="60" w:right="79" w:firstLine="247"/>
        <w:spacing w:after="0" w:line="258" w:lineRule="auto"/>
        <w:rPr>
          <w:sz w:val="20"/>
          <w:szCs w:val="20"/>
          <w:color w:val="auto"/>
        </w:rPr>
      </w:pPr>
      <w:r>
        <w:rPr>
          <w:rFonts w:ascii="Arial" w:cs="Arial" w:eastAsia="Arial" w:hAnsi="Arial"/>
          <w:sz w:val="18"/>
          <w:szCs w:val="18"/>
          <w:color w:val="auto"/>
        </w:rPr>
        <w:t>The following table reflects the activity in our allowance for doubtful accounts of trade receivables for the six months ended June 30 (in millions):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Adoption of new accounting standard</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charged to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Accounts written-off, net of recoveries</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 divestitures and other, net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Balance as of June 30,</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For other receivables as well as loans and other instruments, the Company relies primarily on credit ratings and associated default rates based on the maturity of the instrument. All receivables, as well as other instruments, are adjusted for our expectation of future market conditions and trends. Due to the adoption of ASU 2016-13, we recognized a $4 million pre-tax increase to our allowance for doubtful accounts on notes and other receivables. As of June 30, 2020, we had $386 million of notes and other receivables, net of allowance of $4 million. Based on an aging analysis as of June 30, 2020, approximately 55% of our other receivables were due within 12 months or less.</w:t>
      </w:r>
    </w:p>
    <w:p>
      <w:pPr>
        <w:spacing w:after="0" w:line="17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Implementation Costs Incurred in a Cloud Computing Arrangement </w:t>
      </w:r>
      <w:r>
        <w:rPr>
          <w:rFonts w:ascii="Arial" w:cs="Arial" w:eastAsia="Arial" w:hAnsi="Arial"/>
          <w:sz w:val="16"/>
          <w:szCs w:val="16"/>
          <w:color w:val="auto"/>
        </w:rPr>
        <w:t>— In August 2018, the FASB issued ASU 2018-15 associated with a customer’s accounting for implementation costs incurred in a cloud computing arrangement that is a service contract. The amendments align the requirements for capitalizing implementation costs incurred in a hosting arrangement that is a service contract with the requirements for capitalizing implementation costs incurred to develop or obtain internal-use software. Costs for implementation activities in the application development stage are capitalized as prepayments depending on the nature of the costs, while costs incurred during the preliminary project and post-implementation stages are expensed as the activities are performed. The Company adopted this amended guidance on January 1, 2020 prospectively, and it did not have a material impact on our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Guarantor Financial Information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March 2020, the SEC adopted final rules that simplify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related to certain registered securities under SEC Regulation S-X, Rules 3-10 and 3-16, permitting registrants to provide certain alternative financial disclosures and non-financial disclosures in lieu of separate consolidating financial statements for subsidiary issuers and guarantors of registered debt securities (which we previously included within the notes to our financial statements included in our Annual Reports on Form 10-K and Quarterly Reports on Form 10-Q) if certain conditions are met. The disclosure requirements, as amended, are now located in newly-created Rules 13-01 and 13-02 of Regulation S-X and are generally effective for filings on or after January 4, 2021, with early adoption permitted. We early adopted the new disclosure requirements effective as of April 1, 2020 and are providing the summarized financial information and related disclosures in Item 2.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w:t>
      </w:r>
      <w:r>
        <w:rPr>
          <w:rFonts w:ascii="Arial" w:cs="Arial" w:eastAsia="Arial" w:hAnsi="Arial"/>
          <w:sz w:val="17"/>
          <w:szCs w:val="17"/>
          <w:color w:val="auto"/>
        </w:rPr>
        <w:t>in this Form 10-Q.</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166"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0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2020 are reflected in the table below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5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(i) a $10 million increase in estimated construction costs for capping at certain landfills and (ii) an increase of $8 million due to a business decision to close one of our landfills, which resulted in the acceleration of the expected timing of capping, closure and post-closure activities. This business decision also resulted in an impairment that is discussed in Note 9.</w:t>
      </w:r>
    </w:p>
    <w:p>
      <w:pPr>
        <w:spacing w:after="0" w:line="78"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environmental remediation liabilities includes an increase of $12 million due to a decrease in the risk-free discount rate used to measure our liabilities from 1.75% at December 31, 2019 to 0.75% at June 30, 2020.</w:t>
      </w:r>
    </w:p>
    <w:p>
      <w:pPr>
        <w:spacing w:after="0" w:line="184"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At several of our landfills, we provide financial assurance by depositing cash into restricted trust funds or escrow accounts for purposes of settling final capping, closure, post-closure and environmental remediation obligations.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Generally, these trust funds are established to comply with statutory requirements and operating agreements. See Note 13 for additional information related to these trusts.</w:t>
      </w:r>
    </w:p>
    <w:p>
      <w:pPr>
        <w:spacing w:after="0" w:line="166"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Interest Rate Derivatives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June 30, 2020:</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182"/>
        </w:trPr>
        <w:tc>
          <w:tcPr>
            <w:tcW w:w="6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Senior notes, maturing through 2049, interest rates ranging from 2.4% to 7.75% (weighted</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interest rate of 3.9% as of June 30, 2020 and December 31, 2019)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w w:val="98"/>
              </w:rPr>
              <w:t>Canadian senior notes, C$500 million maturing September 2026, interest rate of 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0.1% to 4.3% (weighted average interest rate of 2.1% as of June 30, 2020 and 2.3% as of</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w w:val="91"/>
              </w:rPr>
              <w:t>Financing leases and other, maturing through 2071, weighted average interest rate of 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13,498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0"/>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May 2019 Senior Notes — </w:t>
      </w:r>
      <w:r>
        <w:rPr>
          <w:rFonts w:ascii="Arial" w:cs="Arial" w:eastAsia="Arial" w:hAnsi="Arial"/>
          <w:sz w:val="17"/>
          <w:szCs w:val="17"/>
          <w:color w:val="auto"/>
        </w:rPr>
        <w:t>As of June 30, 2020, we had $3.0 billion of senior notes due 2024, 2026, 2029 and 2039</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special mandatory redemption feature (the “SMR Notes”). The SMR Notes were issued in May 2019 with the intention of paying a portion of the consideration related to our pending acquisition of Advanced Disposal Services, Inc. (“Advanced Disposal”), which is discussed further in Note 8. Pursuant to the terms of the SMR Notes, we were required to redeem all of such outstanding notes equal to 101% of the aggregate principal amounts of such notes, plus accrued but unpaid interest, as a result of the acquisition not being completed by July 14, 2020. Accordingly, on July 15, 2020, the Company provided notice of the special mandatory redemption, and the redemption was completed on July 20, 2020. As of June 30, 2020, we classified the SMR Notes, net of $22 million of related unamortized discounts and deferred issuance costs, as current obligations.</w:t>
      </w:r>
    </w:p>
    <w:p>
      <w:pPr>
        <w:spacing w:after="0" w:line="18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Other Debt — </w:t>
      </w:r>
      <w:r>
        <w:rPr>
          <w:rFonts w:ascii="Arial" w:cs="Arial" w:eastAsia="Arial" w:hAnsi="Arial"/>
          <w:sz w:val="16"/>
          <w:szCs w:val="16"/>
          <w:color w:val="auto"/>
        </w:rPr>
        <w:t>As of June 30, 2020, in addition to the SMR Notes, net of $22 million of related unamortized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and deferred issuance costs, discussed above, we had $1.3 billion of debt maturing within the next 12 months, including</w:t>
      </w:r>
    </w:p>
    <w:p>
      <w:pPr>
        <w:jc w:val="both"/>
        <w:ind w:left="60" w:right="59" w:hanging="10"/>
        <w:spacing w:after="0" w:line="269" w:lineRule="auto"/>
        <w:tabs>
          <w:tab w:leader="none" w:pos="278" w:val="left"/>
        </w:tabs>
        <w:numPr>
          <w:ilvl w:val="0"/>
          <w:numId w:val="6"/>
        </w:numPr>
        <w:rPr>
          <w:rFonts w:ascii="Arial" w:cs="Arial" w:eastAsia="Arial" w:hAnsi="Arial"/>
          <w:sz w:val="17"/>
          <w:szCs w:val="17"/>
          <w:color w:val="auto"/>
        </w:rPr>
      </w:pPr>
      <w:r>
        <w:rPr>
          <w:rFonts w:ascii="Arial" w:cs="Arial" w:eastAsia="Arial" w:hAnsi="Arial"/>
          <w:sz w:val="17"/>
          <w:szCs w:val="17"/>
          <w:color w:val="auto"/>
        </w:rPr>
        <w:t>$400 million of 4.60% senior notes that mature in March 2021; (ii) $734 million of tax-exempt bonds with term interest rate periods that expire within the next 12 months, which is prior to their scheduled maturities, and (iii) $212 million of other debt with scheduled maturities within the next 12 months, including $106 million of tax-exempt bonds. As of June 30, 2020, we have classified $1.1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$212 million is classified as current obligations.</w:t>
      </w:r>
    </w:p>
    <w:p>
      <w:pPr>
        <w:spacing w:after="0" w:line="18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of June 30, 2020, we also had $108 million of variable-rate tax-exempt bonds with long-term scheduled maturities supported by letters of credit under our $3.5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agent can put the bonds to us. In the event of a failed remarketing, we have the availability under our $3.5 billion revolving credit facility to fund these bonds until they are remarketed successfully. Accordingly, we have classified the $108 million of variable-rate tax-exempt bonds with maturities of more than one year as long-term in our Condensed Consolidated Balance Sheet as of June 30, 2020.</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$3.5 Billion Revolving Credit Facility — </w:t>
      </w:r>
      <w:r>
        <w:rPr>
          <w:rFonts w:ascii="Arial" w:cs="Arial" w:eastAsia="Arial" w:hAnsi="Arial"/>
          <w:sz w:val="16"/>
          <w:szCs w:val="16"/>
          <w:color w:val="auto"/>
        </w:rPr>
        <w:t>Our $3.5 billion revolving credit facility provides us with credit capacity to</w:t>
      </w:r>
      <w:r>
        <w:rPr>
          <w:rFonts w:ascii="Arial" w:cs="Arial" w:eastAsia="Arial" w:hAnsi="Arial"/>
          <w:sz w:val="16"/>
          <w:szCs w:val="16"/>
          <w:i w:val="1"/>
          <w:iCs w:val="1"/>
          <w:color w:val="auto"/>
        </w:rPr>
        <w:t xml:space="preserve"> </w:t>
      </w:r>
      <w:r>
        <w:rPr>
          <w:rFonts w:ascii="Arial" w:cs="Arial" w:eastAsia="Arial" w:hAnsi="Arial"/>
          <w:sz w:val="16"/>
          <w:szCs w:val="16"/>
          <w:color w:val="auto"/>
        </w:rPr>
        <w:t>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June 30, 2020, we had no outstanding borrowings under this facility. We had $362 million of letters of credit issued which were supported by this facility, leaving unused and available credit capacity of $3.1 billion as of June 30, 2020. WM Holdings, a wholly-owned subsidiary of WM, guarantees all of the obligations under the $3.5 billion revolving credit facility.</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w:t>
      </w:r>
      <w:r>
        <w:rPr>
          <w:rFonts w:ascii="Arial" w:cs="Arial" w:eastAsia="Arial" w:hAnsi="Arial"/>
          <w:sz w:val="18"/>
          <w:szCs w:val="18"/>
          <w:i w:val="1"/>
          <w:iCs w:val="1"/>
          <w:color w:val="auto"/>
        </w:rPr>
        <w:t xml:space="preserve"> </w:t>
      </w:r>
      <w:r>
        <w:rPr>
          <w:rFonts w:ascii="Arial" w:cs="Arial" w:eastAsia="Arial" w:hAnsi="Arial"/>
          <w:sz w:val="18"/>
          <w:szCs w:val="18"/>
          <w:color w:val="auto"/>
        </w:rPr>
        <w:t>397 days at competitive interest rates. The rates we pay for outstanding borrowings are based on the term of the notes. The commercial paper program is fully supported by our $3.5 billion revolving credit facility. As of June 30, 2020, we had no outstanding borrowings under our commercial paper program.</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June 30, 2020, we utilized $528 million of other letter of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both committed and uncommitted, with terms maturing through June 2021.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During the six months ended June 30, 2020, we repaid $600 million of 4.75% senior notes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matured in June 2020 with available cash.</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Canadian Senior Notes </w:t>
      </w:r>
      <w:r>
        <w:rPr>
          <w:rFonts w:ascii="Arial" w:cs="Arial" w:eastAsia="Arial" w:hAnsi="Arial"/>
          <w:sz w:val="18"/>
          <w:szCs w:val="18"/>
          <w:color w:val="auto"/>
        </w:rPr>
        <w:t>— The $17 million decrease during the six months ended June 30, 2020 is due to decreases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Canadian currency translation rate.</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six months ended June 30, 2020, we repaid $52 million of our tax-exempt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available cash.</w:t>
      </w:r>
    </w:p>
    <w:p>
      <w:pPr>
        <w:spacing w:after="0" w:line="170"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Financing Leases and Other </w:t>
      </w:r>
      <w:r>
        <w:rPr>
          <w:rFonts w:ascii="Arial" w:cs="Arial" w:eastAsia="Arial" w:hAnsi="Arial"/>
          <w:sz w:val="17"/>
          <w:szCs w:val="17"/>
          <w:color w:val="auto"/>
        </w:rPr>
        <w:t>— The decrease during the six months ended June 30, 2020 is due to $53 million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repayments primarily related to our federal low-income housing investments, financing leases and other obligations, partially offset by an increase of $7 million associated with non-cash financing arrangements.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225" w:lineRule="exact"/>
        <w:rPr>
          <w:sz w:val="20"/>
          <w:szCs w:val="20"/>
          <w:color w:val="auto"/>
        </w:rPr>
      </w:pPr>
    </w:p>
    <w:p>
      <w:pPr>
        <w:jc w:val="both"/>
        <w:ind w:left="60" w:right="59" w:firstLine="259"/>
        <w:spacing w:after="0" w:line="291" w:lineRule="auto"/>
        <w:rPr>
          <w:sz w:val="20"/>
          <w:szCs w:val="20"/>
          <w:color w:val="auto"/>
        </w:rPr>
      </w:pPr>
      <w:r>
        <w:rPr>
          <w:rFonts w:ascii="Arial" w:cs="Arial" w:eastAsia="Arial" w:hAnsi="Arial"/>
          <w:sz w:val="16"/>
          <w:szCs w:val="16"/>
          <w:color w:val="auto"/>
        </w:rPr>
        <w:t>During the first half of 2020, we entered into treasury rate locks with a total notional value of $400 million to secure an underlying interest rate in anticipation of a debt issuance previously anticipated in the second quarter of 2020. We designated our treasury locks as cash flow hedges. In June 2020, we terminated these treasury rate locks and upon termination received $1 million in cash. We are now evaluating a potential debt issuance to occur during the second half of the year, subject to market conditions and other considerations. As we currently believe that a debt issuance in 2020 is still probable to occur, the gain associated with these treasury rate locks has been deferred as a component of “Accumulated other comprehensive income” and will be amortized to interest expense over the debt term once the issuance occurs.</w:t>
      </w:r>
    </w:p>
    <w:p>
      <w:pPr>
        <w:spacing w:after="0" w:line="166" w:lineRule="exact"/>
        <w:rPr>
          <w:sz w:val="20"/>
          <w:szCs w:val="20"/>
          <w:color w:val="auto"/>
        </w:rPr>
      </w:pPr>
    </w:p>
    <w:p>
      <w:pPr>
        <w:jc w:val="both"/>
        <w:ind w:left="60" w:right="79" w:firstLine="259"/>
        <w:spacing w:after="0" w:line="342" w:lineRule="auto"/>
        <w:rPr>
          <w:sz w:val="20"/>
          <w:szCs w:val="20"/>
          <w:color w:val="auto"/>
        </w:rPr>
      </w:pPr>
      <w:r>
        <w:rPr>
          <w:rFonts w:ascii="Arial" w:cs="Arial" w:eastAsia="Arial" w:hAnsi="Arial"/>
          <w:sz w:val="16"/>
          <w:szCs w:val="16"/>
          <w:color w:val="auto"/>
        </w:rPr>
        <w:t>All financial statement impacts associated with these financial hedges were immaterial as of and for the three and six months ended June 30, 2020. There was no significant ineffectiveness associated with our cash flow hedges during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three or six months ended June 30, 2020. Refer to Note 10 for information regarding the impacts of our cash flow derivatives on our comprehensive income and results of operations.</w:t>
      </w:r>
    </w:p>
    <w:p>
      <w:pPr>
        <w:spacing w:after="0" w:line="166"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effective income tax rate was 22.2% and 19.5% for the three and six months ended June 30, 2020, respectively, compared with 23.3% and 24.0% for the three and six months ended June 30, 2019, respectively. The decrease in our effective income tax rate when comparing the current and prior year periods was primarily driven by (i) a decrease in pre-tax income in 2020, which increased the effective tax rate impact of our federal tax credits, and to a lesser extent;</w:t>
      </w:r>
    </w:p>
    <w:p>
      <w:pPr>
        <w:spacing w:after="0" w:line="1" w:lineRule="exact"/>
        <w:rPr>
          <w:sz w:val="20"/>
          <w:szCs w:val="20"/>
          <w:color w:val="auto"/>
        </w:rPr>
      </w:pPr>
    </w:p>
    <w:p>
      <w:pPr>
        <w:jc w:val="both"/>
        <w:ind w:left="60" w:right="59" w:hanging="10"/>
        <w:spacing w:after="0" w:line="253" w:lineRule="auto"/>
        <w:tabs>
          <w:tab w:leader="none" w:pos="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$52 million non-cash impairment charge recognized in 2019 that was not deductible for tax purposes and (iii) excess tax benefits associated with equity-based compensation, which were slightly higher in 2020 than in the prior year. These items are discussed further below. We evaluate our effective income tax rate at each interim period and adjust it as facts and circumstances warrant.</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owns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9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three and six months ended June 30, 2020, we recognized $17 million and $43 million (including the $7 million impairment of the refined coal facility noted above for the six-month period) of net losses and a reduction in our income tax expense of $17 million and $41 million, respectively, primarily due to tax credits realized from these investments. In addition, during the three and six months ended June 30, 2020, we recognized interest expense of $3 million and $6 million, respectively, associated with our investments in low-income housing properties.</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During the three and six months ended June 30, 2019, we recognized $12 million and $21 million of net losses and a reduction in our income tax expense of $18 million and $33 million, respectively, primarily due to tax credits realized from these investments. In addition, during the three and six months ended June 30, 2019, we recognized interest expense of $2 million and $4 million, respectively, associated with our investments in low-income housing properties.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13 for additional information related to these unconsolidated variable interest entities.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2020, we recognized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$2 million and $23 million, respectively, for excess tax benefits related to the vesting or exercise of equity-based compensation awards compared with $5 million and $17 million, respectively, for the comparable prior year periods.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We recognized a $52 million non-cash impairment charge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which was not deductible for tax purposes. The non-cash impairment charges recognized during the three and six months ended June 30, 2020 are deductible for tax purposes. See Note 9 for additional information related to the impairments.</w:t>
      </w:r>
    </w:p>
    <w:p>
      <w:pPr>
        <w:spacing w:after="0" w:line="18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Recent Legislation </w:t>
      </w:r>
      <w:r>
        <w:rPr>
          <w:rFonts w:ascii="Arial" w:cs="Arial" w:eastAsia="Arial" w:hAnsi="Arial"/>
          <w:sz w:val="16"/>
          <w:szCs w:val="16"/>
          <w:color w:val="auto"/>
        </w:rPr>
        <w:t>— On March 27, 2020, the Coronavirus Aid, Relief, and Economic Security Act (the “CARES</w:t>
      </w:r>
      <w:r>
        <w:rPr>
          <w:rFonts w:ascii="Arial" w:cs="Arial" w:eastAsia="Arial" w:hAnsi="Arial"/>
          <w:sz w:val="16"/>
          <w:szCs w:val="16"/>
          <w:i w:val="1"/>
          <w:iCs w:val="1"/>
          <w:color w:val="auto"/>
        </w:rPr>
        <w:t xml:space="preserve"> </w:t>
      </w:r>
      <w:r>
        <w:rPr>
          <w:rFonts w:ascii="Arial" w:cs="Arial" w:eastAsia="Arial" w:hAnsi="Arial"/>
          <w:sz w:val="16"/>
          <w:szCs w:val="16"/>
          <w:color w:val="auto"/>
        </w:rPr>
        <w:t>Act”) was enacted in response to the COVID-19 pandemic. The CARES Act contains numerous income tax provisions,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none of which directly affected our income tax expense for the three and six months ended June 30, 2020 or are expected to have a material impact on our income tax expense in future reporting periods. The Company is evaluating the impact of the CARES Act and expects to benefit from the deferral of certain payroll taxes through the end of calendar year 2020.</w:t>
      </w:r>
    </w:p>
    <w:p>
      <w:pPr>
        <w:spacing w:after="0" w:line="145"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423.8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424.8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424.6</w:t>
            </w:r>
          </w:p>
        </w:tc>
        <w:tc>
          <w:tcPr>
            <w:tcW w:w="0" w:type="dxa"/>
            <w:vAlign w:val="bottom"/>
          </w:tcPr>
          <w:p>
            <w:pPr>
              <w:spacing w:after="0"/>
              <w:rPr>
                <w:sz w:val="1"/>
                <w:szCs w:val="1"/>
                <w:color w:val="auto"/>
              </w:rPr>
            </w:pPr>
          </w:p>
        </w:tc>
      </w:tr>
      <w:tr>
        <w:trPr>
          <w:trHeight w:val="202"/>
        </w:trPr>
        <w:tc>
          <w:tcPr>
            <w:tcW w:w="582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equity-based compensation awards and other</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contingently issuable 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427.5</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as a result of COVID-19 or other economic factors. In an ongoing effort to mitigate risks of future cost increases and reductions in available capacity, we continue to evaluate various options to access cost-effective sources of financial assurance.</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of June 30, 2020, we have guaranteed the obligations and certain performance requirements of third parties in connection with both consolidated and unconsolidated entities, including guarantees to cover certain market value losses for certain properties adjacent to or near 18 of our landfills. Additionally, in connection with the divestiture of our Wheelabrator business in 2014, we agreed to continue providing guarantees of certain of its operational and financial performance obligations. During the second quarter of 2020, we were released from the last outstanding guarantee and all outstanding guarantees have now been returned, replaced or expired by their terms.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$242 million recorded in the Condensed Consolidated Balance Sheet as of June 30, 2020.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4"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As of June 30, 2020,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June 30, 2020 and December 31, 2019, the recorded liability for MIMC’s estimated potential share of the EPA’s proposed remedy and related costs was $56 million. MIMC’s ultimate liability could be materially different from current estimates.</w:t>
      </w:r>
    </w:p>
    <w:p>
      <w:pPr>
        <w:spacing w:after="0" w:line="18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w:t>
      </w:r>
    </w:p>
    <w:p>
      <w:pPr>
        <w:spacing w:after="0" w:line="171" w:lineRule="exact"/>
        <w:rPr>
          <w:sz w:val="20"/>
          <w:szCs w:val="20"/>
          <w:color w:val="auto"/>
        </w:rPr>
      </w:pPr>
    </w:p>
    <w:p>
      <w:pPr>
        <w:jc w:val="both"/>
        <w:ind w:left="380" w:right="59" w:firstLine="324"/>
        <w:spacing w:after="0" w:line="272"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and Recovery Act concerning acceptance of certain waste that was not permitted to be disposed of at the Metro Recycling &amp; Disposal Facility in Franklin, Wisconsin. The parties have agreed to resolve this matter through payment of a penalty, implementation of additional monitoring activities and revisions to waste acceptance protocols at the facility. The related Consent Decree is expected to become final in the third quarter of 2020. The outcome of this matter will not be material to the Company’s business, financial condition, results of operations or cash flows.</w:t>
      </w:r>
    </w:p>
    <w:p>
      <w:pPr>
        <w:spacing w:after="0" w:line="177" w:lineRule="exact"/>
        <w:rPr>
          <w:sz w:val="20"/>
          <w:szCs w:val="20"/>
          <w:color w:val="auto"/>
        </w:rPr>
      </w:pPr>
    </w:p>
    <w:p>
      <w:pPr>
        <w:jc w:val="both"/>
        <w:ind w:left="380" w:right="59" w:firstLine="324"/>
        <w:spacing w:after="0" w:line="254" w:lineRule="auto"/>
        <w:rPr>
          <w:sz w:val="20"/>
          <w:szCs w:val="20"/>
          <w:color w:val="auto"/>
        </w:rPr>
      </w:pPr>
      <w:r>
        <w:rPr>
          <w:rFonts w:ascii="Arial" w:cs="Arial" w:eastAsia="Arial" w:hAnsi="Arial"/>
          <w:sz w:val="18"/>
          <w:szCs w:val="18"/>
          <w:color w:val="auto"/>
        </w:rPr>
        <w:t>On November 25, 2019, the Georgia Department of Natural Resources, Environmental Protection Division, issued an NOV to Waste Management of Metro Atlanta, Inc., an indirect wholly-owned subsidiary of WM. The NOV alleges violations of Georgia environmental statutes and the related permits for Pine Bluff Landfill resulting from slope stability concerns at the landfill that are being remediated. On June 11, 2020, the parties resolved the matter through a Consent Order requiring payment of a penalty and the implementation of additional corrective actions, monitoring and reporting at the landfill. The outcome of this matter is not material to the Company’s business, financial condition, results of operations or cash flows.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186"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We do not believe that any future liability relating to our past or current participation in, or withdrawals from, the Multiemployer Pension Plans to which we contribute will have a material adverse effect on our business, financial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Tax Matters — </w:t>
      </w:r>
      <w:r>
        <w:rPr>
          <w:rFonts w:ascii="Arial" w:cs="Arial" w:eastAsia="Arial" w:hAnsi="Arial"/>
          <w:sz w:val="18"/>
          <w:szCs w:val="18"/>
          <w:color w:val="auto"/>
        </w:rPr>
        <w:t>We participate in the IRS’s Compliance Assurance Process, which means we work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through 2020 tax years and expect these audits to be completed within the next 21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8"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the fourth quarter of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divestitures, business mix and the economic climate of various geographies. As a result, we reclassified Western Canada from Tier 1 to Tier 2 and Northern California from Tier 3 to Tier 2. Reclassifications have been made to our prior period condensed consolidated financial information to conform to the current year presentation.</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the Southern California Area and the Florida Area, and also includes the New England Area and the tri-state Area of Michigan, Indiana and Ohio. Tier 2 includes California, Canada, and the Wisconsin and Minnesota Area. Tier 3 encompasses all the remaining operations including the Pacific Northwest, the Mid-Atlantic region of the U.S., the Florida Area, and the Illinois and Missouri Valley Area.</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Operating</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Revenues(c)</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Operations(d)</w:t>
            </w: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Three Months Ended June 30:</w:t>
            </w:r>
          </w:p>
        </w:tc>
        <w:tc>
          <w:tcPr>
            <w:tcW w:w="20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200" w:type="dxa"/>
            <w:vAlign w:val="bottom"/>
            <w:gridSpan w:val="2"/>
          </w:tcPr>
          <w:p>
            <w:pPr>
              <w:ind w:left="2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1,147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Other (a)</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Corporate and Other (b)</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0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Solid Waste: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3,396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3,946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3,946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80" w:type="dxa"/>
            <w:vAlign w:val="bottom"/>
            <w:vMerge w:val="restart"/>
          </w:tcPr>
          <w:p>
            <w:pPr>
              <w:jc w:val="right"/>
              <w:ind w:right="7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Operating</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Revenues(c)</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Operations(d)</w:t>
            </w:r>
          </w:p>
        </w:tc>
      </w:tr>
      <w:tr>
        <w:trPr>
          <w:trHeight w:val="156"/>
        </w:trPr>
        <w:tc>
          <w:tcPr>
            <w:tcW w:w="544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2,921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2,370</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7,290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440" w:type="dxa"/>
            <w:vAlign w:val="bottom"/>
            <w:gridSpan w:val="4"/>
          </w:tcPr>
          <w:p>
            <w:pPr>
              <w:ind w:left="20"/>
              <w:spacing w:after="0"/>
              <w:rPr>
                <w:sz w:val="20"/>
                <w:szCs w:val="20"/>
                <w:color w:val="auto"/>
              </w:rPr>
            </w:pPr>
            <w:r>
              <w:rPr>
                <w:rFonts w:ascii="Arial" w:cs="Arial" w:eastAsia="Arial" w:hAnsi="Arial"/>
                <w:sz w:val="18"/>
                <w:szCs w:val="18"/>
                <w:color w:val="auto"/>
              </w:rPr>
              <w:t>Solid Waste: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16"/>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Tier 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shd w:val="clear" w:color="auto" w:fill="CCEEFF"/>
          </w:tcPr>
          <w:p>
            <w:pPr>
              <w:spacing w:after="0"/>
              <w:rPr>
                <w:sz w:val="18"/>
                <w:szCs w:val="18"/>
                <w:color w:val="auto"/>
              </w:rPr>
            </w:pPr>
          </w:p>
        </w:tc>
        <w:tc>
          <w:tcPr>
            <w:tcW w:w="5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0"/>
        </w:trPr>
        <w:tc>
          <w:tcPr>
            <w:tcW w:w="20" w:type="dxa"/>
            <w:vAlign w:val="bottom"/>
          </w:tcPr>
          <w:p>
            <w:pPr>
              <w:spacing w:after="0"/>
              <w:rPr>
                <w:sz w:val="18"/>
                <w:szCs w:val="18"/>
                <w:color w:val="auto"/>
              </w:rPr>
            </w:pPr>
          </w:p>
        </w:tc>
        <w:tc>
          <w:tcPr>
            <w:tcW w:w="5420" w:type="dxa"/>
            <w:vAlign w:val="bottom"/>
            <w:gridSpan w:val="3"/>
          </w:tcPr>
          <w:p>
            <w:pPr>
              <w:ind w:left="320"/>
              <w:spacing w:after="0"/>
              <w:rPr>
                <w:sz w:val="20"/>
                <w:szCs w:val="20"/>
                <w:color w:val="auto"/>
              </w:rPr>
            </w:pPr>
            <w:r>
              <w:rPr>
                <w:rFonts w:ascii="Arial" w:cs="Arial" w:eastAsia="Arial" w:hAnsi="Arial"/>
                <w:sz w:val="18"/>
                <w:szCs w:val="18"/>
                <w:color w:val="auto"/>
              </w:rPr>
              <w:t>Solid Waste</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6,535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9"/>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7,642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r>
      <w:tr>
        <w:trPr>
          <w:trHeight w:val="216"/>
        </w:trPr>
        <w:tc>
          <w:tcPr>
            <w:tcW w:w="5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10"/>
        </w:trPr>
        <w:tc>
          <w:tcPr>
            <w:tcW w:w="20" w:type="dxa"/>
            <w:vAlign w:val="bottom"/>
          </w:tcPr>
          <w:p>
            <w:pPr>
              <w:spacing w:after="0"/>
              <w:rPr>
                <w:sz w:val="18"/>
                <w:szCs w:val="18"/>
                <w:color w:val="auto"/>
              </w:rPr>
            </w:pP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7,642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73"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(i) our Strategic Business Solutions (“WMSBS”) organization; (ii) those elements of our landfill gas-to-energy operations and third-party subcontract and administration revenues managed by our Energy and Environmental Services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jc w:val="both"/>
        <w:ind w:left="380" w:right="79" w:hanging="330"/>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84"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jc w:val="both"/>
        <w:ind w:left="380" w:right="79" w:hanging="330"/>
        <w:spacing w:after="0" w:line="293"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59"/>
        <w:spacing w:after="0" w:line="279" w:lineRule="auto"/>
        <w:rPr>
          <w:sz w:val="20"/>
          <w:szCs w:val="20"/>
          <w:color w:val="auto"/>
        </w:rPr>
      </w:pPr>
      <w:r>
        <w:rPr>
          <w:rFonts w:ascii="Arial" w:cs="Arial" w:eastAsia="Arial" w:hAnsi="Arial"/>
          <w:sz w:val="17"/>
          <w:szCs w:val="17"/>
          <w:color w:val="auto"/>
        </w:rPr>
        <w:t>In the second quarter of 2020, we recognized $61 million of non-cash impairment charges, including $41 million related to our energy services assets in our Tier 1 segment. Refer to Note 9 for additional information. Our 2020 operating results were also negatively impacted by revenue declines in our landfill, industrial and commercial collection businesses beginning in March 2020 as a result of the COVID-19 pandemic.</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4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16"/>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1,887</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(1,590)</w:t>
            </w:r>
          </w:p>
        </w:tc>
      </w:tr>
      <w:tr>
        <w:trPr>
          <w:trHeight w:val="210"/>
        </w:trPr>
        <w:tc>
          <w:tcPr>
            <w:tcW w:w="57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0"/>
        </w:trPr>
        <w:tc>
          <w:tcPr>
            <w:tcW w:w="2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Typically, our revenues and income from operations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w:t>
      </w:r>
    </w:p>
    <w:p>
      <w:pPr>
        <w:spacing w:after="0" w:line="16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2020 operating results were negatively impacted by COVID-19, as volumes declined beginning in March 2020 and continued through the second quarter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 For customers negatively impacted by the COVID-19 pandemic, we have proactively waived and suspended certain ancillary service charges, deferred certain annual price increases, extended payment terms and adjusted customer service levels. Additionally, for qualifying small and medium businesses, we have provided customers with one-month of free service upon re-opening. While the customer-centric steps have also contributed to this revenue decline, these impacts have been relatively immaterial.</w:t>
      </w:r>
    </w:p>
    <w:p>
      <w:pPr>
        <w:spacing w:after="0" w:line="18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7"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Advanced Disposal </w:t>
      </w:r>
      <w:r>
        <w:rPr>
          <w:rFonts w:ascii="Arial" w:cs="Arial" w:eastAsia="Arial" w:hAnsi="Arial"/>
          <w:sz w:val="17"/>
          <w:szCs w:val="17"/>
          <w:color w:val="auto"/>
        </w:rPr>
        <w:t>— On April 14, 2019, we entered into an Agreement and Plan of Merger to acquire all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Advanced Disposal for $33.15 per share in cash, representing a total enterprise value at the time of $4.9 billion when including approximately $1.9 billion of Advanced Disposal’s net debt. On June 24, 2020, we entered into an amendment to the Agreement and Plan of Merger (as amended, the “Merger Agreement”), pursuant to which a subsidiary of WM will acquire all outstanding shares of Advanced Disposal for $30.30 per share in cash, representing a total enterprise value of $4.6 billion when including approximately $1.8 billion of Advanced Disposal’s net debt. Advanced Disposal’s solid waste network includes 95 collection operations, 73 transfer stations, 41 owned or operated landfills and 22 owned or operated recycling facilities. We currently expect the acquisition to close by the end of the third quarter of 2020. The Merger Agreement provides that the Company and Advanced Disposal will have a mutual right to terminate the Merger Agreement after September 30, 2020 if the closing has not occurred, and that date will automatically extend to November 30, 2020 under certain circumstances.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June 24, 2020, we also announced that we and Advanced Disposal have entered into an agreement, whereby GFL Environmental will acquire a combination of assets from us and Advanced Disposal for $835 million to address substantially all of the divestitures expected to be required by the U.S. Department of Justice in connection with the Advanced Disposal acquisition. As with the Advanced Disposal acquisition, the sale of assets to GFL Environmental remains subject to clearance from the U.S. Department of Justice and is also conditioned on the closing of our acquisition of Advanced Disposal.</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2019 Acquisition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Petro Waste Environmental LP (“Petro Waste”) </w:t>
      </w:r>
      <w:r>
        <w:rPr>
          <w:rFonts w:ascii="Arial" w:cs="Arial" w:eastAsia="Arial" w:hAnsi="Arial"/>
          <w:sz w:val="18"/>
          <w:szCs w:val="18"/>
          <w:color w:val="auto"/>
        </w:rPr>
        <w:t>— On March 8, 2019, Waste Management Energy Services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LLC, an indirect wholly-owned subsidiary of WM, acquired Petro Waste. The acquired business provides comprehensive oilfield environmental services and solid waste disposal facilities in the Permian Basin and the Eagle Ford Shale. The acquisition has expanded our offerings and enhanced the quality of solid waste disposal services for oil and gas exploration and production operations in Texas. Our purchase price was primarily allocated to seven landfills, which are included in our property and equipment.</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acquisition was funded with borrowings under our commercial paper program and the acquisition accounting for this transaction was finalized in 2019. The operating results of the acquired business did not have a material impact to our consolidated financial statements for the periods presented herein. Given the significant change in energy market dynamics from the time of the acquisition, we have seen a decline in the fair value of certain of these assets from the time of acquisition. The impairment recognized during the three months ended June 30, 2020 is discussed further in Note 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60" w:right="979" w:firstLine="910"/>
        <w:spacing w:after="0" w:line="503" w:lineRule="auto"/>
        <w:rPr>
          <w:sz w:val="20"/>
          <w:szCs w:val="20"/>
          <w:color w:val="auto"/>
        </w:rPr>
      </w:pPr>
      <w:r>
        <w:rPr>
          <w:rFonts w:ascii="Arial" w:cs="Arial" w:eastAsia="Arial" w:hAnsi="Arial"/>
          <w:sz w:val="18"/>
          <w:szCs w:val="18"/>
          <w:b w:val="1"/>
          <w:bCs w:val="1"/>
          <w:color w:val="auto"/>
        </w:rPr>
        <w:t>NOTES TO CONDENSED CONSOLIDATED FINANCIAL STATEMENTS — (Continued) 9. Asset Impairments and Unusual Items</w:t>
      </w: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second quarter of 2020, we recognized non-cash impairment charges of $61 million primarily related to the following:</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Energy Services Asset Impairments</w:t>
      </w:r>
      <w:r>
        <w:rPr>
          <w:rFonts w:ascii="Arial" w:cs="Arial" w:eastAsia="Arial" w:hAnsi="Arial"/>
          <w:sz w:val="17"/>
          <w:szCs w:val="17"/>
          <w:color w:val="auto"/>
        </w:rPr>
        <w:t>— During the second quarter of 2020, the Company tested the recoverability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which is discussed further in Note 2.</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first quarter of 2020, we recorded a non-cash impairment charge of $7 million related to our investment in a refined coal facility which is discussed further in Notes 4 and 13. The fair value of our investment was not readily determinable; thus, we determined the fair value using management assumptions pertaining to investment value (Level 3).</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first quarter of 2019, we recognized a $52 million non-cash impairment charge related to our minority-owned investment in a waste conversion technology business. We wrote down our investment to its estimated fair value as the result of a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Available-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Post-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4"/>
              </w:rPr>
              <w:t>Adjustments(a)</w:t>
            </w:r>
          </w:p>
        </w:tc>
        <w:tc>
          <w:tcPr>
            <w:tcW w:w="1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3"/>
              </w:rPr>
              <w:t>Obligations</w:t>
            </w: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net of tax expense (benefit) of $0, $2, $0 and $0,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comprehensive (income) loss, net of tax (expense) benefit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of $1, $0, $0 and $0, respectively</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translation adjustments were impacted by a decrease in the Canadian/U.S. dollar exchange rate from 0.7698 at December 31, 2019 to 0.7366 at June 30, 2020.</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had interest rate derivatives outstanding during the first half of 2020, which were classified as a cash flow hedges and are discussed further in Note 3. In June 2020, we terminated these treasury rate locks and received $1 million in cash. We are now evaluating a potential debt issuance to occur during the second half of the year, subject to market conditions and other considerations. As we currently believe that a debt issuance in 2020 is still probable to occur, the gain associated with these treasury rate locks has been deferred as a component of “Accumulated other comprehensive income” and will be amortized to interest expense over the debt term once the issuance occurs. We had no active derivatives outstanding during 2019. Amounts reclassified out of accumulated other comprehensive income (loss) associated with our previously terminated cash flow hedges were not material for the periods presented.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repurchases shares of its common stock as part of capital allocation programs authorized by our Board of Directors. In February 2020, we entered into an accelerated share repurchase (“ASR”) agreement to repurchase $313 million of our common stock. At the beginning of the repurchase period, we delivered $313 million cash and received 2.0 million shares based on a stock price of $125.75. The ASR agreement completed in March 2020, at which time we received 0.8 million additional shares based on a final weighted average price of $111.78.</w:t>
      </w:r>
    </w:p>
    <w:p>
      <w:pPr>
        <w:spacing w:after="0" w:line="1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first quarter of 2020, we also began repurchasing shares of our common stock in open market transactions in compliance with Rule 10b5-1 and Rule 10b-18 of the Exchange Act. This repurchase program ended on March 27, 2020 and we repurchased 0.9 million shares. Cash paid for these share repurchases was $89 million, inclusive of per-share commissions, which represents a weighted average price per share of $99.96.</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June 30, 2020, the Company has authorization for $918 million of future share repurchases. To enhance our liquidity position in response to COVID-19, we elected to temporarily suspend additional share repurchases for the foreseeable future.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176"/>
        </w:trPr>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Fair Value Measurements Using:</w:t>
            </w:r>
          </w:p>
        </w:tc>
        <w:tc>
          <w:tcPr>
            <w:tcW w:w="25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equivalents and money market funds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Significant unobservable inputs (Level 3):</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Redeemable preferred stock (b)</w:t>
            </w:r>
          </w:p>
        </w:tc>
        <w:tc>
          <w:tcPr>
            <w:tcW w:w="1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20" w:type="dxa"/>
            <w:vAlign w:val="bottom"/>
          </w:tcPr>
          <w:p>
            <w:pPr>
              <w:spacing w:after="0"/>
              <w:rPr>
                <w:sz w:val="18"/>
                <w:szCs w:val="18"/>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Total Assets</w:t>
            </w:r>
          </w:p>
        </w:tc>
        <w:tc>
          <w:tcPr>
            <w:tcW w:w="1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0"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available-for-sale securities generally mature over the next nine years.</w:t>
      </w:r>
    </w:p>
    <w:p>
      <w:pPr>
        <w:spacing w:after="0" w:line="117"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7"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See Note 9 for information related to our nonrecurring fair value measurements and the impact of impairments.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2020 and December 31, 2019, the carrying value of our debt was $12.8 billion and $13.5 billion, respectively. The estimated fair value of our debt was approximately $13.9 billion and $14.5 billion as of June 30, 2020 and December 31, 2019, respectively.</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Furthermore, the fair value of debt instruments measured as of June 30, 2020 is particularly susceptible to variability from future measurements of fair value given elevated volatility in key market factors due to the impact the COVID-19 pandemic is having on financial markets. The use of different assumptions or estimation methodologies could have a material effect on the estimated fair values. The fair value estimates are based on Level 2 inputs of the fair value hierarchy available as of June 30, 2020 and December 31, 2019. These amounts have not been revalued since those dates, and current estimates of fair value could differ significantly from the amounts presented.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$260 million and $309 million as of June 30, 2020 and December 31, 2019, respectively. The debt balance related to our investments in low-income housing properties was $240 million and $269 million as of June 30, 2020 and December 31, 2019, respectively. During the first quarter of 2020, the entity which holds the investment in the refined coal facility sold the majority of its assets, which resulted in a $7 million non-cash impairment of our investment. Additional information related to these investments is discussed in Note 4.</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$99 million and $101 million as of June 30, 2020 and December 31, 2019, respectively.</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$110 million and $109 million as of June 30, 2020 and December 31, 2019,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July 20, 2020, we fulfilled our redemption obligations with respect to the SMR Notes using available cash on hand and, to a lesser extent, commercial paper borrowings. The cash paid includes the $3.0 billion principal amount of debt redeemed, $30 million of related premiums and $8 million of accrued interest. As of June 30, 2020, we had approximately $22 million of unamortized discounts and deferred issuance costs related to the SMR Notes. The $30 million of premiums paid and $22 million of unamortized discounts and deferred issuance costs will be included in the calculation of our expected loss on early extinguishment of debt in our Consolidated Statement of Operations in the third quarter of 2020.</w:t>
      </w:r>
    </w:p>
    <w:p>
      <w:pPr>
        <w:spacing w:after="0" w:line="16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July 28, 2020, we entered into a supplemental 364-day, $3.0 billion U.S. revolving credit facility maturing July 27, 2021, which will be used for general corporate purposes, including funding a portion of the Advanced Disposal acquisition and refinancing of indebtedness, and to provide working capital. The facility provides the Company the option to convert outstanding balances into a term loan maturing no later than the first anniversary of the maturity date, subject to the payment of a fee and notifying the administrative agent at least 15 days prior to the original maturity date. WM Holdings, a wholly-owned subsidiary of WM, guarantees all the obligations under the $3.0 billion revolving credit facility. The rates we pay for outstanding loans are generally based on LIBOR, plus a spread depending on the Company’s debt rating assigned by Moody’s Investors Service and Standard and Poor’s. The spread above LIBOR ranges from 1.0% to 1.3%. Based on our current ratings, the rate which we expect to pay will be LIBOR plus 1.225%.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2019.</w:t>
      </w:r>
    </w:p>
    <w:p>
      <w:pPr>
        <w:spacing w:after="0" w:line="187"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(“Advanced Disposal”) or other acquisitions; failure to obtain the results anticipated from the acquisition of Advanced Disposal or other acquisitions; environmental 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negative outcomes of litigation or governmental proceedings and other risks discussed in our filings with the SEC, including Part I, Item 1A of our Annual Report on Form 10-K for the year ended December 31, 2019,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our Quarterly Report on Form 10-Q for the quarter ended March 31, 2020 and this quarterly report on Form 10-Q for the quarter ended June 30, 2020. We assume no obligation to update any forward-looking statement, including financial estimates and forecasts, whether as a result of future events, circumstances or developments or otherwise.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Additionally,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7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jc w:val="both"/>
        <w:ind w:left="60" w:right="59"/>
        <w:spacing w:after="0" w:line="271" w:lineRule="auto"/>
        <w:rPr>
          <w:sz w:val="20"/>
          <w:szCs w:val="20"/>
          <w:color w:val="auto"/>
        </w:rPr>
      </w:pPr>
      <w:r>
        <w:rPr>
          <w:rFonts w:ascii="Arial" w:cs="Arial" w:eastAsia="Arial" w:hAnsi="Arial"/>
          <w:sz w:val="17"/>
          <w:szCs w:val="17"/>
          <w:color w:val="auto"/>
        </w:rPr>
        <w:t xml:space="preserve">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January 2020, a novel strain of coronavirus (“COVID-19”) was declared a Public Health Emergency of International Concern and was subsequently declared a global pandemic in March 2020. We have contingency plans in place to ensure continuity of operations at our collection sites, transfer stations, landfills and recycling facilities. These plans ensure that we are in compliance with federal, state, provincial and local rules. Key elements of our business continuity plan have been executed consistently across the organization. Our safety team has medical experts and industrial hygienists that are continuously monitoring and incorporating guidance from the Centers for Disease Control and Prevention and other relevant authorities. To date our existing personal protective equipment, hygiene and operating procedures comply with guidelines established to protect our employees from additional risks associated with COVID-19.</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COVID-19 pandemic and related measures have had a significant adverse impact on many sectors of the economy. Waste Management provides essential services to a diverse customer base and, as a result, many elements of our business are less exposed to variability. Despite these favorable attributes of our business model, we expect the impacts of COVID-19 on our business to continue to be significant for the remainder of the year.</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 xml:space="preserve">COVID-19 began to impact our business in mid-March 2020, the results of which are described in detail under </w:t>
      </w:r>
      <w:r>
        <w:rPr>
          <w:rFonts w:ascii="Arial" w:cs="Arial" w:eastAsia="Arial" w:hAnsi="Arial"/>
          <w:sz w:val="16"/>
          <w:szCs w:val="16"/>
          <w:i w:val="1"/>
          <w:iCs w:val="1"/>
          <w:color w:val="auto"/>
        </w:rPr>
        <w:t>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below. The challenges posed by the COVID-19 pandemic on the global economy increased rapidly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first quarter of 2020 and have continued through the date of this report, impacting our business in most geographies and across a variety of our customer types. Steps taken by national and local governments to slow the spread of the virus, including travel bans, prohibitions on group events and gatherings, shutdowns of certain businesses, curfews, shelter-in-place orders and recommendations to practice social distancing resulted in revenue declines at our landfills, as well as decreased demand from our industrial and commercial collection customers. Additionally, the cost to service our residential customers increased as stay-at-home orders and continuing work-from-home trends have increased the waste we collect in this line of business. With many government bodies taking steps to re-open communities and the economy, we started to see business activity and waste volumes increase from the lowest levels observed in April 2020. The landfill and commercial and industrial collection volume increases that followed the re-openings have been robust, but gradual, and our volumes continue to be meaningfully below prior year. Further, with some cities and states pausing or reversing re-openings, these improving volume trends may reverse in the near term.</w:t>
      </w:r>
    </w:p>
    <w:p>
      <w:pPr>
        <w:spacing w:after="0" w:line="17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has proactively taken steps to put our employees’ and customers’ needs first and we continue to work with the appropriate regulatory agencies to ensure we can provide our essential services safely and efficiently. These efforts are, in some instances, reducing short-term revenues or increasing our costs, though they are sound decisions that reflect our focus on the long-term strength of our business. Examples of these efforts include:</w:t>
      </w:r>
    </w:p>
    <w:p>
      <w:pPr>
        <w:spacing w:after="0" w:line="171" w:lineRule="exact"/>
        <w:rPr>
          <w:sz w:val="20"/>
          <w:szCs w:val="20"/>
          <w:color w:val="auto"/>
        </w:rPr>
      </w:pPr>
    </w:p>
    <w:p>
      <w:pPr>
        <w:jc w:val="both"/>
        <w:ind w:left="380" w:right="59" w:firstLine="324"/>
        <w:spacing w:after="0" w:line="255"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 We have prioritized the health, safety and financial security of our workforce. Key steps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back-office employees to work-from-home, providing financial certainty to employees by guaranteeing all full-time hourly employees compensation for a 40-hour work week regardless of service decreases, securing additional personal protective equipment to bolster the safety and security of our workplaces and guaranteeing elements of incentive compensation to certain employees to reflect our appreciation for their dedication and focus on executing well in the face of the pandemic.</w:t>
      </w:r>
    </w:p>
    <w:p>
      <w:pPr>
        <w:spacing w:after="0" w:line="192" w:lineRule="exact"/>
        <w:rPr>
          <w:sz w:val="20"/>
          <w:szCs w:val="20"/>
          <w:color w:val="auto"/>
        </w:rPr>
      </w:pPr>
    </w:p>
    <w:p>
      <w:pPr>
        <w:jc w:val="both"/>
        <w:ind w:left="380" w:right="59" w:firstLine="324"/>
        <w:spacing w:after="0" w:line="342" w:lineRule="auto"/>
        <w:rPr>
          <w:sz w:val="20"/>
          <w:szCs w:val="20"/>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 Our top priority with respect to our customers has been ensuring that our customers’ essential waste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needs continue to be safely met in spite of the unprecedented changes encountered in their communities. 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8" w:name="page29"/>
    <w:bookmarkEnd w:id="28"/>
    <w:p>
      <w:pPr>
        <w:jc w:val="both"/>
        <w:ind w:left="380" w:right="59"/>
        <w:spacing w:after="0" w:line="259" w:lineRule="auto"/>
        <w:rPr>
          <w:sz w:val="20"/>
          <w:szCs w:val="20"/>
          <w:color w:val="auto"/>
        </w:rPr>
      </w:pPr>
      <w:r>
        <w:rPr>
          <w:rFonts w:ascii="Arial" w:cs="Arial" w:eastAsia="Arial" w:hAnsi="Arial"/>
          <w:sz w:val="18"/>
          <w:szCs w:val="18"/>
          <w:color w:val="auto"/>
        </w:rPr>
        <w:t>customers impacted by the COVID-19 pandemic, we have proactively waived and suspended certain ancillary service charges, deferred certain annual price increases, extended payment terms and adjusted customer service levels. Additionally, for qualifying small and medium businesses, we have provided customers with one-month of free service upon re-opening.</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above steps combined with our disciplined execution in our daily operations have positioned the Company to prudently manage the challenges presented by the COVID-19 pandemic. The fundamentals of the Company remain strong and we believe we have sufficient liquidity on hand to continue business operations during this volatile period. We estimate that COVID-19 has had the following notable impacts on our results of operations for the three- and six-month periods ended June 30, 2020:</w:t>
      </w:r>
    </w:p>
    <w:p>
      <w:pPr>
        <w:spacing w:after="0" w:line="188" w:lineRule="exact"/>
        <w:rPr>
          <w:sz w:val="20"/>
          <w:szCs w:val="20"/>
          <w:color w:val="auto"/>
        </w:rPr>
      </w:pPr>
    </w:p>
    <w:p>
      <w:pPr>
        <w:jc w:val="both"/>
        <w:ind w:left="380" w:right="59" w:firstLine="324"/>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 During the three and six months ended June 30, 2020, we experienced a negative impact to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$400 million and $440 million, respectively, that we attribute to reductions in customers’ waste service needs as a result of COVID-19. While the customer-centric steps discussed above and business closures have also contributed to this revenue decline, these impacts have been relatively immaterial.</w:t>
      </w:r>
    </w:p>
    <w:p>
      <w:pPr>
        <w:spacing w:after="0" w:line="171" w:lineRule="exact"/>
        <w:rPr>
          <w:sz w:val="20"/>
          <w:szCs w:val="20"/>
          <w:color w:val="auto"/>
        </w:rPr>
      </w:pPr>
    </w:p>
    <w:p>
      <w:pPr>
        <w:jc w:val="both"/>
        <w:ind w:left="380" w:right="59" w:firstLine="324"/>
        <w:spacing w:after="0" w:line="26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 Volume-driven revenue declines led to a significant reduction in certain variable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including labor costs where we focused on reducing overtime hours and operating efficiently by adapting our routes for the lower volumes in our industrial and commercial collection lines of business. The reductions in most operating expense categories during the reported periods are directly related to proactive steps taken to manage our variable costs in the declining volume environment. The revenue declines due to the COVID-19 pandemic have had a greater impact on our higher margin business lines, which negatively impacted operating costs as a percentage of revenues for certain cost categories. In spite of this, our proactive cost management efforts have positioned us to reduce our overall operating expenses as a percentage of revenues when compared with the prior year. These cost decreases have been partially offset by the impacts of (i) the 40-hour work week guarantee and (ii) increases in container weights in our residential collection line of business, which increased our overall cost to serve these customers.</w:t>
      </w:r>
    </w:p>
    <w:p>
      <w:pPr>
        <w:spacing w:after="0" w:line="182" w:lineRule="exact"/>
        <w:rPr>
          <w:sz w:val="20"/>
          <w:szCs w:val="20"/>
          <w:color w:val="auto"/>
        </w:rPr>
      </w:pPr>
    </w:p>
    <w:p>
      <w:pPr>
        <w:jc w:val="both"/>
        <w:ind w:left="380" w:right="59" w:firstLine="324"/>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 Our increase in the provision for bad debts of $12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for the three and six months ended June 30, 2020, respectively, is due in large part to negative impacts on customer receipts we have experienced and expect to continue to experience due to the COVID-19 pandemic. Additionally, we incurred $8 million and $14 million of costs during the three and six months ended June 30, 2020, respectively, primarily for (i) technology related costs as a result of our initiative to transition back-office employees to a work-from-home environment and (ii) costs incurred from guaranteeing elements of incentive compensation to certain employees.</w:t>
      </w:r>
    </w:p>
    <w:p>
      <w:pPr>
        <w:spacing w:after="0" w:line="19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ultimate impacts of COVID-19 on our long-term outlook for the business will depend on future developments, including the duration of the pandemic and pace of economic recovery. These factors and their impacts on our business, financial condition, results of operations and cash flows are uncertain and cannot be predicted at this time. We remain focused on the diligent and safe execution of our daily operations, but are also now focused on the longer term to ensure that we come out of this pandemic a stronger, more differentiated company.</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that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jc w:val="both"/>
        <w:ind w:left="60" w:right="59"/>
        <w:spacing w:after="0" w:line="259" w:lineRule="auto"/>
        <w:rPr>
          <w:sz w:val="20"/>
          <w:szCs w:val="20"/>
          <w:color w:val="auto"/>
        </w:rPr>
      </w:pPr>
      <w:r>
        <w:rPr>
          <w:rFonts w:ascii="Arial" w:cs="Arial" w:eastAsia="Arial" w:hAnsi="Arial"/>
          <w:sz w:val="18"/>
          <w:szCs w:val="18"/>
          <w:color w:val="auto"/>
        </w:rPr>
        <w:t>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the execution of our strategy will deliver shareholder value and leadership in a dynamic industry and challenging economic environment.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services offerings. As companies, individuals and communities look for ways to be more sustainable, we promote our comprehensive services that go beyond our core business of collecting and disposing of waste in order to meet their needs.</w:t>
      </w:r>
    </w:p>
    <w:p>
      <w:pPr>
        <w:spacing w:after="0" w:line="17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including increases and decreases in consumer spending, business expansions and construction starts.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Volume changes can vary dramatically by line of business and decreases in volumes in higher margin businesses, such as what we have seen with COVID-19, can impact key financial metrics, particularly operating expense as a percentage of revenue. In this type of environment, we must dynamically manage our cost structure.</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financial results for the three and six months ended June 30, 2020 reflect declines in our collection and disposal lines of business as a result of the negative impacts of COVID-19. These impacts began in March 2020 and continued through the second quarter of 2020. Given the current pressures on the business from COVID-19, we are taking proactive steps to reduce costs and maximize cash flow. These steps include (i) optimizing our route structure to respond proactively to lower industrial and commercial collection volumes; (ii) reducing overtime hours to manage labor costs; (iii) limiting hiring and optimizing the existing workforce through greatly improved retention and reduced turnover and (iv) reducing or eliminating certain non-essential costs and expenses like consulting, travel and entertainment. Additionally, to enhance our liquidity, we are maintaining a disciplined focus on capital management by aligning additional investment with the revenue generation of the business, reducing capital spending on our landfill assets, and managing container capital in conjunction with our customers’ volumes. We have also elected to temporarily suspend additional share repurchases for the foreseeable future.</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COVID-19 has also had impacts on the recycling line of business, including the creation of a short-term dislocation in the supply and demand dynamics for recycled commodities in the U.S. While the recent decline in supply of recycled content drove an increase in market prices for certain commodities, we remain steadfast in our commitment to improve the profitability and returns of the recycling line of business. We have maintained our focus on converting to a fee-based pricing model that addresses the cost of processing materials and the impact on our cost structure to manage contamination in the waste stream.</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believe that the Company’s industry-leading asset network and strategic focuses on investing in people and technology will give the Company the necessary tools to address the challenges presented by the COVID-19 pandemic and the impacts on our industry. In line with our commitment to continuous improvement and a differentiated customer experience, we are accelerating our customer service digitalization initiative to change the way we interact with our customers. Enhancements made through this initiative are designed to seamlessly and digitally connect all the WM functions required to service our customers in order to provide the best experience and service.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b w:val="1"/>
          <w:bCs w:val="1"/>
          <w:i w:val="1"/>
          <w:iCs w:val="1"/>
          <w:color w:val="auto"/>
        </w:rPr>
        <w:t>Current Period Financial Results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second quarter of 2020, our operating results for our collection and disposal lines of business were negatively influenced by the impacts of the COVID-19 pandemic; however, we took intentional steps to decrease our operating costs and eliminate discretionary selling, general and administrative expenses to mitigate the impact from the declines in our volumes. In addition to reducing costs, we took proactive steps to manage our capital spending.</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720" w:right="79" w:hanging="319"/>
        <w:spacing w:after="0" w:line="25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of $3,561 million, compared with $3,946 million in the prior year period, a decrease of $385 million, or 9.8%. The year-over-year comparison has been negatively impacted by volume declines resulting from a reduction in customers’ waste service needs associated with the COVID-19 pandemic. In addition, the Company’s year-over-year revenue comparison was impacted by (i) natural disaster clean-up efforts in 2019 that did not reoccur in the current period and (ii) a decline of $60 million from lower fuel surcharges due to a significant decrease in market rates for diesel fuel. These revenue declines have been partially offset by increases in revenue from collection and disposal yield and recycling yield, which includes both higher fees and higher commodity prices;</w:t>
      </w:r>
    </w:p>
    <w:p>
      <w:pPr>
        <w:spacing w:after="0" w:line="83"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expenses of $2,180 million, or 61.2% of revenues, compared with $2,443 million, or 61.9% of revenues, in the prior year period. The $263 million decrease is primarily attributable to proactive steps taken to manage our variable costs in the declining volume environment. The revenue declines due to the COVID-19 pandemic have had a greater impact on our higher margin business lines, which negatively impacted operating costs as a percentage of revenues. In spite of this, our proactive cost management efforts have positioned us to reduce operating expenses as a percentage of revenues when compared with the prior year;</w:t>
      </w:r>
    </w:p>
    <w:p>
      <w:pPr>
        <w:spacing w:after="0" w:line="69" w:lineRule="exact"/>
        <w:rPr>
          <w:rFonts w:ascii="Arial" w:cs="Arial" w:eastAsia="Arial" w:hAnsi="Arial"/>
          <w:sz w:val="17"/>
          <w:szCs w:val="17"/>
          <w:color w:val="auto"/>
        </w:rPr>
      </w:pPr>
    </w:p>
    <w:p>
      <w:pPr>
        <w:jc w:val="both"/>
        <w:ind w:left="720" w:right="79" w:hanging="319"/>
        <w:spacing w:after="0" w:line="273"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Selling, general and administrative expenses of $377 million, or 10.6% of revenues, compared with $391 million, or 9.9% of revenues, in the prior year period. The year-over-year decrease is primarily attributable to lower incentive compensation accruals and the proactive steps that we have taken to defer hiring and discretionary expenses. These cost reductions were partially offset by (i) increased acquisition-related costs; (ii) higher costs associated with investments in our people and technology and (iii) costs incurred as a direct result of the COVID-19 pandemic, including increased provision for bad debts;</w:t>
      </w:r>
    </w:p>
    <w:p>
      <w:pPr>
        <w:spacing w:after="0" w:line="69" w:lineRule="exact"/>
        <w:rPr>
          <w:rFonts w:ascii="Arial" w:cs="Arial" w:eastAsia="Arial" w:hAnsi="Arial"/>
          <w:sz w:val="17"/>
          <w:szCs w:val="17"/>
          <w:color w:val="auto"/>
        </w:rPr>
      </w:pPr>
    </w:p>
    <w:p>
      <w:pPr>
        <w:jc w:val="both"/>
        <w:ind w:left="720" w:right="79" w:hanging="319"/>
        <w:spacing w:after="0" w:line="255"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was $527 million, or 14.8% of revenues, compared with $696 million, or 17.6% of revenues, in the prior year period. The year-over-year comparison has primarily been affected by (i) the overall negative impact of the COVID-19 pandemic to our business; (ii) non-cash impairment charges of $61 million including $41 million primarily related to two landfills and an oil field waste injection facility in our Tier 1 segment; (iii) an increase in spending for the planned acquisition of Advanced Disposal and (iv) investments we are making in technology;</w:t>
      </w:r>
    </w:p>
    <w:p>
      <w:pPr>
        <w:spacing w:after="0" w:line="84"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income attributable to Waste Management, Inc. was $307 million, or $0.72 per diluted share, compared with $381 million, or $0.89 per diluted share, in the prior year period. In addition to the activity discussed above, net income in the current period was also impacted by an increase in net interest expense due to the planned acquisition of Advanced Disposal, which was partially offset by lower income tax expense. The prior year period was also impacted by a pre-tax loss of $84 million associated with the early extinguishment of debt;</w:t>
      </w:r>
    </w:p>
    <w:p>
      <w:pPr>
        <w:spacing w:after="0" w:line="53" w:lineRule="exact"/>
        <w:rPr>
          <w:rFonts w:ascii="Arial" w:cs="Arial" w:eastAsia="Arial" w:hAnsi="Arial"/>
          <w:sz w:val="16"/>
          <w:szCs w:val="16"/>
          <w:color w:val="auto"/>
        </w:rPr>
      </w:pPr>
    </w:p>
    <w:p>
      <w:pPr>
        <w:jc w:val="both"/>
        <w:ind w:left="720" w:right="79" w:hanging="319"/>
        <w:spacing w:after="0" w:line="255"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was $856 million compared with $1,010 million in the prior year period with the decline driven by lower earnings on our core operations and an unfavorable working capital change, both of which have been primarily caused by the impact of the COVID-19 pandemic. These negative cash flow impacts have been partially offset by lower income tax payments in the current year period and cash benefits associated with deferring certain payroll taxes as provided for by the Coronavirus Aid, Relief, and Economic Security Act (the “CARES Act”); and</w:t>
      </w:r>
    </w:p>
    <w:p>
      <w:pPr>
        <w:spacing w:after="0" w:line="84" w:lineRule="exact"/>
        <w:rPr>
          <w:rFonts w:ascii="Arial" w:cs="Arial" w:eastAsia="Arial" w:hAnsi="Arial"/>
          <w:sz w:val="18"/>
          <w:szCs w:val="18"/>
          <w:color w:val="auto"/>
        </w:rPr>
      </w:pPr>
    </w:p>
    <w:p>
      <w:pPr>
        <w:jc w:val="both"/>
        <w:ind w:left="720" w:right="79" w:hanging="319"/>
        <w:spacing w:after="0" w:line="30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Free cash flow was $423 million compared with $440 million in the prior year period. The slight decrease in free cash flow is due to the decrease in net cash provided by operating activities noted above, which was substantially offset by an intentional reduction in capital expenditures. We have taken proactive steps to reduce the amount of capital spending required to align with the lower volumes in our business. Free cash flow is a non-GAAP measure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720" w:right="79"/>
        <w:spacing w:after="0" w:line="263" w:lineRule="auto"/>
        <w:rPr>
          <w:sz w:val="20"/>
          <w:szCs w:val="20"/>
          <w:color w:val="auto"/>
        </w:rPr>
      </w:pPr>
      <w:r>
        <w:rPr>
          <w:rFonts w:ascii="Arial" w:cs="Arial" w:eastAsia="Arial" w:hAnsi="Arial"/>
          <w:sz w:val="18"/>
          <w:szCs w:val="18"/>
          <w:color w:val="auto"/>
        </w:rPr>
        <w:t xml:space="preserve">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 mix of operating revenues from our major lines of business is reflected in the table below (in millions):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collection</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(1,590)</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3,946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Activity related to collection, landfill, transfer and recycling within “Other” has been reclassified to the appropriate line of business for purposes of the presentation in this table.</w:t>
      </w:r>
    </w:p>
    <w:p>
      <w:pPr>
        <w:spacing w:after="0" w:line="86"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9"/>
          </w:tcPr>
          <w:p>
            <w:pPr>
              <w:jc w:val="center"/>
              <w:ind w:right="740"/>
              <w:spacing w:after="0"/>
              <w:rPr>
                <w:sz w:val="20"/>
                <w:szCs w:val="20"/>
                <w:color w:val="auto"/>
              </w:rPr>
            </w:pPr>
            <w:r>
              <w:rPr>
                <w:rFonts w:ascii="Arial" w:cs="Arial" w:eastAsia="Arial" w:hAnsi="Arial"/>
                <w:sz w:val="14"/>
                <w:szCs w:val="14"/>
                <w:b w:val="1"/>
                <w:bCs w:val="1"/>
                <w:color w:val="auto"/>
                <w:w w:val="93"/>
              </w:rPr>
              <w:t>Period-to-Period Change for the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20" w:type="dxa"/>
            <w:vAlign w:val="bottom"/>
            <w:gridSpan w:val="9"/>
          </w:tcPr>
          <w:p>
            <w:pPr>
              <w:jc w:val="center"/>
              <w:ind w:right="58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85"/>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left="65"/>
              <w:spacing w:after="0"/>
              <w:rPr>
                <w:sz w:val="20"/>
                <w:szCs w:val="20"/>
                <w:color w:val="auto"/>
              </w:rPr>
            </w:pPr>
            <w:r>
              <w:rPr>
                <w:rFonts w:ascii="Arial" w:cs="Arial" w:eastAsia="Arial" w:hAnsi="Arial"/>
                <w:sz w:val="14"/>
                <w:szCs w:val="14"/>
                <w:b w:val="1"/>
                <w:bCs w:val="1"/>
                <w:color w:val="auto"/>
                <w:w w:val="90"/>
              </w:rPr>
              <w:t>June 30, 2020 vs. 2019</w:t>
            </w: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left="125"/>
              <w:spacing w:after="0"/>
              <w:rPr>
                <w:sz w:val="20"/>
                <w:szCs w:val="20"/>
                <w:color w:val="auto"/>
              </w:rPr>
            </w:pPr>
            <w:r>
              <w:rPr>
                <w:rFonts w:ascii="Arial" w:cs="Arial" w:eastAsia="Arial" w:hAnsi="Arial"/>
                <w:sz w:val="14"/>
                <w:szCs w:val="14"/>
                <w:b w:val="1"/>
                <w:bCs w:val="1"/>
                <w:color w:val="auto"/>
                <w:w w:val="90"/>
              </w:rPr>
              <w:t>June 30, 2020 vs. 2019</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As a % of</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As a % of</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Related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Total</w:t>
            </w:r>
          </w:p>
        </w:tc>
        <w:tc>
          <w:tcPr>
            <w:tcW w:w="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Related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rPr>
              <w:t>Business(a)   Amount</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Company(b)</w:t>
            </w:r>
          </w:p>
        </w:tc>
        <w:tc>
          <w:tcPr>
            <w:tcW w:w="600" w:type="dxa"/>
            <w:vAlign w:val="bottom"/>
            <w:gridSpan w:val="3"/>
            <w:vMerge w:val="continue"/>
          </w:tcPr>
          <w:p>
            <w:pPr>
              <w:spacing w:after="0"/>
              <w:rPr>
                <w:sz w:val="14"/>
                <w:szCs w:val="14"/>
                <w:color w:val="auto"/>
              </w:rPr>
            </w:pPr>
          </w:p>
        </w:tc>
        <w:tc>
          <w:tcPr>
            <w:tcW w:w="1760" w:type="dxa"/>
            <w:vAlign w:val="bottom"/>
            <w:gridSpan w:val="6"/>
          </w:tcPr>
          <w:p>
            <w:pPr>
              <w:ind w:left="160"/>
              <w:spacing w:after="0"/>
              <w:rPr>
                <w:sz w:val="20"/>
                <w:szCs w:val="20"/>
                <w:color w:val="auto"/>
              </w:rPr>
            </w:pPr>
            <w:r>
              <w:rPr>
                <w:rFonts w:ascii="Arial" w:cs="Arial" w:eastAsia="Arial" w:hAnsi="Arial"/>
                <w:sz w:val="14"/>
                <w:szCs w:val="14"/>
                <w:b w:val="1"/>
                <w:bCs w:val="1"/>
                <w:color w:val="auto"/>
              </w:rPr>
              <w:t>Business(a)   Amount</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Company(b)</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Recycling commodities (c)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8"/>
                <w:szCs w:val="18"/>
                <w:color w:val="auto"/>
              </w:rPr>
              <w:t>Total average yield (d)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432"/>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(406)</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24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(387)</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(380)</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4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(385)</w:t>
            </w:r>
          </w:p>
        </w:tc>
        <w:tc>
          <w:tcPr>
            <w:tcW w:w="10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5"/>
              </w:rPr>
              <w:t>(352)</w:t>
            </w:r>
          </w:p>
        </w:tc>
        <w:tc>
          <w:tcPr>
            <w:tcW w:w="14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117" w:lineRule="exact"/>
        <w:rPr>
          <w:rFonts w:ascii="Arial" w:cs="Arial" w:eastAsia="Arial" w:hAnsi="Arial"/>
          <w:sz w:val="18"/>
          <w:szCs w:val="18"/>
          <w:color w:val="auto"/>
        </w:rPr>
      </w:pPr>
    </w:p>
    <w:p>
      <w:pPr>
        <w:ind w:left="380" w:right="179" w:hanging="330"/>
        <w:spacing w:after="0" w:line="530"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6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3"/>
              </w:rPr>
              <w:t>Period-to-Period Change for the</w:t>
            </w:r>
          </w:p>
        </w:tc>
        <w:tc>
          <w:tcPr>
            <w:tcW w:w="22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3"/>
              </w:rPr>
              <w:t>Period-to-Period Change for the</w:t>
            </w:r>
          </w:p>
        </w:tc>
      </w:tr>
      <w:tr>
        <w:trPr>
          <w:trHeight w:val="148"/>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4"/>
          </w:tcPr>
          <w:p>
            <w:pPr>
              <w:jc w:val="center"/>
              <w:ind w:right="31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89"/>
              </w:rPr>
              <w:t>June 30, 2020 vs. 2019</w:t>
            </w:r>
          </w:p>
        </w:tc>
        <w:tc>
          <w:tcPr>
            <w:tcW w:w="140" w:type="dxa"/>
            <w:vAlign w:val="bottom"/>
          </w:tcPr>
          <w:p>
            <w:pPr>
              <w:spacing w:after="0"/>
              <w:rPr>
                <w:sz w:val="14"/>
                <w:szCs w:val="14"/>
                <w:color w:val="auto"/>
              </w:rPr>
            </w:pPr>
          </w:p>
        </w:tc>
        <w:tc>
          <w:tcPr>
            <w:tcW w:w="21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0"/>
              </w:rPr>
              <w:t>June 30, 2020 vs. 2019</w:t>
            </w:r>
          </w:p>
        </w:tc>
      </w:tr>
      <w:tr>
        <w:trPr>
          <w:trHeight w:val="119"/>
        </w:trPr>
        <w:tc>
          <w:tcPr>
            <w:tcW w:w="4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Related</w:t>
            </w: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74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6"/>
              </w:rPr>
              <w:t>Business</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r>
      <w:tr>
        <w:trPr>
          <w:trHeight w:val="210"/>
        </w:trPr>
        <w:tc>
          <w:tcPr>
            <w:tcW w:w="428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1.6 %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91"/>
              </w:rPr>
              <w:t>1.9 %</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are monitoring COVID-19 and taking steps to mitigate the potential business impact to our customers. In order to support the continuity of our customers’ businesses, we have made certain customer-centric pricing decisions such as temporarily waiving and suspending certain ancillary service charges as well as delaying price increases in certain markets, which has negatively impacted our average yield. However, our overall strategic pricing effort focused on improving our average unit rate has proven to be effective despite the COVID-19 pandemic, particularly in our commercial business.</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Recycling Commodities </w:t>
      </w:r>
      <w:r>
        <w:rPr>
          <w:rFonts w:ascii="Arial" w:cs="Arial" w:eastAsia="Arial" w:hAnsi="Arial"/>
          <w:sz w:val="17"/>
          <w:szCs w:val="17"/>
          <w:color w:val="auto"/>
        </w:rPr>
        <w:t>— During the three months ended June 30, 2020, we experienced a 30% increase in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when compared to the prior year, due to demand for recycled material in the U.S. exceeding supply. We expect this dislocation will normalize and overall, average market prices for recycling commodities are expected to remain meaningfully below long-term averages. For the six months ended June 30, 2020, average market prices for recycling commodities were down 3.5% compared to the prior year. Our efforts to assess fees to cover the higher costs of handling contaminated recycling materials continue to provide a mechanism to offset the decline in market value of commodity prices, though with the impacts of COVID-19 on customers and market conditions, we did not experience a significant increase in these fees during the three and six months ended June 30, 2020.</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Fuel Surcharges and Mandated Fees — </w:t>
      </w:r>
      <w:r>
        <w:rPr>
          <w:rFonts w:ascii="Arial" w:cs="Arial" w:eastAsia="Arial" w:hAnsi="Arial"/>
          <w:sz w:val="17"/>
          <w:szCs w:val="17"/>
          <w:color w:val="auto"/>
        </w:rPr>
        <w:t>These fees, which are predominantly generated by our fuel surcharge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declined $60 million and $76 million for the three and six months ended June 30, 2020, respectively, as compared with the prior year periods. These revenues are based on, and fluctuate in response to, changes in the national average prices for diesel fuel. Given the downturn in oil and gas markets, market prices for diesel fuel decreased over 20% and 13% for the three and six months ended June 30, 2020, respectively, compared with the prior year periods. Additionally, we have taken steps to transition certain customers’ pricing away from non-variable fuel structures, which has further contributed to the year-over-year decline.</w:t>
      </w:r>
    </w:p>
    <w:p>
      <w:pPr>
        <w:spacing w:after="0" w:line="17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mandated fees are primarily related to fees and taxes assessed by various state, county and municipal government agencies at our landfills and transfer stations. These amounts have not significantly impacted the change in revenue for the three and six months ended June 30, 2020.</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revenues from volumes (excluding volumes from acquisitions and divestitures) decreased $406 million, or 10.3%, and $396 million, or 5.2%, for the three and six months ended June 30, 2020, respectively, as compared with the prior year periods.</w:t>
      </w:r>
    </w:p>
    <w:p>
      <w:pPr>
        <w:spacing w:after="0" w:line="184" w:lineRule="exact"/>
        <w:rPr>
          <w:sz w:val="20"/>
          <w:szCs w:val="20"/>
          <w:color w:val="auto"/>
        </w:rPr>
      </w:pPr>
    </w:p>
    <w:p>
      <w:pPr>
        <w:jc w:val="both"/>
        <w:ind w:left="60" w:right="59" w:firstLine="259"/>
        <w:spacing w:after="0" w:line="296" w:lineRule="auto"/>
        <w:rPr>
          <w:sz w:val="20"/>
          <w:szCs w:val="20"/>
          <w:color w:val="auto"/>
        </w:rPr>
      </w:pPr>
      <w:r>
        <w:rPr>
          <w:rFonts w:ascii="Arial" w:cs="Arial" w:eastAsia="Arial" w:hAnsi="Arial"/>
          <w:sz w:val="16"/>
          <w:szCs w:val="16"/>
          <w:color w:val="auto"/>
        </w:rPr>
        <w:t>Beginning in March 2020 and continuing throughout the second quarter of 2020, our industrial and commercial collection and our landfill businesses experienced significant volume declines as a result of the COVID-19 pandemic. These volume decreases were the most pronounced in April 2020. With many government bodies taking steps to re-open communities and the economy, in May and June 2020, we started to see business activity and waste volumes increase from the lowest levels observed in April 2020. While volume increases following the re-openings have been robust, our volumes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60" w:right="79"/>
        <w:spacing w:after="0" w:line="277" w:lineRule="auto"/>
        <w:rPr>
          <w:sz w:val="20"/>
          <w:szCs w:val="20"/>
          <w:color w:val="auto"/>
        </w:rPr>
      </w:pPr>
      <w:r>
        <w:rPr>
          <w:rFonts w:ascii="Arial" w:cs="Arial" w:eastAsia="Arial" w:hAnsi="Arial"/>
          <w:sz w:val="18"/>
          <w:szCs w:val="18"/>
          <w:color w:val="auto"/>
        </w:rPr>
        <w:t>continue to be meaningfully below prior year. Further, with some cities and states pausing or reversing re-openings, these improving volume trends may reverse in the near term.</w:t>
      </w:r>
    </w:p>
    <w:p>
      <w:pPr>
        <w:spacing w:after="0" w:line="170" w:lineRule="exact"/>
        <w:rPr>
          <w:sz w:val="20"/>
          <w:szCs w:val="20"/>
          <w:color w:val="auto"/>
        </w:rPr>
      </w:pPr>
    </w:p>
    <w:p>
      <w:pPr>
        <w:jc w:val="both"/>
        <w:ind w:left="60" w:right="59" w:firstLine="259"/>
        <w:spacing w:after="0" w:line="277" w:lineRule="auto"/>
        <w:rPr>
          <w:sz w:val="20"/>
          <w:szCs w:val="20"/>
          <w:color w:val="auto"/>
        </w:rPr>
      </w:pPr>
      <w:r>
        <w:rPr>
          <w:rFonts w:ascii="Arial" w:cs="Arial" w:eastAsia="Arial" w:hAnsi="Arial"/>
          <w:sz w:val="18"/>
          <w:szCs w:val="18"/>
          <w:color w:val="auto"/>
        </w:rPr>
        <w:t>In addition, the natural disaster clean-up efforts in the first six months of 2019 did not reoccur in the current year period further impacting our year-over-year volume comparison.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17.8 %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$ 1,325</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18.2 %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$ 1,370</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17.9 %</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Subcontractor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Fuel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5"/>
              </w:rPr>
              <w:t>Disposal and franchise fees and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r>
      <w:tr>
        <w:trPr>
          <w:trHeight w:val="425"/>
        </w:trPr>
        <w:tc>
          <w:tcPr>
            <w:tcW w:w="29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61.2 %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2,443</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61.9 %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$ 4,509</w:t>
            </w: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61.9 %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$ 4,741</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62.0 %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year-over-year decreases in our landfill and industrial and commercial collection volumes, primarily due to the impacts of COVID-19, have significantly impacted the three- and six-month periods ended June 30, 2020. The reductions in most operating expense categories during the reported periods are directly related to proactive steps taken to manage our variable costs in the declining volume environment. The revenue declines due to the COVID-19 pandemic have had a greater impact on our higher margin business lines, which negatively impacted operating costs as a percentage of revenues for certain cost categories. In spite of this, our proactive cost management efforts have positioned us to reduce our overall operating expenses as a percentage of revenues when compared with the prior year.</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comparability of operating expenses for the reported periods include: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decrease in labor and related benefits costs was largely driven by decreases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volume which allowed us to take proactive measures to optimize routes and reduce overtime hours. Additionally, the decrease was due to (i) improved efficiency from lighter road traffic; (ii) lower incentive compensation costs and</w:t>
      </w:r>
    </w:p>
    <w:p>
      <w:pPr>
        <w:jc w:val="both"/>
        <w:ind w:left="60" w:right="59" w:hanging="10"/>
        <w:spacing w:after="0" w:line="295" w:lineRule="auto"/>
        <w:tabs>
          <w:tab w:leader="none" w:pos="3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reduced health and welfare costs. These decreases were partially offset by annual merit increases. We have guaranteed full-time hourly employees a minimum of 40-hours of pay during the COVID-19 pandemic regardless of service decreases. This employee-focused effort had a minimal impact to labor costs during the reported periods, and the Company believes that these increased costs were offset by benefits from reduced employee turnover and improved employee morale.</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decrease in transfer and disposal costs was largely driven by volume declines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industrial and commercial collection businesses as a result of COVID-19.</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decrease in maintenance and repairs costs was largely driven by proactive steps to</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routes and reduce overtime hours to address the volume declines. The most significant components of our non-labor savings were spending on parts, supplies and third-party container repairs. In addition, the three and six months ended June 30, 2019 were impacted by a $16 million non-cash charge to write off certain equipment costs related to our Other segment.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5" w:name="page36"/>
    <w:bookmarkEnd w:id="35"/>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Subcontractor Costs — </w:t>
      </w:r>
      <w:r>
        <w:rPr>
          <w:rFonts w:ascii="Arial" w:cs="Arial" w:eastAsia="Arial" w:hAnsi="Arial"/>
          <w:sz w:val="18"/>
          <w:szCs w:val="18"/>
          <w:color w:val="auto"/>
        </w:rPr>
        <w:t>The decrease in subcontractor costs for the three months ended June 30, 2020 was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COVID-19 related volume declines in our industrial and commercial collection businesses. For the six months ended June 30, 2020, subcontractor costs were generally flat, which can be attributed to an increase in business activity in our WMSBS and EES businesses during the first quarter of 2020, prior to COVID-19 impacting business activity in North America. These businesses rely more extensively on subcontracted hauling than our collection and disposal business.</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Market prices for recycled commodities is the primary driver for the variability in our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Cost of goods sold was relatively flat when comparing the three months ended June 30, 2020 with the prior year period due to the offsetting impacts of a decline in recycling volumes and an increase in the market prices for recycled commodities. For the six-month comparison, there is a significant decrease in costs of goods sold due to the combined impacts of a decline in recycling volumes and a decrease in the market prices for recycled commodities.</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decrease in fuel costs was primarily due to (i) a benefit from federal alternative fuel credits; (ii) a</w:t>
      </w:r>
      <w:r>
        <w:rPr>
          <w:rFonts w:ascii="Arial" w:cs="Arial" w:eastAsia="Arial" w:hAnsi="Arial"/>
          <w:sz w:val="18"/>
          <w:szCs w:val="18"/>
          <w:i w:val="1"/>
          <w:iCs w:val="1"/>
          <w:color w:val="auto"/>
        </w:rPr>
        <w:t xml:space="preserve"> </w:t>
      </w:r>
      <w:r>
        <w:rPr>
          <w:rFonts w:ascii="Arial" w:cs="Arial" w:eastAsia="Arial" w:hAnsi="Arial"/>
          <w:sz w:val="18"/>
          <w:szCs w:val="18"/>
          <w:color w:val="212529"/>
        </w:rPr>
        <w:t>decline</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 market prices for diesel fuel; (iii) volume </w:t>
      </w:r>
      <w:r>
        <w:rPr>
          <w:rFonts w:ascii="Arial" w:cs="Arial" w:eastAsia="Arial" w:hAnsi="Arial"/>
          <w:sz w:val="18"/>
          <w:szCs w:val="18"/>
          <w:color w:val="000000"/>
        </w:rPr>
        <w:t>declines and (iv) lower costs resulting from the continued conversion of our</w:t>
      </w:r>
      <w:r>
        <w:rPr>
          <w:rFonts w:ascii="Arial" w:cs="Arial" w:eastAsia="Arial" w:hAnsi="Arial"/>
          <w:sz w:val="18"/>
          <w:szCs w:val="18"/>
          <w:color w:val="212529"/>
        </w:rPr>
        <w:t xml:space="preserve"> </w:t>
      </w:r>
      <w:r>
        <w:rPr>
          <w:rFonts w:ascii="Arial" w:cs="Arial" w:eastAsia="Arial" w:hAnsi="Arial"/>
          <w:sz w:val="18"/>
          <w:szCs w:val="18"/>
          <w:color w:val="000000"/>
        </w:rPr>
        <w:t>fleet to natural gas vehicles.</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Disposal and Franchise Fees and Taxes — </w:t>
      </w:r>
      <w:r>
        <w:rPr>
          <w:rFonts w:ascii="Arial" w:cs="Arial" w:eastAsia="Arial" w:hAnsi="Arial"/>
          <w:sz w:val="16"/>
          <w:szCs w:val="16"/>
          <w:color w:val="auto"/>
        </w:rPr>
        <w:t>The decrease in disposal and franchise fees and taxes for the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was primarily related to lower volumes in our landfill line of business, largely driven by the impact of COVID-19.</w:t>
      </w:r>
    </w:p>
    <w:p>
      <w:pPr>
        <w:spacing w:after="0" w:line="12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increase in costs for the six months ended June 30, 2020 was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leachate management costs compared to the prior year period. Additionally, the six-month periods included charges of $10 million in the first quarter of 2020 and $7 million in the second quarter of 2019, due to decreases in the risk-free discount rate, which is based on the rate for U.S. Treasury bonds, used in the measurement of our environmental remediation obligations and recovery assets. This increase was partially offset by declining volumes at our landfills.</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decrease in risk management costs was primarily due to certain large loss claims in the prior-year periods, and to a lesser extent, a reduction in claims during the 2020 periods that we attribute to the COVID-19 decline in business activity.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2"/>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$ 250</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6.3 %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$ 474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$ 515</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6.7 %</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432"/>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24"/>
                <w:szCs w:val="24"/>
                <w:color w:val="auto"/>
              </w:rPr>
            </w:pPr>
          </w:p>
        </w:tc>
      </w:tr>
      <w:tr>
        <w:trPr>
          <w:trHeight w:val="425"/>
        </w:trPr>
        <w:tc>
          <w:tcPr>
            <w:tcW w:w="36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10.6 %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$ 391</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9.9 %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$ 802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$ 800</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result of the negative impacts of COVID-19 on our business, we have reduced incentive compensation accruals, and we have taken proactive steps to reduce discretionary expenses, both of which have decreased selling, general and administrative expenses. These cost reductions have been largely offset by incremental costs incurred in connection with the planned acquisition and integration of Advanced Disposal, investments in technology and increased provision for bad debts. Selling, general and administrative expenses as a percentage of revenue measures have increased in 2020 due to the decrease in volume-related revenues. Significant items affecting the comparison of our selling, general and administrative expenses between the reported periods include: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jc w:val="both"/>
        <w:ind w:left="60" w:right="79" w:firstLine="324"/>
        <w:spacing w:after="0" w:line="311" w:lineRule="auto"/>
        <w:rPr>
          <w:sz w:val="20"/>
          <w:szCs w:val="20"/>
          <w:color w:val="auto"/>
        </w:rPr>
      </w:pPr>
      <w:r>
        <w:rPr>
          <w:rFonts w:ascii="Arial" w:cs="Arial" w:eastAsia="Arial" w:hAnsi="Arial"/>
          <w:sz w:val="16"/>
          <w:szCs w:val="16"/>
          <w:i w:val="1"/>
          <w:iCs w:val="1"/>
          <w:color w:val="auto"/>
        </w:rPr>
        <w:t xml:space="preserve">Labor and Related Benefits — </w:t>
      </w:r>
      <w:r>
        <w:rPr>
          <w:rFonts w:ascii="Arial" w:cs="Arial" w:eastAsia="Arial" w:hAnsi="Arial"/>
          <w:sz w:val="16"/>
          <w:szCs w:val="16"/>
          <w:color w:val="auto"/>
        </w:rPr>
        <w:t>The decrease in labor and related benefits costs is primarily related to lower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accruals, lower health and welfare costs and proactive steps to defer hiring, all of which we attribute to the COVID-19 pandemic impacts on our business. These cost decreases were partially offset by annual merit increases.</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increase in professional fees was primarily driven by consulting fees incurred as we plan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and integration of Advanced Disposal. In addition, we continue to make strategic investments in operating, customer-facing and back-office technologies, including the implementation of a new enterprise resource planning system. We are also investing in and accelerating our customer service digitalization platform, which will connect all the WM functions required to service our customers.</w:t>
      </w:r>
    </w:p>
    <w:p>
      <w:pPr>
        <w:spacing w:after="0" w:line="188"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Provision for Bad Debts </w:t>
      </w:r>
      <w:r>
        <w:rPr>
          <w:rFonts w:ascii="Arial" w:cs="Arial" w:eastAsia="Arial" w:hAnsi="Arial"/>
          <w:sz w:val="17"/>
          <w:szCs w:val="17"/>
          <w:color w:val="auto"/>
        </w:rPr>
        <w:t>— The increase in the provision for bad debts can primarily be attributed to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impact from the COVID-19 pandemic resulting in increased collection risks associated with certain customers.</w:t>
      </w:r>
    </w:p>
    <w:p>
      <w:pPr>
        <w:spacing w:after="0" w:line="146"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The decrease in other expenses was primarily due to proactive measures taken to reduce discretionary costs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wide. Litigation reserves have also declined in 2020. These cost decreases have been partially offset by increased infrastructure costs in 2020 associated with our ongoing investments in technology as well as incremental technology costs incurred to transition employees to work-from-home in response to the COVID-19 pandemic.</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(in millions of dollars and as a percentage of revenues):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5"/>
        </w:trPr>
        <w:tc>
          <w:tcPr>
            <w:tcW w:w="32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Depreciation of tangible property and</w:t>
            </w:r>
          </w:p>
        </w:tc>
        <w:tc>
          <w:tcPr>
            <w:tcW w:w="5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$ 482</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5.7 %</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425"/>
        </w:trPr>
        <w:tc>
          <w:tcPr>
            <w:tcW w:w="3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$ 414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11.6 %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$ 409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10.4 %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$ 816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11.2 %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$ 775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10.1 %</w:t>
            </w:r>
          </w:p>
        </w:tc>
      </w:tr>
      <w:tr>
        <w:trPr>
          <w:trHeight w:val="20"/>
        </w:trPr>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increase in depreciation of tangible property and equipment during the three and six months ended June 30, 2020, compared to the prior year periods, was primarily related to investments in capital assets, including trucks and facilities. The decrease in amortization of landfill airspace during the three and six months ended June 30, 2020, compared to the prior year periods, was driven by lower volumes at our landfills as a result of the COVID-19 pandemic, partially offset by changes in landfill estimates largely driven by increases in landfill construction costs.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second quarter of 2020, we recognized non-cash impairment charges of $61 million primarily related to the following:</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Energy Services Asset Impairments </w:t>
      </w:r>
      <w:r>
        <w:rPr>
          <w:rFonts w:ascii="Arial" w:cs="Arial" w:eastAsia="Arial" w:hAnsi="Arial"/>
          <w:sz w:val="17"/>
          <w:szCs w:val="17"/>
          <w:color w:val="auto"/>
        </w:rPr>
        <w:t>— During the second quarter of 2020, the Company tested the recoverability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certain energy services assets in our Tier 1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1 segment. We wrote down the net book value of these assets to their estimated fair value using an income approach based on estimated future cash flow projections (Level 3). The aggregate fair value of the impaired asset group was $8 million as of June 30, 2020. The Company tested the recoverability of an additional $239 million in energy services assets and determined that the carrying amount was recoverable as of June 30,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Other Impairments </w:t>
      </w:r>
      <w:r>
        <w:rPr>
          <w:rFonts w:ascii="Arial" w:cs="Arial" w:eastAsia="Arial" w:hAnsi="Arial"/>
          <w:sz w:val="16"/>
          <w:szCs w:val="16"/>
          <w:color w:val="auto"/>
        </w:rPr>
        <w:t>— In addition to the energy services impairments noted above, 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 which is discussed further in Note 2 to the Condensed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the fourth quarter of 2019, as part of our annual review process, we analyzed the Areas’ income from operations margins for purposes of segment reporting and realigned our Solid Waste tiers to reflect recent changes in their relative economic characteristics and prospects. These changes are the results of various factors including acquisitions, divestitures, business mix and the economic climate of various geographies. As a result, we reclassified Western Canada from Tier 1 to Tier 2 and Northern California from Tier 3 to Tier 2. Reclassifications have been made to our prior period condensed consolidated financial information to conform to the current year presentation.</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7"/>
          </w:tcPr>
          <w:p>
            <w:pPr>
              <w:jc w:val="right"/>
              <w:ind w:right="21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2"/>
              </w:rPr>
              <w:t>Period-to-Period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5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2019(c)</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Tier 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(118)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(123)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1,565</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1,814</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3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(201)</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(169)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1,100</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1,317</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(217)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17.6</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9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includes (i) our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3" w:lineRule="exact"/>
        <w:rPr>
          <w:rFonts w:ascii="Arial" w:cs="Arial" w:eastAsia="Arial" w:hAnsi="Arial"/>
          <w:sz w:val="16"/>
          <w:szCs w:val="16"/>
          <w:color w:val="auto"/>
        </w:rPr>
      </w:pPr>
    </w:p>
    <w:p>
      <w:pPr>
        <w:jc w:val="both"/>
        <w:ind w:left="380" w:right="79" w:hanging="330"/>
        <w:spacing w:after="0" w:line="255"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84"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2020, we revised allocations between our segments including (i) the discontinuation of certain allocations from Corporate and Other to Solid Waste and (ii) allocating certain insurance costs from Other to Solid Waste. Reclassifications have been made to our prior period information for comparability purposes.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significant items affecting income from operations for our segments during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as compared with the prior year periods, are summarized below:</w:t>
      </w:r>
    </w:p>
    <w:p>
      <w:pPr>
        <w:spacing w:after="0" w:line="103" w:lineRule="exact"/>
        <w:rPr>
          <w:sz w:val="20"/>
          <w:szCs w:val="20"/>
          <w:color w:val="auto"/>
        </w:rPr>
      </w:pPr>
    </w:p>
    <w:p>
      <w:pPr>
        <w:ind w:left="720" w:right="79" w:hanging="319"/>
        <w:spacing w:after="0" w:line="342"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Income from operations in our Solid Waste business decreased significantly on a year-over-year</w:t>
      </w:r>
      <w:r>
        <w:rPr>
          <w:rFonts w:ascii="Arial" w:cs="Arial" w:eastAsia="Arial" w:hAnsi="Arial"/>
          <w:sz w:val="16"/>
          <w:szCs w:val="16"/>
          <w:i w:val="1"/>
          <w:iCs w:val="1"/>
          <w:color w:val="auto"/>
        </w:rPr>
        <w:t xml:space="preserve"> </w:t>
      </w:r>
      <w:r>
        <w:rPr>
          <w:rFonts w:ascii="Arial" w:cs="Arial" w:eastAsia="Arial" w:hAnsi="Arial"/>
          <w:sz w:val="16"/>
          <w:szCs w:val="16"/>
          <w:color w:val="auto"/>
        </w:rPr>
        <w:t>basis due to the overall negative impact of the COVID-19 pandemic and non-cash impairment charges taken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ind w:left="720" w:right="79"/>
        <w:spacing w:after="0" w:line="277" w:lineRule="auto"/>
        <w:rPr>
          <w:sz w:val="20"/>
          <w:szCs w:val="20"/>
          <w:color w:val="auto"/>
        </w:rPr>
      </w:pPr>
      <w:r>
        <w:rPr>
          <w:rFonts w:ascii="Arial" w:cs="Arial" w:eastAsia="Arial" w:hAnsi="Arial"/>
          <w:sz w:val="18"/>
          <w:szCs w:val="18"/>
          <w:color w:val="auto"/>
        </w:rPr>
        <w:t>during the second quarter of 2020. Income from operations for all Tiers was impacted by revenue declines from lower volumes as well as an increase in the provision for bad debts.</w:t>
      </w:r>
    </w:p>
    <w:p>
      <w:pPr>
        <w:spacing w:after="0" w:line="62"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Income from operations for our Tier 1 segment was impacted by $41 million of non-cash asset impairment charges primarily related to two landfills and an oil field waste injection facility. Our Tier 2 segment income from operations was impacted by natural disaster clean-up efforts in 2019 that did not reoccur in the current year period. Income from operations for our Tier 3 segment was impacted by a $20 million non-cash impairment charge related to management’s decision to close a landfill once its constructed airspace is filled and abandon any remaining permitted airspace.</w:t>
      </w:r>
    </w:p>
    <w:p>
      <w:pPr>
        <w:spacing w:after="0" w:line="84" w:lineRule="exact"/>
        <w:rPr>
          <w:sz w:val="20"/>
          <w:szCs w:val="20"/>
          <w:color w:val="auto"/>
        </w:rPr>
      </w:pPr>
    </w:p>
    <w:p>
      <w:pPr>
        <w:jc w:val="both"/>
        <w:ind w:left="720" w:right="79" w:hanging="319"/>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Income from operations for the Other segment for the three and six months ended June 30, 2020 was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(i) a $16 million non-cash charge to write off certain equipment costs in the prior year periods and</w:t>
      </w:r>
    </w:p>
    <w:p>
      <w:pPr>
        <w:ind w:left="1000" w:hanging="275"/>
        <w:spacing w:after="0"/>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decreases in risk management costs.</w:t>
      </w:r>
    </w:p>
    <w:p>
      <w:pPr>
        <w:spacing w:after="0" w:line="102" w:lineRule="exact"/>
        <w:rPr>
          <w:rFonts w:ascii="Arial" w:cs="Arial" w:eastAsia="Arial" w:hAnsi="Arial"/>
          <w:sz w:val="18"/>
          <w:szCs w:val="18"/>
          <w:color w:val="auto"/>
        </w:rPr>
      </w:pPr>
    </w:p>
    <w:p>
      <w:pPr>
        <w:jc w:val="both"/>
        <w:ind w:left="720" w:right="79" w:hanging="319"/>
        <w:spacing w:after="0" w:line="284"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 favorable change in the income from operations measurement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was primarily driven by (i) lower health and welfare costs; (ii) lower incentive compensation accruals and (iii) a $7 million charge related to the remeasurement of our environmental remediation obligations and recovery assets in the prior year, which more than offset increased expenses as a result of (i) preparation for our acquisition of Advanced Disposal; (ii) investments we are making in technology and (iii) incremental costs associated with COVID-19 pandemic. The income from operations measurement is flat for the six-month periods because (i) the above-mentioned cost reductions for health and welfare and incentive compensation were more significant in the second quarter of 2020 given the timing of the impacts of COVID-19 on our business and</w:t>
      </w:r>
    </w:p>
    <w:p>
      <w:pPr>
        <w:ind w:left="720" w:right="79" w:firstLine="5"/>
        <w:spacing w:after="0" w:line="260" w:lineRule="auto"/>
        <w:tabs>
          <w:tab w:leader="none" w:pos="9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recorded a $10 million charge related to the remeasurement of our environmental remediation obligations in the first quarter of 2020.</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59" w:lineRule="auto"/>
        <w:rPr>
          <w:sz w:val="20"/>
          <w:szCs w:val="20"/>
          <w:color w:val="auto"/>
        </w:rPr>
      </w:pPr>
      <w:r>
        <w:rPr>
          <w:rFonts w:ascii="Arial" w:cs="Arial" w:eastAsia="Arial" w:hAnsi="Arial"/>
          <w:sz w:val="17"/>
          <w:szCs w:val="17"/>
          <w:color w:val="auto"/>
        </w:rPr>
        <w:t>Our interest expense, net was $119 million and $231 million for the three and six months ended June 30, 2020, respectively, compared to $100 million and $196 million for the three and six months ended June 30, 2019, respectively. The increase for the three- and six-month periods is primarily attributable to our May 2019 issuance of $4.0 billion of senior notes, which was intended to be used to fund our planned acquisition of Advanced Disposal. For an update on these debt balances, see Note 14 to the Condensed Consolidated Financial Statements.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left="60" w:right="59" w:firstLine="259"/>
        <w:spacing w:after="0" w:line="259" w:lineRule="auto"/>
        <w:rPr>
          <w:sz w:val="20"/>
          <w:szCs w:val="20"/>
          <w:color w:val="auto"/>
        </w:rPr>
      </w:pPr>
      <w:r>
        <w:rPr>
          <w:rFonts w:ascii="Arial" w:cs="Arial" w:eastAsia="Arial" w:hAnsi="Arial"/>
          <w:sz w:val="18"/>
          <w:szCs w:val="18"/>
          <w:color w:val="auto"/>
        </w:rPr>
        <w:t>In May 2019, WM issued $4.0 billion of senior notes and used $344 million to retire $257 million of certain high-coupon senior notes. The cash paid to retire the high-coupon senior notes includes the principal amount of the debt retired, $84 million of related premiums, which are classified as loss on early extinguishment of debt in our Condensed Consolidated Statement of Operations, and $3 million of accrued interest.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recognized equity in net losses of unconsolidated entities of $14 million and $40 million for the three and six months ended June 30, 2020, respectively, compared to $16 million and $25 million for the three months and six months ended June 30, 2019, respectively. The losses for each period are primarily related to our noncontrolling interests in entities established to invest in and manage low-income housing properties. We generate tax benefits, including tax credits, from the losses incurred from these investments. Additionally, the 2019 periods include losses associated with our investment in a refined coal facility. During the first quarter of 2020, the entity that holds and manages our ownership interest in the refined coal facility sold a majority of its assets resulting in a $7 million non-cash impairment charge at that time.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During the first quarter of 2019, we recognized a $52 million non-cash impairment charge related to our minority-owned investment in a waste conversion technology business. We wrote down our investment to its estimated fair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9" w:name="page40"/>
    <w:bookmarkEnd w:id="39"/>
    <w:p>
      <w:pPr>
        <w:jc w:val="both"/>
        <w:ind w:left="60" w:right="59"/>
        <w:spacing w:after="0" w:line="286" w:lineRule="auto"/>
        <w:rPr>
          <w:sz w:val="20"/>
          <w:szCs w:val="20"/>
          <w:color w:val="auto"/>
        </w:rPr>
      </w:pPr>
      <w:r>
        <w:rPr>
          <w:rFonts w:ascii="Arial" w:cs="Arial" w:eastAsia="Arial" w:hAnsi="Arial"/>
          <w:sz w:val="17"/>
          <w:szCs w:val="17"/>
          <w:color w:val="auto"/>
        </w:rPr>
        <w:t>as the result of recent third-party investor’s transactions in these securities. The fair value of our investment was not readily determinable; thus, we determined the fair value utilizing a combination of quoted price inputs for the equity in our investment (Level 2) and certain management assumptions pertaining to investment value (Level 3).</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income tax expense was $88 million and $162 million for the three and six months ended June 30, 2020, respectively, compared to $115 million and $230 million for the three and six months ended June 30, 2019, respectively. Our effective income tax rate was 22.2% and 19.5% for the three and six months ended June 30, 2020, respectively, compared to 23.3% and 24.0% for the three and six months ended June 30, 2019, respectively.</w:t>
      </w:r>
    </w:p>
    <w:p>
      <w:pPr>
        <w:spacing w:after="0" w:line="17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decrease in our income tax expense and effective income tax rate when comparing the three and six months ended June 30, 2020 with the prior year periods are driven by (i) a decrease in pre-tax income in 2020, which increased the effective tax rate impact of our federal tax credits, and to a lesser extent; (ii) a $52 million non-cash impairment charge recognized during the first quarter of 2019 that was not deductible for tax purposes and (iii) excess tax benefits associated with equity-based compensation, which were slightly higher in 2020 than in the prior year.</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March 27, 2020, the CARES Act was enacted in response to the COVID-19 pandemic. The CARES Act contains numerous income tax provisions, none of which directly affected our income tax expense for the three and six months ended June 30, 2020 or are expected to have a material impact on our income tax expense in future reporting periods. The Company is evaluating the impact of the CARES Act and expects to benefit from the deferral of certain payroll taxes through the end of calendar year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 xml:space="preserve">The Company consistently generates cash flow from operations that meets and exceeds our working capital needs, payment of our dividends and investment in the business through capital expenditures and acquisitions. We continually monitor our actual and forecasted cash flows, our liquidity and our capital resources, enabling us to plan for our present needs and fund unbudgeted business requirements that may arise during the year, including the anticipated impact from COVID-19. Additionally, the Company is taking numerous actions to manage costs and capital spending without compromising long-term strategic priorities. This includes route optimization initiatives, reducing overtime hours, limiting hiring and optimizing our workforce through improved retention and reduced turnover, reducing non-essential selling, general and administrative expenses, reducing incentive compensation costs and lowering capital expenditures to a level that is consistent with anticipated volume changes. Additionally, as a result of the CARES Act discussed above in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 Expense</w:t>
      </w:r>
      <w:r>
        <w:rPr>
          <w:rFonts w:ascii="Arial" w:cs="Arial" w:eastAsia="Arial" w:hAnsi="Arial"/>
          <w:sz w:val="16"/>
          <w:szCs w:val="16"/>
          <w:color w:val="auto"/>
        </w:rPr>
        <w:t>, we are currently benefiting from the deferral of certain payroll taxes, which will continue through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 2020, favorably impacting our net cash provided by operating activities. The Company believes that its investment grade credit ratings, large value of unencumbered assets and modest leverage enable it to obtain adequate financing to meet its ongoing capital, operating and other liquidity requirements, despite the disruptions and challenges presented by the COVID-19 pandemic. The long-term impacts from COVID-19 on our business, financial condition and operating results cannot be predicted with reasonable certainty at this time.</w:t>
      </w:r>
    </w:p>
    <w:p>
      <w:pPr>
        <w:spacing w:after="0" w:line="16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discussed in Note 3 to the Condensed Consolidated Financial Statements, as of June 30, 2020, we had $3.0 billion of senior notes due 2024, 2026, 2029 and 2039 with a special mandatory redemption feature (the “SMR Notes”). The SMR Notes were issued in May 2019 with the intention of paying a portion of the consideration related to our pending acquisition of Advanced Disposal. The Advanced Disposal acquisition, and the revised acquisition terms announced on June 24, 2020, are discussed further in Note 8 to the Condensed Consolidated Financial Statements. Pursuant to the terms of the SMR Notes, we were required to redeem all of such outstanding notes equal to 101% of the aggregate principal amounts of such notes, plus accrued but unpaid interest, as a result of the acquisition not being completed by July 14, 2020. Accordingly, as of June 30, 2020, we have classified the SMR Notes, net of $22 million of related unamortized discounts and deferred issuance costs, as current obligations. As reported in Note 14 to the Condensed Consolidated Financial Statements, on July 20, 2020, we fulfilled our redemption obligations with respect to the SMR notes using available cash on hand and, to a lesser extent, commercial paper borrowings. The cash paid included the $3.0 billion principal amount of debt redeemed, $30 million of related premiums and $8 million of accrued interest. When we announced the revised acquisition terms 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0" w:name="page41"/>
    <w:bookmarkEnd w:id="40"/>
    <w:p>
      <w:pPr>
        <w:jc w:val="both"/>
        <w:ind w:left="60" w:right="59"/>
        <w:spacing w:after="0" w:line="257" w:lineRule="auto"/>
        <w:rPr>
          <w:sz w:val="20"/>
          <w:szCs w:val="20"/>
          <w:color w:val="auto"/>
        </w:rPr>
      </w:pPr>
      <w:r>
        <w:rPr>
          <w:rFonts w:ascii="Arial" w:cs="Arial" w:eastAsia="Arial" w:hAnsi="Arial"/>
          <w:sz w:val="18"/>
          <w:szCs w:val="18"/>
          <w:color w:val="auto"/>
        </w:rPr>
        <w:t xml:space="preserve">June 24, 2020, we also advised that the Company anticipated </w:t>
      </w:r>
      <w:r>
        <w:rPr>
          <w:rFonts w:ascii="Arial" w:cs="Arial" w:eastAsia="Arial" w:hAnsi="Arial"/>
          <w:sz w:val="18"/>
          <w:szCs w:val="18"/>
          <w:color w:val="0A0A0A"/>
        </w:rPr>
        <w:t>funding the acquisition using a combination of credit</w:t>
      </w:r>
      <w:r>
        <w:rPr>
          <w:rFonts w:ascii="Arial" w:cs="Arial" w:eastAsia="Arial" w:hAnsi="Arial"/>
          <w:sz w:val="18"/>
          <w:szCs w:val="18"/>
          <w:color w:val="auto"/>
        </w:rPr>
        <w:t xml:space="preserve"> </w:t>
      </w:r>
      <w:r>
        <w:rPr>
          <w:rFonts w:ascii="Arial" w:cs="Arial" w:eastAsia="Arial" w:hAnsi="Arial"/>
          <w:sz w:val="18"/>
          <w:szCs w:val="18"/>
          <w:color w:val="0A0A0A"/>
        </w:rPr>
        <w:t>facilities and commercial paper</w:t>
      </w:r>
      <w:r>
        <w:rPr>
          <w:rFonts w:ascii="Arial" w:cs="Arial" w:eastAsia="Arial" w:hAnsi="Arial"/>
          <w:sz w:val="18"/>
          <w:szCs w:val="18"/>
          <w:color w:val="000000"/>
        </w:rPr>
        <w:t>. Accordingly, as reported in Note 14 to the Condensed Consolidated Financial Statements,</w:t>
      </w:r>
      <w:r>
        <w:rPr>
          <w:rFonts w:ascii="Arial" w:cs="Arial" w:eastAsia="Arial" w:hAnsi="Arial"/>
          <w:sz w:val="18"/>
          <w:szCs w:val="18"/>
          <w:color w:val="0A0A0A"/>
        </w:rPr>
        <w:t xml:space="preserve"> </w:t>
      </w:r>
      <w:r>
        <w:rPr>
          <w:rFonts w:ascii="Arial" w:cs="Arial" w:eastAsia="Arial" w:hAnsi="Arial"/>
          <w:sz w:val="18"/>
          <w:szCs w:val="18"/>
          <w:color w:val="000000"/>
        </w:rPr>
        <w:t>on July 28, 2020, we entered into a supplemental 364-day, $3.0 billion U.S. revolving credit facility maturing July 27, 2021, which will be used for general corporate purposes, including funding a portion of the Advanced Disposal acquisition and refinancing of indebtedness, and to provide working capital.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3,190</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$70 million as of June 30, 2020 and December 31, 2019 in other current assets in our Condensed Consolidated Balance Sheets.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June 30, 2020, in addition to the SMR Notes, net of $22 million of related unamortized discounts and deferred issuance costs, discussed above, we had $1.3 billion of debt maturing within the next 12 months, including (i) $400 million of 4.60% senior notes that mature in March 2021; (ii) $734 million of tax-exempt bonds with term interest rate periods that expire within the next 12 months, which is prior to their scheduled maturities, and (iii) $212 million of other debt with scheduled maturities within the next 12 months, including $106 million of tax-exempt bonds. As of June 30, 2020, we have classified $1.1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$212 million is classified as current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combined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2,554</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19,336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19,345</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r>
      <w:tr>
        <w:trPr>
          <w:trHeight w:val="355"/>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8"/>
              </w:rPr>
              <w:t>June 30, 2020</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122"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Six Months Ended</w:t>
      </w:r>
    </w:p>
    <w:p>
      <w:pPr>
        <w:jc w:val="center"/>
        <w:ind w:left="69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(1,575)</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Our operating cash flows decreased as compared with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largely as a result of the impacts of COVID-19, which contributed to a significant decline in earnings. Other contributors impacting our operating cash flows for the reported periods include: (i) an increase in interest payments in the current year period primarily associated with our May 2019 issuance of $4.0 billion of senior notes and (ii) higher bonus payments in the current year period. These results were partially offset by (i) lower income tax payments in the current year period; (ii) the cash benefit associated with deferring certain payroll taxes as provided for by the CARES Act, which is discussed in the </w:t>
      </w:r>
      <w:r>
        <w:rPr>
          <w:rFonts w:ascii="Arial" w:cs="Arial" w:eastAsia="Arial" w:hAnsi="Arial"/>
          <w:sz w:val="16"/>
          <w:szCs w:val="16"/>
          <w:i w:val="1"/>
          <w:iCs w:val="1"/>
          <w:color w:val="auto"/>
        </w:rPr>
        <w:t>Income Tax Expense</w:t>
      </w:r>
      <w:r>
        <w:rPr>
          <w:rFonts w:ascii="Arial" w:cs="Arial" w:eastAsia="Arial" w:hAnsi="Arial"/>
          <w:sz w:val="16"/>
          <w:szCs w:val="16"/>
          <w:color w:val="auto"/>
        </w:rPr>
        <w:t xml:space="preserve"> section and (iii) benefits from alternative fuel tax credits.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and 2019 are summarized below:</w:t>
      </w:r>
    </w:p>
    <w:p>
      <w:pPr>
        <w:spacing w:after="0" w:line="62" w:lineRule="exact"/>
        <w:rPr>
          <w:sz w:val="20"/>
          <w:szCs w:val="20"/>
          <w:color w:val="auto"/>
        </w:rPr>
      </w:pPr>
    </w:p>
    <w:p>
      <w:pPr>
        <w:jc w:val="both"/>
        <w:ind w:left="720" w:right="79" w:hanging="319"/>
        <w:spacing w:after="0" w:line="25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spent $1 million and $440 million for acquisitions during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respectively, related to our Solid Waste business. These amounts exclude cash used in financing and operating activities related to the timing of contingent consideration paid. Our acquisition spending in 2019 relates primarily to our acquisition of Petro Waste Environmental LP, which is discussed further in Note 8 to the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2" w:name="page43"/>
    <w:bookmarkEnd w:id="42"/>
    <w:p>
      <w:pPr>
        <w:jc w:val="both"/>
        <w:ind w:left="720" w:right="79" w:hanging="319"/>
        <w:spacing w:after="0" w:line="25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$895 million and $1,049 million for capital expenditures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and 2019, respectively. The Company continues to maintain a disciplined focus on capital management to prioritize investments in the long-term growth of our business and for the replacement of aging assets; however, we are currently taking proactive steps to reduce the amount of capital spending required due to the decrease in volumes as a result of COVID-19.</w:t>
      </w:r>
    </w:p>
    <w:p>
      <w:pPr>
        <w:spacing w:after="0" w:line="187"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Other, Net — </w:t>
      </w:r>
      <w:r>
        <w:rPr>
          <w:rFonts w:ascii="Arial" w:cs="Arial" w:eastAsia="Arial" w:hAnsi="Arial"/>
          <w:sz w:val="18"/>
          <w:szCs w:val="18"/>
          <w:color w:val="auto"/>
        </w:rPr>
        <w:t>The year-over-year changes in other investing activities were primarily driven by changes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associated with a wholly-owned insurance captive. During the six months ended June 30, 2020 and 2019, we used $33 million and $81 million, respectively, of cash from restricted cash and cash equivalents to invest in available-for-sale securities. Additionally, during the first quarter of 2019, we had $17 million of cash proceeds from the redemption of our preferred stock received in conjunction with the 2014 sale of our Puerto Rico operations.</w:t>
      </w:r>
    </w:p>
    <w:p>
      <w:pPr>
        <w:spacing w:after="0" w:line="19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The most significant items affecting the comparison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cash flows for the six months ended June 30, 2020 and 2019 are summarized below:</w:t>
      </w:r>
    </w:p>
    <w:p>
      <w:pPr>
        <w:spacing w:after="0" w:line="62" w:lineRule="exact"/>
        <w:rPr>
          <w:sz w:val="20"/>
          <w:szCs w:val="20"/>
          <w:color w:val="auto"/>
        </w:rPr>
      </w:pPr>
    </w:p>
    <w:p>
      <w:pPr>
        <w:ind w:left="720" w:right="79" w:hanging="319"/>
        <w:spacing w:after="0" w:line="30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Debt (Repayments) Borrowings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six months ended June 30 (in millions):</w:t>
      </w:r>
    </w:p>
    <w:p>
      <w:pPr>
        <w:spacing w:after="0" w:line="4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3,971</w:t>
            </w:r>
          </w:p>
        </w:tc>
      </w:tr>
      <w:tr>
        <w:trPr>
          <w:trHeight w:val="209"/>
        </w:trPr>
        <w:tc>
          <w:tcPr>
            <w:tcW w:w="22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2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Net cash (repayments) borrowings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0"/>
        </w:trPr>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9"/>
        </w:trPr>
        <w:tc>
          <w:tcPr>
            <w:tcW w:w="222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Our revolving credit facility was amended and restated in November 2019.</w:t>
      </w:r>
    </w:p>
    <w:p>
      <w:pPr>
        <w:spacing w:after="0" w:line="117"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In May 2019, we issued $4.0 billion of senior notes to position us to fund our pending acquisition of Advanced Disposal. Refer to Note 3 to the Condensed Consolidated Financial Statements for additional information related to the July 2020 Special Mandatory Redemption of $3.0 billion of these senior notes and our other debt borrowings and repayments.</w:t>
      </w:r>
    </w:p>
    <w:p>
      <w:pPr>
        <w:spacing w:after="0" w:line="79" w:lineRule="exact"/>
        <w:rPr>
          <w:sz w:val="20"/>
          <w:szCs w:val="20"/>
          <w:color w:val="auto"/>
        </w:rPr>
      </w:pPr>
    </w:p>
    <w:p>
      <w:pPr>
        <w:ind w:left="720" w:right="7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During the six months ended June 30, 2019, we paid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of $84 million to retire certain high-coupon senior notes.</w:t>
      </w:r>
    </w:p>
    <w:p>
      <w:pPr>
        <w:spacing w:after="0" w:line="62"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Paper Program — </w:t>
      </w:r>
      <w:r>
        <w:rPr>
          <w:rFonts w:ascii="Arial" w:cs="Arial" w:eastAsia="Arial" w:hAnsi="Arial"/>
          <w:sz w:val="17"/>
          <w:szCs w:val="17"/>
          <w:color w:val="auto"/>
        </w:rPr>
        <w:t>During the six months ended June 30, 2019, we made net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$1,001 million under our commercial paper program. Borrowings incurred in 2019 were primarily to support acquisitions and for general corporate purposes. We repaid the outstanding balance in the second quarter of 2019 with proceeds from the May 2019 issuance of senior notes discussed above. We had no commercial paper borrowings during the six months ended June 30, 2020.</w:t>
      </w:r>
    </w:p>
    <w:p>
      <w:pPr>
        <w:spacing w:after="0" w:line="68" w:lineRule="exact"/>
        <w:rPr>
          <w:rFonts w:ascii="Arial" w:cs="Arial" w:eastAsia="Arial" w:hAnsi="Arial"/>
          <w:sz w:val="17"/>
          <w:szCs w:val="17"/>
          <w:color w:val="auto"/>
        </w:rPr>
      </w:pPr>
    </w:p>
    <w:p>
      <w:pPr>
        <w:jc w:val="both"/>
        <w:ind w:left="720" w:right="79" w:hanging="319"/>
        <w:spacing w:after="0" w:line="25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During the six months ended June 30, 2020, we repurchased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$402 million of our common stock, which includes $313 million related to a February 2020 accelerated share repurchase agreement and $89 million in open market transactions. In the first quarter of 2020, to enhance our liquidity position in response to COVID-19, we elected to temporarily suspend additional share repurchases for the foreseeable future. During the six months ended June 30, 2019, we repurchased $244 million of our common stock, which includes $180 million related to the May 2019 accelerated share repurchase agreement and $64 million in open market transactions. We also paid $4 million related to share repurchases executed in December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7" w:right="1440" w:bottom="1440" w:gutter="0" w:footer="0" w:header="0"/>
        </w:sectPr>
      </w:pPr>
    </w:p>
    <w:bookmarkStart w:id="43" w:name="page44"/>
    <w:bookmarkEnd w:id="43"/>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We paid cash dividends of $466 million and $440 million during the six months ended June 30, 2020 and 2019, respectively. The increase in dividend payments is primarily due to our quarterly per share dividend increasing from $0.5125 in 2019 to $0.545 in 2020 which was offset, in part, by a reduction in our common stock outstanding as a result of our common stock repurchase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(1,049)</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 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divested)</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562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April 14, 2019, we entered into an Agreement and Plan of Merger to acquire all outstanding shares of Advanced Disposal for $33.15 per share in cash, representing a total enterprise value at the time of $4.9 billion when including approximately $1.9 billion of Advanced Disposal’s net debt. On June 24, 2020, we entered into an amendment to the Agreement and Plan of Merger (as amended, the “Merger Agreement”), pursuant to which a subsidiary of WM will acquire all outstanding shares of Advanced Disposal for $30.30 per share in cash, representing a total enterprise value of $4.6 billion when including approximately $1.8 billion of Advanced Disposal’s net debt. Advanced Disposal’s solid waste network includes 95 collection operations, 73 transfer stations, 41 owned or operated landfills and 22 owned or operated recycling facilities. We currently expect the acquisition to close by the end of the third quarter of 2020. The Merger Agreement provides that the Company and Advanced Disposal will have a mutual right to terminate the Merger Agreement after September 30, 2020 if the closing has not occurred, and that date will automatically extend to November 30, 2020 under certain circumstances.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June 24, 2020, we also announced that we and Advanced Disposal have entered into an agreement, whereby GFL Environmental will acquire a combination of assets from us and Advanced Disposal for $835 million to address substantially all of the divestitures expected to be required by the U.S. Department of Justice in connection with the Advanced Disposal acquisition. As with the Advanced Disposal acquisition, the sale of assets to GFL Environmental remains subject to clearance from the U.S. Department of Justice and is also conditioned on the closing of our acquisition of Advanced Disposal.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July 20, 2020, we fulfilled our redemption obligations with respect to the SMR Notes using available cash on hand and, to a lesser extent, commercial paper borrowings. The cash paid includes the $3.0 billion principal amount of debt redeemed, $30 million of related premiums and $8 million of accrued interest. As of June 30, 2020, we had approximately $22 million of unamortized discounts and deferred issuance costs related to the SMR Notes. The $30 million of premiums paid and $22 million of unamortized discounts and deferred issuance costs will be included in the calculation of our expected loss on early extinguishment of debt in our Consolidated Statement of Operations in the third quarter of 2020.</w:t>
      </w:r>
    </w:p>
    <w:p>
      <w:pPr>
        <w:spacing w:after="0" w:line="16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July 28, 2020, we entered into a supplemental 364-day, $3.0 billion U.S. revolving credit facility maturing July 27, 2021, which will be used for general corporate purposes, including funding a portion of the Advanced Disposal acquisition and refinancing of indebtedness, and to provide working capital. The facility provides the Company the option to convert outstanding balances into a term loan maturing no later than the first anniversary of the maturity date, subject to the payment of a fee and notifying the administrative agent at least 15 days prior to the original maturity date. WM Holdings, a wholly-owned subsidiary of WM, guarantees all the obligations under the $3.0 billion revolving credit facility. The rates we pay for outstanding loans are generally based on LIBOR, plus a spread depending on the Company’s debt rating assigned by Moody’s Investors Service and Standard and Poor’s. The spread above LIBOR ranges from 1.0% to 1.3%. Based on our current ratings, the rate which we expect to pay will be LIBOR plus 1.225%.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10-K for the year ended December 31, 2019. Actual results could differ materially from the estimates and assumptions that we use in the preparation of our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6 to the Condensed Consolidated Financial Statements. These arrangements have not materially affected our financial position, results of operations or liquidity during the six months ended June 30, 2020, nor are they expected to have a material impact on our future financial position, results of operations or liquidity.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w:t>
      </w:r>
    </w:p>
    <w:p>
      <w:pPr>
        <w:spacing w:after="0" w:line="18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Except for the broad effects of the COVID-19 pandemic, including widespread business disruption and the negative impact on financial markets, the information about market risks as of June 30, 2020 does not differ materially from that discussed under Item 7A in our Annual Report on Form 10-K for the year ended December 31, 2019 and in Item 3 of our Quarterly Report on Form 10-Q for the quarter ended March 31, 2020.</w:t>
      </w:r>
    </w:p>
    <w:p>
      <w:pPr>
        <w:spacing w:after="0" w:line="183"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2020 (the end of the period covered by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2020. We determined that there were no changes in our internal control over financial reporting during the quarter ended June 30, 2020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180" w:right="59" w:firstLine="194"/>
        <w:spacing w:after="0" w:line="263"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Part I, Item 1A of our Annual Report on Form 10-K for the year ended December 31, 2019, as updated by Part II, Item 1A of our Quarterly Report on Form 10-Q for the quarter ended March 31, 2020.</w:t>
      </w:r>
    </w:p>
    <w:p>
      <w:pPr>
        <w:spacing w:after="0" w:line="184" w:lineRule="exact"/>
        <w:rPr>
          <w:sz w:val="20"/>
          <w:szCs w:val="20"/>
          <w:color w:val="auto"/>
        </w:rPr>
      </w:pPr>
    </w:p>
    <w:p>
      <w:pPr>
        <w:jc w:val="both"/>
        <w:ind w:left="180" w:right="59"/>
        <w:spacing w:after="0" w:line="327" w:lineRule="auto"/>
        <w:rPr>
          <w:sz w:val="20"/>
          <w:szCs w:val="20"/>
          <w:color w:val="auto"/>
        </w:rPr>
      </w:pPr>
      <w:r>
        <w:rPr>
          <w:rFonts w:ascii="Arial" w:cs="Arial" w:eastAsia="Arial" w:hAnsi="Arial"/>
          <w:sz w:val="15"/>
          <w:szCs w:val="15"/>
          <w:b w:val="1"/>
          <w:bCs w:val="1"/>
          <w:i w:val="1"/>
          <w:iCs w:val="1"/>
          <w:color w:val="212529"/>
        </w:rPr>
        <w:t>Our planned acquisition of Advanced Disposal Services, Inc. (“Advanced Disposal”) and/or our planned divestitures to GFL Environmental (together, the “Pending Transactions”) may not occur at all, may not occur in the expected time frame or may involve the divestiture of more or different businesses and assets than currently anticipated, which may negatively affect the trading price of our common stock and our future business and financial results.</w:t>
      </w:r>
    </w:p>
    <w:p>
      <w:pPr>
        <w:spacing w:after="0" w:line="14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212529"/>
        </w:rPr>
        <w:t xml:space="preserve">On April 14, 2019, we entered into an Agreement and Plan of Merger to acquire Advanced Disposal. On June 24, 2020, we entered into an amendment to the Agreement and Plan of Merger to revise the acquisition terms. If the acquisition is completed, Advanced Disposal will become an indirect wholly-owned subsidiary of WM. The consummation of the acquisition is not assured and is subject to certain conditions, including </w:t>
      </w:r>
      <w:r>
        <w:rPr>
          <w:rFonts w:ascii="Arial" w:cs="Arial" w:eastAsia="Arial" w:hAnsi="Arial"/>
          <w:sz w:val="16"/>
          <w:szCs w:val="16"/>
          <w:color w:val="000000"/>
        </w:rPr>
        <w:t>the affirmative vote of the holders of a</w:t>
      </w:r>
      <w:r>
        <w:rPr>
          <w:rFonts w:ascii="Arial" w:cs="Arial" w:eastAsia="Arial" w:hAnsi="Arial"/>
          <w:sz w:val="16"/>
          <w:szCs w:val="16"/>
          <w:color w:val="212529"/>
        </w:rPr>
        <w:t xml:space="preserve"> </w:t>
      </w:r>
      <w:r>
        <w:rPr>
          <w:rFonts w:ascii="Arial" w:cs="Arial" w:eastAsia="Arial" w:hAnsi="Arial"/>
          <w:sz w:val="16"/>
          <w:szCs w:val="16"/>
          <w:color w:val="000000"/>
        </w:rPr>
        <w:t>majority of the outstanding shares of Advanced Disposal common stoc</w:t>
      </w:r>
      <w:r>
        <w:rPr>
          <w:rFonts w:ascii="Arial" w:cs="Arial" w:eastAsia="Arial" w:hAnsi="Arial"/>
          <w:sz w:val="16"/>
          <w:szCs w:val="16"/>
          <w:color w:val="212529"/>
        </w:rPr>
        <w:t>k to approve the revised acquisition terms, the</w:t>
      </w:r>
      <w:r>
        <w:rPr>
          <w:rFonts w:ascii="Arial" w:cs="Arial" w:eastAsia="Arial" w:hAnsi="Arial"/>
          <w:sz w:val="16"/>
          <w:szCs w:val="16"/>
          <w:color w:val="000000"/>
        </w:rPr>
        <w:t xml:space="preserve"> </w:t>
      </w:r>
      <w:r>
        <w:rPr>
          <w:rFonts w:ascii="Arial" w:cs="Arial" w:eastAsia="Arial" w:hAnsi="Arial"/>
          <w:sz w:val="16"/>
          <w:szCs w:val="16"/>
          <w:color w:val="212529"/>
        </w:rPr>
        <w:t>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212529"/>
        </w:rPr>
        <w:t>On June 24, 2020, we also announced that we and Advanced Disposal have entered into an agreement, whereby GFL Environmental will acquire a combination of assets from us and Advanced Disposal to address substantially all of the divestitures expected to be required by the U.S. Department of Justice in connection with the Advanced Disposal acquisition. The sale of assets to GFL Environmental is conditioned on the closing of our acquisition of Advanced Disposal and other customary closing conditions.</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212529"/>
        </w:rPr>
        <w:t xml:space="preserve">The Pending Transactions are subject to a number of risks and uncertainties, including general economic and capital markets conditions; the effects that the announcement of the Pending Transactions may have on the respective businesses; inability to obtain required regulatory or government approvals for the Pending Transactions or to obtain such approvals on satisfactory conditions; inability </w:t>
      </w:r>
      <w:r>
        <w:rPr>
          <w:rFonts w:ascii="Arial" w:cs="Arial" w:eastAsia="Arial" w:hAnsi="Arial"/>
          <w:sz w:val="16"/>
          <w:szCs w:val="16"/>
          <w:color w:val="0A0A0A"/>
        </w:rPr>
        <w:t>to obtain approval from the stockholders of Advanced Disposal or</w:t>
      </w:r>
      <w:r>
        <w:rPr>
          <w:rFonts w:ascii="Arial" w:cs="Arial" w:eastAsia="Arial" w:hAnsi="Arial"/>
          <w:sz w:val="16"/>
          <w:szCs w:val="16"/>
          <w:color w:val="212529"/>
        </w:rPr>
        <w:t xml:space="preserve"> to satisfy other closing conditions of the Pending Transactions; </w:t>
      </w:r>
      <w:r>
        <w:rPr>
          <w:rFonts w:ascii="Arial" w:cs="Arial" w:eastAsia="Arial" w:hAnsi="Arial"/>
          <w:sz w:val="16"/>
          <w:szCs w:val="16"/>
          <w:color w:val="0A0A0A"/>
        </w:rPr>
        <w:t>inability of a party to obtain financing necessary for the Pending Transactions or</w:t>
      </w:r>
      <w:r>
        <w:rPr>
          <w:rFonts w:ascii="Arial" w:cs="Arial" w:eastAsia="Arial" w:hAnsi="Arial"/>
          <w:sz w:val="16"/>
          <w:szCs w:val="16"/>
          <w:color w:val="212529"/>
        </w:rPr>
        <w:t xml:space="preserve"> </w:t>
      </w:r>
      <w:r>
        <w:rPr>
          <w:rFonts w:ascii="Arial" w:cs="Arial" w:eastAsia="Arial" w:hAnsi="Arial"/>
          <w:sz w:val="16"/>
          <w:szCs w:val="16"/>
          <w:color w:val="0A0A0A"/>
        </w:rPr>
        <w:t xml:space="preserve">on attractive terms; </w:t>
      </w:r>
      <w:r>
        <w:rPr>
          <w:rFonts w:ascii="Arial" w:cs="Arial" w:eastAsia="Arial" w:hAnsi="Arial"/>
          <w:sz w:val="16"/>
          <w:szCs w:val="16"/>
          <w:color w:val="212529"/>
        </w:rPr>
        <w:t>the occurrence of any event, change or other circumstance that could give rise to the termination of a</w:t>
      </w:r>
      <w:r>
        <w:rPr>
          <w:rFonts w:ascii="Arial" w:cs="Arial" w:eastAsia="Arial" w:hAnsi="Arial"/>
          <w:sz w:val="16"/>
          <w:szCs w:val="16"/>
          <w:color w:val="0A0A0A"/>
        </w:rPr>
        <w:t xml:space="preserve"> </w:t>
      </w:r>
      <w:r>
        <w:rPr>
          <w:rFonts w:ascii="Arial" w:cs="Arial" w:eastAsia="Arial" w:hAnsi="Arial"/>
          <w:sz w:val="16"/>
          <w:szCs w:val="16"/>
          <w:color w:val="212529"/>
        </w:rPr>
        <w:t>Pending Transaction; legal proceedings that may be instituted related to the Pending Transactions and the legal expenses and diversion of management’s attention that may be associated therewith; and unexpected costs, charges or expenses. We will be required to pay Advanced Disposal a termination fee of $250 million, as further specified in the Merger Agreement, if the Merger Agreement is terminated because (i) of the issuance of a nonappealable court order or legal restraint prohibiting the transaction or (ii) the transaction has not closed by September 30, 2020 (which date will automatically extend to November 30, 2020 under certain circumstances set forth in the Merger Agreement). Additionally, if the Pending Transactions are not completed, if there are significant delays in completing the Pending Transactions or if we are required to divest substantially more or different assets than currently anticipated, it could negatively affect the trading price of our common stock and our future business and financial results.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500" w:type="dxa"/>
            <w:vAlign w:val="bottom"/>
            <w:gridSpan w:val="7"/>
          </w:tcPr>
          <w:p>
            <w:pPr>
              <w:ind w:left="21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20" w:type="dxa"/>
            <w:vAlign w:val="bottom"/>
            <w:tcBorders>
              <w:top w:val="single" w:sz="8" w:color="auto"/>
              <w:bottom w:val="single" w:sz="8" w:color="0000EE"/>
            </w:tcBorders>
            <w:gridSpan w:val="7"/>
          </w:tcPr>
          <w:p>
            <w:pPr>
              <w:spacing w:after="0" w:line="169"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Amendment No. 1, dated June 24, 2020, to Agreement and Plan of Merger, dated April 14, 2019, by and</w:t>
              </w:r>
            </w:hyperlink>
          </w:p>
        </w:tc>
        <w:tc>
          <w:tcPr>
            <w:tcW w:w="2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among WM, Everglades Merger Sub Inc., and Advanced Disposal Services, Inc. [incorporated by reference</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to Exhibit 2.1 to Form 8-K filed June 24, 2020].</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Amended and Restated Voting Agreement dated June 24, 2020 by and between WM and Canada Pension</w:t>
              </w:r>
            </w:hyperlink>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9"/>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Plan Investment Board [incorporated by reference to Exhibit 2.2 to Form 8-K filed June 24, 2020].</w:t>
              </w:r>
            </w:hyperlink>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7"/>
              </w:rPr>
            </w:pPr>
            <w:hyperlink r:id="rId60">
              <w:r>
                <w:rPr>
                  <w:rFonts w:ascii="Arial" w:cs="Arial" w:eastAsia="Arial" w:hAnsi="Arial"/>
                  <w:sz w:val="18"/>
                  <w:szCs w:val="18"/>
                  <w:color w:val="0000EE"/>
                  <w:w w:val="97"/>
                </w:rPr>
                <w:t>Waste Management, Inc. Employee Stock Purchase Plan, As Amended and Restated May 12, 2020</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8"/>
          </w:tcPr>
          <w:p>
            <w:pPr>
              <w:ind w:left="20"/>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[incorporated by reference to Exhibit 10.1 to Form 8-K filed May 15, 2020].</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First Amendment to Waste Management, Inc. Stock Incentive Plan dated May 12, 2020 [incorporated by</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Exhibit 10.2 to Form 8-K filed May 15, 2020].</w:t>
              </w:r>
            </w:hyperlink>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4"/>
                <w:szCs w:val="24"/>
                <w:color w:val="auto"/>
              </w:rPr>
            </w:pPr>
          </w:p>
        </w:tc>
        <w:tc>
          <w:tcPr>
            <w:tcW w:w="426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u w:val="single" w:color="auto"/>
                  <w:color w:val="0000EE"/>
                </w:rPr>
                <w:t>Guarantor Subsidiary</w:t>
              </w:r>
              <w:r>
                <w:rPr>
                  <w:rFonts w:ascii="Arial" w:cs="Arial" w:eastAsia="Arial" w:hAnsi="Arial"/>
                  <w:sz w:val="18"/>
                  <w:szCs w:val="18"/>
                  <w:color w:val="0000EE"/>
                </w:rPr>
                <w:t>.</w:t>
              </w:r>
            </w:hyperlink>
          </w:p>
        </w:tc>
        <w:tc>
          <w:tcPr>
            <w:tcW w:w="3500" w:type="dxa"/>
            <w:vAlign w:val="bottom"/>
            <w:gridSpan w:val="5"/>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amended, of James C. Fish, Jr., President and Chief Executive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amended, of Devina A. Rankin, Executive Vice President and Chief Financial Officer.</w:t>
              </w:r>
            </w:hyperlink>
          </w:p>
        </w:tc>
        <w:tc>
          <w:tcPr>
            <w:tcW w:w="1560" w:type="dxa"/>
            <w:vAlign w:val="bottom"/>
            <w:gridSpan w:val="2"/>
          </w:tcPr>
          <w:p>
            <w:pPr>
              <w:spacing w:after="0"/>
              <w:rPr>
                <w:sz w:val="17"/>
                <w:szCs w:val="17"/>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760" w:type="dxa"/>
            <w:vAlign w:val="bottom"/>
            <w:gridSpan w:val="9"/>
          </w:tcPr>
          <w:p>
            <w:pPr>
              <w:spacing w:after="0"/>
              <w:rPr>
                <w:rFonts w:ascii="Arial" w:cs="Arial" w:eastAsia="Arial" w:hAnsi="Arial"/>
                <w:sz w:val="18"/>
                <w:szCs w:val="18"/>
                <w:u w:val="single" w:color="auto"/>
                <w:color w:val="0000EE"/>
                <w:w w:val="95"/>
              </w:rPr>
            </w:pPr>
            <w:hyperlink w:anchor="page53">
              <w:r>
                <w:rPr>
                  <w:rFonts w:ascii="Arial" w:cs="Arial" w:eastAsia="Arial" w:hAnsi="Arial"/>
                  <w:sz w:val="18"/>
                  <w:szCs w:val="18"/>
                  <w:u w:val="single" w:color="auto"/>
                  <w:color w:val="0000EE"/>
                  <w:w w:val="95"/>
                </w:rPr>
                <w:t>Certification Pursuant to 18 U.S.C. §1350 of James C. Fish, Jr., President and Chief Executive Officer.</w:t>
              </w:r>
            </w:hyperlink>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Certification Pursuant to 18 U.S.C. §1350 of Devina A. Rankin, Executive Vice President and Chief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Financial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500" w:type="dxa"/>
            <w:vAlign w:val="bottom"/>
            <w:gridSpan w:val="7"/>
          </w:tcPr>
          <w:p>
            <w:pPr>
              <w:spacing w:after="0" w:line="20" w:lineRule="exact"/>
              <w:rPr>
                <w:sz w:val="1"/>
                <w:szCs w:val="1"/>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7760" w:type="dxa"/>
            <w:vAlign w:val="bottom"/>
            <w:gridSpan w:val="9"/>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Disclosures.</w:t>
              </w:r>
            </w:hyperlink>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0" w:lineRule="exact"/>
        <w:rPr>
          <w:sz w:val="20"/>
          <w:szCs w:val="20"/>
          <w:color w:val="auto"/>
        </w:rPr>
      </w:pPr>
    </w:p>
    <w:p>
      <w:pPr>
        <w:ind w:left="300" w:hanging="250"/>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Filed herewith.</w:t>
      </w:r>
    </w:p>
    <w:p>
      <w:pPr>
        <w:ind w:left="6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4"/>
              </w:rPr>
              <w:t>Leslie K. Nagy</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8"/>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of June 30, 2020,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06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4"/>
              </w:rPr>
              <w:t>Principal</w:t>
            </w:r>
          </w:p>
        </w:tc>
        <w:tc>
          <w:tcPr>
            <w:tcW w:w="2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Interest Rate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0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4"/>
              </w:rPr>
              <w:t>Amount</w:t>
            </w:r>
          </w:p>
        </w:tc>
        <w:tc>
          <w:tcPr>
            <w:tcW w:w="2540" w:type="dxa"/>
            <w:vAlign w:val="bottom"/>
            <w:gridSpan w:val="2"/>
            <w:vMerge w:val="continue"/>
          </w:tcPr>
          <w:p>
            <w:pPr>
              <w:spacing w:after="0"/>
              <w:rPr>
                <w:sz w:val="12"/>
                <w:szCs w:val="12"/>
                <w:color w:val="auto"/>
              </w:rPr>
            </w:pPr>
          </w:p>
        </w:tc>
        <w:tc>
          <w:tcPr>
            <w:tcW w:w="17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6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w w:val="90"/>
              </w:rPr>
              <w:t>Issued</w:t>
            </w:r>
          </w:p>
        </w:tc>
        <w:tc>
          <w:tcPr>
            <w:tcW w:w="84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(per annum)</w:t>
            </w:r>
          </w:p>
        </w:tc>
        <w:tc>
          <w:tcPr>
            <w:tcW w:w="84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5"/>
              </w:rPr>
              <w:t>600 million</w:t>
            </w:r>
          </w:p>
        </w:tc>
        <w:tc>
          <w:tcPr>
            <w:tcW w:w="8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7/15/2028</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250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7.375%</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5/15/2029</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500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7.75%</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5/15/2032</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600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6.125%</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11/30/2039</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400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3/1/2021</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500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9/15/2022</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350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5/15/2024</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600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3.125%</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450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750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4.10%</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500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5/15/2023</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750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3.150%</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11/15/2027</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750 million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6/15/2024</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750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3.200%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6/15/2026</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1 billion*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6/15/2029</w:t>
            </w:r>
          </w:p>
        </w:tc>
        <w:tc>
          <w:tcPr>
            <w:tcW w:w="0" w:type="dxa"/>
            <w:vAlign w:val="bottom"/>
          </w:tcPr>
          <w:p>
            <w:pPr>
              <w:spacing w:after="0"/>
              <w:rPr>
                <w:sz w:val="1"/>
                <w:szCs w:val="1"/>
                <w:color w:val="auto"/>
              </w:rPr>
            </w:pPr>
          </w:p>
        </w:tc>
      </w:tr>
      <w:tr>
        <w:trPr>
          <w:trHeight w:val="216"/>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tcPr>
          <w:p>
            <w:pPr>
              <w:ind w:left="1380"/>
              <w:spacing w:after="0"/>
              <w:rPr>
                <w:sz w:val="20"/>
                <w:szCs w:val="20"/>
                <w:color w:val="auto"/>
              </w:rPr>
            </w:pPr>
            <w:r>
              <w:rPr>
                <w:rFonts w:ascii="Arial" w:cs="Arial" w:eastAsia="Arial" w:hAnsi="Arial"/>
                <w:sz w:val="18"/>
                <w:szCs w:val="18"/>
                <w:color w:val="auto"/>
              </w:rPr>
              <w:t>500 million*</w:t>
            </w:r>
          </w:p>
        </w:tc>
        <w:tc>
          <w:tcPr>
            <w:tcW w:w="2540" w:type="dxa"/>
            <w:vAlign w:val="bottom"/>
            <w:gridSpan w:val="2"/>
          </w:tcPr>
          <w:p>
            <w:pPr>
              <w:jc w:val="right"/>
              <w:ind w:right="680"/>
              <w:spacing w:after="0"/>
              <w:rPr>
                <w:sz w:val="20"/>
                <w:szCs w:val="20"/>
                <w:color w:val="auto"/>
              </w:rPr>
            </w:pPr>
            <w:r>
              <w:rPr>
                <w:rFonts w:ascii="Arial" w:cs="Arial" w:eastAsia="Arial" w:hAnsi="Arial"/>
                <w:sz w:val="18"/>
                <w:szCs w:val="18"/>
                <w:color w:val="auto"/>
              </w:rPr>
              <w:t>4.000%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6/15/2039</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30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1 billion*</w:t>
            </w:r>
          </w:p>
        </w:tc>
        <w:tc>
          <w:tcPr>
            <w:tcW w:w="2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6/15/2049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firstLine="8"/>
        <w:spacing w:after="0" w:line="277" w:lineRule="auto"/>
        <w:tabs>
          <w:tab w:leader="none" w:pos="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WMI redeemed each of these series of Senior Notes in full on July 20, 2020, as required by the special mandatory redemption provisions of each series of such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600" w:hanging="22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6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600" w:hanging="22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2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2020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319" w:firstLine="318"/>
        <w:spacing w:after="0" w:line="277" w:lineRule="auto"/>
        <w:tabs>
          <w:tab w:leader="none" w:pos="10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2020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59" w:firstLine="318"/>
        <w:spacing w:after="0" w:line="277" w:lineRule="auto"/>
        <w:tabs>
          <w:tab w:leader="none" w:pos="10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20" w:type="dxa"/>
            <w:vAlign w:val="bottom"/>
          </w:tcPr>
          <w:p>
            <w:pPr>
              <w:spacing w:after="0"/>
              <w:rPr>
                <w:sz w:val="16"/>
                <w:szCs w:val="16"/>
                <w:color w:val="auto"/>
              </w:rPr>
            </w:pPr>
          </w:p>
        </w:tc>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50" w:lineRule="exact"/>
        <w:rPr>
          <w:sz w:val="20"/>
          <w:szCs w:val="20"/>
          <w:color w:val="auto"/>
        </w:rPr>
      </w:pPr>
    </w:p>
    <w:p>
      <w:pPr>
        <w:jc w:val="both"/>
        <w:ind w:left="60" w:right="59" w:firstLine="324"/>
        <w:spacing w:after="0" w:line="238" w:lineRule="auto"/>
        <w:rPr>
          <w:sz w:val="20"/>
          <w:szCs w:val="20"/>
          <w:color w:val="auto"/>
        </w:rPr>
      </w:pPr>
      <w:r>
        <w:rPr>
          <w:rFonts w:ascii="Arial" w:cs="Arial" w:eastAsia="Arial" w:hAnsi="Arial"/>
          <w:sz w:val="18"/>
          <w:szCs w:val="18"/>
          <w:color w:val="auto"/>
        </w:rPr>
        <w:t>During the quarter ended June 30, 2020,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8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7"/>
          <w:szCs w:val="17"/>
          <w:color w:val="auto"/>
        </w:rPr>
        <w:t>In addition, during the quarter ended June 30, 2020,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325120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lowerRoman"/>
      <w:start w:val="2"/>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Roman"/>
      <w:start w:val="3"/>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lvl w:ilvl="1">
      <w:lvlJc w:val="left"/>
      <w:lvlText w:val="(%2)"/>
      <w:numFmt w:val="lowerRoman"/>
      <w:start w:val="2"/>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Roman"/>
      <w:start w:val="1"/>
    </w:lvl>
    <w:lvl w:ilvl="1">
      <w:lvlJc w:val="left"/>
      <w:lvlText w:val="%2."/>
      <w:numFmt w:val="upperLetter"/>
      <w:start w:val="1"/>
    </w:lvl>
  </w:abstractNum>
  <w:abstractNum w:abstractNumId="31">
    <w:nsid w:val="4516DDE9"/>
    <w:multiLevelType w:val="hybridMultilevel"/>
    <w:lvl w:ilvl="0">
      <w:lvlJc w:val="left"/>
      <w:lvlText w:val="%1."/>
      <w:numFmt w:val="lowerRoman"/>
      <w:start w:val="1"/>
    </w:lvl>
    <w:lvl w:ilvl="1">
      <w:lvlJc w:val="left"/>
      <w:lvlText w:val="%2."/>
      <w:numFmt w:val="upp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58" Type="http://schemas.openxmlformats.org/officeDocument/2006/relationships/hyperlink" Target="https://www.sec.gov/Archives/edgar/data/823768/000110465920076267/tm2023187d1_ex2-1.htm" TargetMode="External"/><Relationship Id="rId59" Type="http://schemas.openxmlformats.org/officeDocument/2006/relationships/hyperlink" Target="https://www.sec.gov/Archives/edgar/data/823768/000110465920076267/tm2023187d1_ex2-2.htm" TargetMode="External"/><Relationship Id="rId60" Type="http://schemas.openxmlformats.org/officeDocument/2006/relationships/hyperlink" Target="https://www.sec.gov/Archives/edgar/data/823768/000110465920062449/tm2018602d2_ex10-1.htm" TargetMode="External"/><Relationship Id="rId61" Type="http://schemas.openxmlformats.org/officeDocument/2006/relationships/hyperlink" Target="https://www.sec.gov/Archives/edgar/data/823768/000110465920062449/tm2018602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2020-07-30T18:21:39Z</dcterms:created>
  <dcterms:modified xsi:type="dcterms:W3CDTF">2020-07-30T18:21:39Z</dcterms:modified>
</cp:coreProperties>
</file>