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Waste Management,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color w:val="auto"/>
        </w:rPr>
        <w:t>(State or Other</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color w:val="auto"/>
        </w:rPr>
        <w:t> Incorporation)</w:t>
      </w:r>
    </w:p>
    <w:p>
      <w:pPr>
        <w:sectPr>
          <w:pgSz w:w="11900" w:h="16838" w:orient="portrait"/>
          <w:cols w:equalWidth="0" w:num="1">
            <w:col w:w="11240"/>
          </w:cols>
          <w:pgMar w:left="320" w:top="729" w:right="339" w:bottom="1440" w:gutter="0" w:footer="0" w:header="0"/>
          <w:type w:val="continuous"/>
        </w:sectPr>
      </w:pPr>
    </w:p>
    <w:p>
      <w:pPr>
        <w:spacing w:after="0" w:line="2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announced, on June 3, 2024, Waste Management,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Stag Merger Sub Inc., an indirect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Stericycle, Inc. (“</w:t>
      </w:r>
      <w:r>
        <w:rPr>
          <w:rFonts w:ascii="Times New Roman" w:cs="Times New Roman" w:eastAsia="Times New Roman" w:hAnsi="Times New Roman"/>
          <w:sz w:val="18"/>
          <w:szCs w:val="18"/>
          <w:u w:val="single" w:color="auto"/>
          <w:color w:val="auto"/>
        </w:rPr>
        <w:t>Stericycle</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upon the terms and subject to the conditions set forth in the Merger Agreement, Merger Sub will merge with and into Stericycle, and Stericycle will continue as the surviving company and an indirect, wholly-owned subsidiary of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30, 2024, the Company and Stericycle received requisite approval for the closing of the Merger from the Competition Bureau of Canada pursuant to the Canadian Competition Act. Accordingly, all conditions to closing with respect to antitrust and foreign direct investment laws have been satisfied in accordance with the terms and conditions of the Merger Agreement. Subject to the satisfaction of the remaining conditions to closing, the Company, Merger Sub and Stericycle expect to complete the Merger on November 4, 2024.</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shall not be incorporated by reference into any filing of the registrant, whether made before, on or after the date hereof, regardless of any general incorporation language in such filing, unless expressly incorporated by specific reference to such filing. The information contained in Item 7.01 of this report shall not be deemed to be “filed” for purposes of Section 18 of the Securities Exchange Act of 1934, as amended, or otherwise subject to the liabilities of that section.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Stericycle and the proposed Merger, including but not limited to all statements about the timing of the closing of the Merger, receipt of regulatory approvals and ability to consummate the Merger, which are made pursuant to the safe harbor provisions of the Private Securities Litigation Reform Act of 1995. You should view these statements with caution and should not place undue reliance on such statements.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satisfy other closing conditions; the occurrence of any event, change or other circumstance that could give rise to the termination of the Merger Agreement; the effects that any termination of the Merger Agreement may have on Stericycle or its business; legal proceedings that may be instituted related to the Merger or otherwise; unexpected costs, charges or expenses; and other risks and uncertainties described in the Company’s and Stericycle’s filings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Part I, Item 1A of each company’s most recently filed Annual Report on Form 10-K and subsequent reports on Form 10-Q, which are incorporated herein by reference, and in other documents that the Company or Stericycle file or furnish with the SEC. Except to the extent required by law, neither the Company nor Stericycle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2024-11-01T10:21:44Z</dcterms:created>
  <dcterms:modified xsi:type="dcterms:W3CDTF">2024-11-01T10:21:44Z</dcterms:modified>
</cp:coreProperties>
</file>