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14,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480" w:right="24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197485</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February 14, 2006, announcing its earnings for the fiscal quarter and full year ended December 31, 2005. A copy of the press release is attached hereto as exhibit 99.1.</w:t>
      </w:r>
    </w:p>
    <w:p>
      <w:pPr>
        <w:spacing w:after="0" w:line="62"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Additionally, as announced in a press release dated January 6, 2006, the Company is holding a conference call, open to the public, to discuss these results, from 9:00 a.m. to 10:00 a.m. this morning. The call will be webcast live, and may be heard by accessing the Company’s website at www.wm.com. The call may also be listened to by calling (877) 710-6139 and entering the access code 4193513. A replay of the conference call will be available through 5:00 p.m. Central time on February 28th. The replay of the call may be heard over the Internet, by accessing the Company’s website at www.wm.com, or by telephone by dialing 800-642-1687 and entering conference code 4193513.</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the conference call, management of the Company is expected to discuss its results of operations using certain non-GAAP financial measures, including: free cash flow; adjusted earnings per share and earnings per share growth; and adjusted “EBIT margin.” The Company has provided an explanation of its use of each of these measures, as well as a reconciliation of each of the measures to the most comparable GAAP measure, in the press release, which is attached to this Form 8-K as exhibit 99.1, and the schedules thereto. When management discusses “EBIT margin,” it is referring to GAAP reported income from operations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is scheduled to give a presentation at 9:40 a.m. EST on Thursday February 16, 2005 at the 23</w:t>
      </w:r>
      <w:r>
        <w:rPr>
          <w:rFonts w:ascii="Arial" w:cs="Arial" w:eastAsia="Arial" w:hAnsi="Arial"/>
          <w:sz w:val="14"/>
          <w:szCs w:val="14"/>
          <w:color w:val="auto"/>
        </w:rPr>
        <w:t>rd</w:t>
      </w:r>
      <w:r>
        <w:rPr>
          <w:rFonts w:ascii="Arial" w:cs="Arial" w:eastAsia="Arial" w:hAnsi="Arial"/>
          <w:sz w:val="17"/>
          <w:szCs w:val="17"/>
          <w:color w:val="auto"/>
        </w:rPr>
        <w:t xml:space="preserve"> Annual Lehman Brothers Industrial Select Conference in Miami Beach, Florida. David P. Steiner, Chief Executive Officer, and Robert G. Simpson, Chief Financial Officer, will give the Company’s presentation. The conference features presentations from members of senior management of companies representing a variety of industrial sectors. The Company’s presentation will be broadcast via live and replay audio webcast. The link for the webcast will be available for two weeks after the presentation on the Company’s website at www.wm.com, and clicking on the appropriate link under the Investor Relations section. The slides accompanying the presentation will also be available on the Company’s website under the Investor Relations section.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February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14,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Press Release dated February 14, 2006</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46555" cy="59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#06-02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Fourth Quarter and Full Year 2005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Internal Revenue Growth From Yield on Base Business Reaches Five-Year High of 3.9%</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HOUSTON — February 14, 2006 — </w:t>
      </w:r>
      <w:r>
        <w:rPr>
          <w:rFonts w:ascii="Arial" w:cs="Arial" w:eastAsia="Arial" w:hAnsi="Arial"/>
          <w:sz w:val="18"/>
          <w:szCs w:val="18"/>
          <w:color w:val="auto"/>
        </w:rPr>
        <w:t>Waste Management, Inc. (NYSE: WMI) today announced financial results for its fourth quarter and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2005. Revenues for the quarter were $3.37 billion compared with $3.21 billion in the year ago period, an increase of 5.1%. Net income for the quarter was $290 million, or $0.52 per diluted share, compared with $269 million, or $0.47 per diluted share, for the fourth quarter 2004, or a 7.8% increase in net income and a 10.6% increase in earnings per share.</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very pleased with our fourth quarter results and the improvement we achieved during the year. In the fourth quarter, we again accomplished our primary objectives of earnings growth, margin expansion and strong free cash flow,” stated David P. Steiner, Chief Executive Officer of Waste Management. “Our pricing excellence initiative was the primary contributor to our improved financial performance, as our internal revenue growth from yield on base business increased 3.9% in the fourth quarter of this year over the prior year’s quarter. The internal revenue growth due to yield grew 5.5% when you include the impact of our fuel surcharge program.</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“We generated $665 million in net cash from operating activities and $286 million of free cash flow</w:t>
      </w:r>
      <w:r>
        <w:rPr>
          <w:rFonts w:ascii="Arial" w:cs="Arial" w:eastAsia="Arial" w:hAnsi="Arial"/>
          <w:sz w:val="13"/>
          <w:szCs w:val="13"/>
          <w:color w:val="auto"/>
        </w:rPr>
        <w:t>(a)</w:t>
      </w:r>
      <w:r>
        <w:rPr>
          <w:rFonts w:ascii="Arial" w:cs="Arial" w:eastAsia="Arial" w:hAnsi="Arial"/>
          <w:sz w:val="16"/>
          <w:szCs w:val="16"/>
          <w:color w:val="auto"/>
        </w:rPr>
        <w:t xml:space="preserve"> during the quarter. For the year, we produced nearly</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$2.4 billion in net cash from operating activities and over $1.4 billion of free cash flow. Our free cash flow exceeded our full-year objective due to very strong operating cash flow as well as lower than projected capital expenditures and higher than expected divestiture proceeds. We returned $1.16 billion in cash to our shareholders during 2005, which was comprised of cash dividend payments of $449 million and share repurchases of $706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several items that impacted the results for the current quarter:</w:t>
      </w:r>
    </w:p>
    <w:p>
      <w:pPr>
        <w:spacing w:after="0" w:line="117" w:lineRule="exact"/>
        <w:rPr>
          <w:sz w:val="20"/>
          <w:szCs w:val="20"/>
          <w:color w:val="auto"/>
        </w:rPr>
      </w:pPr>
    </w:p>
    <w:p>
      <w:pPr>
        <w:ind w:left="660" w:right="3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$43 million reduction in income tax expense primarily resulting from favorable tax audit settlements and an adjustment to cumulative deferred taxes arising from the reduction in our effective state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660" w:right="3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After-tax charges of $8 million related to asset impairments and unusual items due principally to an asset impairment charge at a landfill and the impairment of two software applications; partially offset by the gain on divestiture of assets in Cincinnati, Ohio.</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Combined, these items increased fourth quarter 2005 earnings by $35 million, or $0.06 per diluted share</w:t>
      </w:r>
      <w:r>
        <w:rPr>
          <w:rFonts w:ascii="Arial" w:cs="Arial" w:eastAsia="Arial" w:hAnsi="Arial"/>
          <w:sz w:val="15"/>
          <w:szCs w:val="15"/>
          <w:color w:val="auto"/>
        </w:rPr>
        <w:t>(a)</w:t>
      </w:r>
      <w:r>
        <w:rPr>
          <w:rFonts w:ascii="Arial" w:cs="Arial" w:eastAsia="Arial" w:hAnsi="Arial"/>
          <w:sz w:val="18"/>
          <w:szCs w:val="18"/>
          <w:color w:val="auto"/>
        </w:rPr>
        <w:t>. Without the impact of these items, net income for the quarter would have been $255 million, or $0.46 per diluted share.</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prior year’s fourth quarter earnings included $46 million in benefits from favorable tax audit settlements and an after-tax charge of $4 million related to asset impairments and unusual items</w:t>
      </w:r>
      <w:r>
        <w:rPr>
          <w:rFonts w:ascii="Arial" w:cs="Arial" w:eastAsia="Arial" w:hAnsi="Arial"/>
          <w:sz w:val="14"/>
          <w:szCs w:val="14"/>
          <w:color w:val="auto"/>
        </w:rPr>
        <w:t>(a)</w:t>
      </w:r>
      <w:r>
        <w:rPr>
          <w:rFonts w:ascii="Arial" w:cs="Arial" w:eastAsia="Arial" w:hAnsi="Arial"/>
          <w:sz w:val="17"/>
          <w:szCs w:val="17"/>
          <w:color w:val="auto"/>
        </w:rPr>
        <w:t>. Combined, these items increased 2004 fourth quarter earnings by $42 million, or $0.08 per diluted share. Without the impact of these items, net income for the 2004 quarter would have been $227 million, or $0.39 per diluted share.</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Excluding the impact of these items in the current and prior year quarters, adjusted earnings per share grew 17.9% and income from operations as a percent of revenue grew by approximately 90 basis points in the fourth quarter of 2005 compared with the same period of 2004</w:t>
      </w:r>
      <w:r>
        <w:rPr>
          <w:rFonts w:ascii="Arial" w:cs="Arial" w:eastAsia="Arial" w:hAnsi="Arial"/>
          <w:sz w:val="14"/>
          <w:szCs w:val="14"/>
          <w:color w:val="auto"/>
        </w:rPr>
        <w:t>(a)</w:t>
      </w:r>
      <w:r>
        <w:rPr>
          <w:rFonts w:ascii="Arial" w:cs="Arial" w:eastAsia="Arial" w:hAnsi="Arial"/>
          <w:sz w:val="17"/>
          <w:szCs w:val="17"/>
          <w:color w:val="auto"/>
        </w:rPr>
        <w:t>.</w:t>
      </w:r>
    </w:p>
    <w:p>
      <w:pPr>
        <w:spacing w:after="0" w:line="3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Steiner continued, “The strong earnings we produced during the fourth quarter demonstrate the progress we have made in our pricing excellence and operational improvement programs. In addition, several other factors contributed to the positive results during the fourth quarter of 2005. Hurricane related services contributed over $50 million in revenue and approximately $0.01 per diluted share in the fourth quarter. We also recorded about $0.02 per diluted share in net benefits due primarily to adjustments related to landfill capping obligations as a result of our annual FAS 143 accounting review.”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updated its plan to divest under-performing or non-strategic operations. In the third quarter of 2005, the Company identified operations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possible divestiture that represent over $400 million in annual gross revenue. The Company has since identified additional operations, representing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in annual gross revenue, that may be sold as part of the divestiture program. The Company is not projecting the expected proceeds or the timing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sales of these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Quarter and the Full Year</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$665 million in the quarter and $2,391 million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of $415 million in the quarter and $1,180 million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Free cash flow of $286 million in the quarter and $1,405 million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Operating expenses were 65.6% of revenue during the quarter, down from 66.0% of revenue for the same period in 2004.</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Selling, general and administrative expenses were 9.6% of revenue during the quarter, down from 9.9% of revenue for the same period in 2004.</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$243 million returned to shareholders during the quarter, consisting of $133 million in common stock repurchases, or 4.6 million shares, and</w:t>
      </w:r>
    </w:p>
    <w:p>
      <w:pPr>
        <w:spacing w:after="0" w:line="34" w:lineRule="exact"/>
        <w:rPr>
          <w:rFonts w:ascii="Arial" w:cs="Arial" w:eastAsia="Arial" w:hAnsi="Arial"/>
          <w:sz w:val="17"/>
          <w:szCs w:val="17"/>
          <w:b w:val="1"/>
          <w:bCs w:val="1"/>
          <w:color w:val="auto"/>
        </w:rPr>
      </w:pPr>
    </w:p>
    <w:p>
      <w:pPr>
        <w:ind w:left="660" w:right="1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$110 million in cash dividends. For the full year, repurchases of common stock totaled $706 million, or 24.7 million shares. Dividends paid totaled $449 million for the full year.</w:t>
      </w:r>
    </w:p>
    <w:p>
      <w:pPr>
        <w:spacing w:after="0" w:line="89" w:lineRule="exact"/>
        <w:rPr>
          <w:rFonts w:ascii="Arial" w:cs="Arial" w:eastAsia="Arial" w:hAnsi="Arial"/>
          <w:sz w:val="17"/>
          <w:szCs w:val="17"/>
          <w:b w:val="1"/>
          <w:bCs w:val="1"/>
          <w:color w:val="auto"/>
        </w:rPr>
      </w:pPr>
    </w:p>
    <w:p>
      <w:pPr>
        <w:ind w:left="660" w:right="1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of 3.6% for the quarter, with a positive growth from yield of 3.9% and a negative growth from volume of 0.3%. In addition,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left="660"/>
        <w:spacing w:after="0" w:line="259" w:lineRule="auto"/>
        <w:rPr>
          <w:sz w:val="20"/>
          <w:szCs w:val="20"/>
          <w:color w:val="auto"/>
        </w:rPr>
      </w:pPr>
      <w:r>
        <w:rPr>
          <w:rFonts w:ascii="Arial" w:cs="Arial" w:eastAsia="Arial" w:hAnsi="Arial"/>
          <w:sz w:val="18"/>
          <w:szCs w:val="18"/>
          <w:color w:val="auto"/>
        </w:rPr>
        <w:t>grew by 1.1% from the combined impact of fuel surcharges, lower recycling commodity prices and slight increases in electricity rates at independent power production facilities. The volume decline is mainly attributable to lower collection volumes in the 2005 quarter compared to the prior year quarter, partially offset by higher disposal and recycling volumes. Acquisitions net of divestitures contributed 0.3% to higher revenues in the quarter and foreign currency translation contributed an additional 0.2%.</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Steiner continued, “We are very proud of our accomplishments during 2005. As we enter 2006, we are optimistic that the momentum we have achieved in our pricing excellence programs will continue. Cost control is also a primary objective and we have specific plans in place to reduce further our operating costs as a percent of revenue. At the same time, in 2006 we will be making investments in our new revenue management system, in landfill gas projects to produce alternative energy, in medical waste projects and in several process improvement initiatives. These investments, along with our divestiture program to sell underperforming or non-strategic businesses, are being undertaken with the objective of improving the strength of the Company in 2006 and beyond.</w:t>
      </w:r>
    </w:p>
    <w:p>
      <w:pPr>
        <w:spacing w:after="0" w:line="5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plan to make these important investments while still fulfilling our $1.2 billion capital allocation program for the benefit of shareholders. And even with the higher expense levels associated with these investments, we are confident that we can achieve the analysts’ current full-year 2006 earnings consensus of $1.65 per diluted share. In 2006, we will remain committed to our financial goals of expanding our operating margins, increasing our return on invested capital and generating strong free cash flow, which we intend to return to our shareholders in the form of cash dividend payments and share repurchases.”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in regard to its financial outlook for 2006:</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projected to be in the range of $2.4 to $2.5 billion.</w:t>
      </w:r>
    </w:p>
    <w:p>
      <w:pPr>
        <w:spacing w:after="0" w:line="130" w:lineRule="exact"/>
        <w:rPr>
          <w:rFonts w:ascii="Arial" w:cs="Arial" w:eastAsia="Arial" w:hAnsi="Arial"/>
          <w:sz w:val="18"/>
          <w:szCs w:val="18"/>
          <w:b w:val="1"/>
          <w:bCs w:val="1"/>
          <w:color w:val="auto"/>
        </w:rPr>
      </w:pPr>
    </w:p>
    <w:p>
      <w:pPr>
        <w:ind w:left="660" w:right="140" w:hanging="436"/>
        <w:spacing w:after="0" w:line="34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Capital expenditures expected to be approximately $1.45 billion, including approximately $150 million as a result of combined higher spending on our new revenue management system, land surrounding our landfills, trucks, and landfill gas-to-energy and medical waste projects.</w:t>
      </w:r>
    </w:p>
    <w:p>
      <w:pPr>
        <w:spacing w:after="0" w:line="29"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Free cash flow estimated to be in the range of $1.2 to $1.3 billion, which assumes approximately $60 million in higher divestiture proceeds compared with 2005. This amount includes a portion but not all of potential proceeds of our divestitures due to variables in the timing and amount of proceeds from those sales.</w:t>
      </w:r>
    </w:p>
    <w:p>
      <w:pPr>
        <w:spacing w:after="0" w:line="86"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are projected to remain under 10% of revenue for the full year, and include $70 million in combined higher spending on the implementation of our new revenue management and other information technology systems, process improvement initiatives, marketing efforts and our long-term incentive plan.</w:t>
      </w:r>
    </w:p>
    <w:p>
      <w:pPr>
        <w:spacing w:after="0" w:line="86"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Projected share repurchases in the range of $700 to $725 million, including an accelerated share repurchase of approximately 9.0 million shares transacted on January 4, 2006 at a value of $275 million as of that date. The price for the repurchased shares is subject to a future adjustment to be determined based on a volume-weighted average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660" w:hanging="436"/>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Projected payment of $0.88 per share in dividends over the course of the year, at an approximate cash cost of $475 million</w:t>
      </w:r>
      <w:r>
        <w:rPr>
          <w:rFonts w:ascii="Arial" w:cs="Arial" w:eastAsia="Arial" w:hAnsi="Arial"/>
          <w:sz w:val="15"/>
          <w:szCs w:val="15"/>
          <w:color w:val="auto"/>
        </w:rPr>
        <w:t>(b)</w:t>
      </w:r>
      <w:r>
        <w:rPr>
          <w:rFonts w:ascii="Arial" w:cs="Arial" w:eastAsia="Arial" w:hAnsi="Arial"/>
          <w:sz w:val="18"/>
          <w:szCs w:val="18"/>
          <w:color w:val="auto"/>
        </w:rPr>
        <w:t>.</w:t>
      </w:r>
    </w:p>
    <w:p>
      <w:pPr>
        <w:spacing w:after="0" w:line="387" w:lineRule="exact"/>
        <w:rPr>
          <w:rFonts w:ascii="Arial" w:cs="Arial" w:eastAsia="Arial" w:hAnsi="Arial"/>
          <w:sz w:val="18"/>
          <w:szCs w:val="18"/>
          <w:b w:val="1"/>
          <w:bCs w:val="1"/>
          <w:color w:val="auto"/>
        </w:rPr>
      </w:pPr>
    </w:p>
    <w:p>
      <w:pPr>
        <w:ind w:left="460" w:right="80" w:hanging="452"/>
        <w:spacing w:after="0" w:line="2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This earnings release contains (i) earnings per share and earnings per share growth, each as adjusted to exclude the impact of asset impairments and unusual items and tax related items described herein; (ii) net income and net income growth, as adjusted for the above mentioned items; (iii) a discussion of the impact of asset impairments and unusual items on income from operations as a percentage of revenue and (iv) free cash flow. Each of the adjusted financial measures and free cash flow is a non-GAAP financial measure as defined in Regulation G of the Securities Exchange Act of 1934, as amended. The Company defines free cash flow as:</w:t>
      </w:r>
    </w:p>
    <w:p>
      <w:pPr>
        <w:spacing w:after="0" w:line="80" w:lineRule="exact"/>
        <w:rPr>
          <w:rFonts w:ascii="Arial" w:cs="Arial" w:eastAsia="Arial" w:hAnsi="Arial"/>
          <w:sz w:val="15"/>
          <w:szCs w:val="15"/>
          <w:color w:val="auto"/>
        </w:rPr>
      </w:pPr>
    </w:p>
    <w:p>
      <w:pPr>
        <w:ind w:left="900" w:hanging="446"/>
        <w:spacing w:after="0"/>
        <w:tabs>
          <w:tab w:leader="none" w:pos="90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-1356360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w:t>
      </w:r>
    </w:p>
    <w:p>
      <w:pPr>
        <w:spacing w:after="0" w:line="7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The Company believes that providing investors with these non-GAAP financial measures gives investors additional information to enable them to assess, in the way management assesses, the Company’s current and continuing operations. The Company included the non-GAAP financial measure of free cash flow because it uses that measure in the management of its business and because it believes that investors are interested in the cash produced by the Company from non-financing activities that is available for uses such as the Company’s acquisition program, its share repurchase program, its scheduled debt reduction and the payment of dividends. A reconciliation of (x) free cash flow to the Company’s GAAP reported cash flows from operating activities, which is the most comparable GAAP measure, (y) adjusted earnings per share and net income to the Company’s GAAP reported earnings per share and net income, and the corresponding earnings per share and net income growth percentages, and (z) adjusted income from operations to the Company’s GAAP reported income from operations, and corresponding income from operations as a percentage of revenue calculations are included in the accompanying schedules. Investors are urged to take into account GAAP measures as well as non-GAAP measures in evaluating the Company.</w:t>
      </w:r>
    </w:p>
    <w:p>
      <w:pPr>
        <w:spacing w:after="0" w:line="29" w:lineRule="exact"/>
        <w:rPr>
          <w:sz w:val="20"/>
          <w:szCs w:val="20"/>
          <w:color w:val="auto"/>
        </w:rPr>
      </w:pPr>
    </w:p>
    <w:p>
      <w:pPr>
        <w:ind w:left="460" w:right="66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All future dividend payments are at the discretion of the Board of Directors and depend on various factors that the Board may deem relevant in declaring any such dividend.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7"/>
          <w:szCs w:val="17"/>
          <w:u w:val="single" w:color="auto"/>
          <w:color w:val="auto"/>
        </w:rPr>
        <w:t>http://www.wm.com</w:t>
      </w:r>
      <w:r>
        <w:rPr>
          <w:rFonts w:ascii="Arial" w:cs="Arial" w:eastAsia="Arial" w:hAnsi="Arial"/>
          <w:sz w:val="17"/>
          <w:szCs w:val="17"/>
          <w:color w:val="auto"/>
        </w:rPr>
        <w:t xml:space="preserve">, and select “4Q and Full Year 2005 WMI Earnings Report Conference Call.” You may also listen to the analyst conference call by telephone by contacting the conference call operator 5 to10 minutes prior to the scheduled start time and asking for the “Waste Management Conference Call — Call ID 4193513.” US/Canada Dial-In Number: (877) 710-6139. Int’l/Local Dial-In Number: (706) 643-7398. For those unable to listen to the live call, a replay will be available 24 hours a day beginning at approximately 11:00 a.m. Central time February 14 through 5:00 p.m. Central time on February 28. To hear a replay of the call over the Internet, access the Waste Management Website at </w:t>
      </w:r>
      <w:r>
        <w:rPr>
          <w:rFonts w:ascii="Arial" w:cs="Arial" w:eastAsia="Arial" w:hAnsi="Arial"/>
          <w:sz w:val="17"/>
          <w:szCs w:val="17"/>
          <w:u w:val="single" w:color="auto"/>
          <w:color w:val="auto"/>
        </w:rPr>
        <w:t>http://www.wm.com</w:t>
      </w:r>
      <w:r>
        <w:rPr>
          <w:rFonts w:ascii="Arial" w:cs="Arial" w:eastAsia="Arial" w:hAnsi="Arial"/>
          <w:sz w:val="17"/>
          <w:szCs w:val="17"/>
          <w:color w:val="auto"/>
        </w:rPr>
        <w:t>. To hear a telephonic replay of the call, dial (800) 642-1687 or (706) 645-9291 and enter reservation code 4193513.</w:t>
      </w:r>
    </w:p>
    <w:p>
      <w:pPr>
        <w:spacing w:after="0" w:line="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2006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59" w:lineRule="exact"/>
        <w:rPr>
          <w:sz w:val="20"/>
          <w:szCs w:val="20"/>
          <w:color w:val="auto"/>
        </w:rPr>
      </w:pPr>
    </w:p>
    <w:p>
      <w:pPr>
        <w:ind w:left="660" w:right="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revenue growth from yield;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as volumes increase if we are unable to control our costs;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attract or retain qualified personnel, including licensed drivers and truck maintenance professionals, due to any number of factors including qualified workforce shortages;</w:t>
      </w:r>
    </w:p>
    <w:p>
      <w:pPr>
        <w:spacing w:after="0" w:line="75" w:lineRule="exact"/>
        <w:rPr>
          <w:rFonts w:ascii="Arial" w:cs="Arial" w:eastAsia="Arial" w:hAnsi="Arial"/>
          <w:sz w:val="18"/>
          <w:szCs w:val="18"/>
          <w:b w:val="1"/>
          <w:bCs w:val="1"/>
          <w:color w:val="auto"/>
        </w:rPr>
      </w:pPr>
    </w:p>
    <w:p>
      <w:pPr>
        <w:jc w:val="both"/>
        <w:ind w:left="660" w:right="64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plans and programs such as pricing increases, passing on increased costs to our customers, divesting of under-performing assets and purchasing accretive businesses, any of which could negatively affect our revenues and margins;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fuel price increases or fuel supply shortages may increase our expenses or increase our tax expense due to the reduction of Section 29 credits;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and resulting higher interest rates may have negative effects on the economy, which could result in decreases in volumes of waste generated and increases in our financing and operating costs;</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inability of our insurers to meet their obligations may cause our expenses to increase or result in our inability to recover from losses we might incur;</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 to quarter results to fluctuate, and extremely harsh weather or natural disasters may cause us to shut down operations;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increasing the cost to comply with regulatory requirements and the potential liabilities associated with disposal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operate our facilities, our results of operations will be negatively impacted;</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or cross-border waste or certain categories of waste can increase our expenses or reduce our revenues, earnings and cash flows;</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right="180" w:hanging="436"/>
        <w:spacing w:after="0" w:line="308"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trends toward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660" w:right="2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management’s attention may be diverted and operating expenses may increase due to efforts by labor unions to organize our employees or due to strikes or work disruptions;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litigation and threatened litigation may increase our costs and negative outcomes from litigation may result in increased expenses;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errors or problems in connection with the implementation and deployment of new information technology systems may decrease our efficiencies and increase our costs to operate;</w:t>
      </w:r>
    </w:p>
    <w:p>
      <w:pPr>
        <w:spacing w:after="0" w:line="75"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quarterly results of operations or adversely impact our quarterly or annual results of operations; and</w:t>
      </w:r>
    </w:p>
    <w:p>
      <w:pPr>
        <w:spacing w:after="0" w:line="75" w:lineRule="exact"/>
        <w:rPr>
          <w:rFonts w:ascii="Arial" w:cs="Arial" w:eastAsia="Arial" w:hAnsi="Arial"/>
          <w:sz w:val="18"/>
          <w:szCs w:val="18"/>
          <w:b w:val="1"/>
          <w:bCs w:val="1"/>
          <w:color w:val="auto"/>
        </w:rPr>
      </w:pPr>
    </w:p>
    <w:p>
      <w:pPr>
        <w:ind w:left="660" w:right="10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i w:val="1"/>
          <w:iCs w:val="1"/>
          <w:color w:val="auto"/>
        </w:rPr>
        <w:t>we may reduce or eliminate our dividend or share repurchase program and we may need additional capital if cash flows are less than we expect or capital expenditures are more than we expect, and we may not be able to obtain additional capital on acceptable terms if needed.</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2004 and Part II of the Company’s Quarterly Report on Form 10-Q for the quarter ended September 30, 2005.</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439"/>
        </w:trPr>
        <w:tc>
          <w:tcPr>
            <w:tcW w:w="76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impairments and unusual items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439"/>
        </w:trPr>
        <w:tc>
          <w:tcPr>
            <w:tcW w:w="7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552.1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576.3</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 (2005 includes $0.22 payable in 2006)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subordinated notes, net of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w w:val="93"/>
              </w:rPr>
              <w:t>Dilutive effect of equity-based compensation awards, warrants, convertible subordinated notes and other contingently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issuable shares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576.3</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jc w:val="right"/>
              <w:ind w:right="307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9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13,074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12,516</w:t>
            </w:r>
          </w:p>
        </w:tc>
        <w:tc>
          <w:tcPr>
            <w:tcW w:w="0" w:type="dxa"/>
            <w:vAlign w:val="bottom"/>
          </w:tcPr>
          <w:p>
            <w:pPr>
              <w:spacing w:after="0"/>
              <w:rPr>
                <w:sz w:val="1"/>
                <w:szCs w:val="1"/>
                <w:color w:val="auto"/>
              </w:rPr>
            </w:pPr>
          </w:p>
        </w:tc>
      </w:tr>
      <w:tr>
        <w:trPr>
          <w:trHeight w:val="439"/>
        </w:trPr>
        <w:tc>
          <w:tcPr>
            <w:tcW w:w="80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impairments and unusual items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11,364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439"/>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 expense of $5 in 2004</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561.5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 (2005 includes $0.22 payable in 2006)</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(4)</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5,364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21,135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2,735</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1,182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business divestitures, asset sales and other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8"/>
              </w:rPr>
              <w:t>Quarters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Transfer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Recycling and 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Operating revenues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3,375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Internal growth</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Less: Yield changes due to recycling commodities, electricity (IPP) and fuel surcharge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600"/>
              <w:spacing w:after="0"/>
              <w:rPr>
                <w:sz w:val="20"/>
                <w:szCs w:val="20"/>
                <w:color w:val="auto"/>
              </w:rPr>
            </w:pPr>
            <w:r>
              <w:rPr>
                <w:rFonts w:ascii="Arial" w:cs="Arial" w:eastAsia="Arial" w:hAnsi="Arial"/>
                <w:sz w:val="18"/>
                <w:szCs w:val="18"/>
                <w:color w:val="auto"/>
              </w:rPr>
              <w:t xml:space="preserve">Adjusted internal growth </w:t>
            </w:r>
            <w:r>
              <w:rPr>
                <w:rFonts w:ascii="Arial" w:cs="Arial" w:eastAsia="Arial" w:hAnsi="Arial"/>
                <w:sz w:val="18"/>
                <w:szCs w:val="18"/>
                <w:b w:val="1"/>
                <w:bCs w:val="1"/>
                <w:color w:val="auto"/>
              </w:rPr>
              <w:t>(b)</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(c)</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Recycling Segment Supplemental Data (d)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 (exclusive of depreciation and amortization)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2"/>
              </w:rPr>
              <w:t>Quarters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(e)</w:t>
            </w: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2,391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1,405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10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impacts of hurricane revenue, adjusted internal growth for the quarters ended December 31, 2005, September 30, 2005 and December 31, 2004 is estimated to be 3.9%, 3.0% and 2.6%,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966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8,687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8,342</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 (b)</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306"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Prior period information has been reclassified to conform to 2005 presentation. The quarters ended December 31, 2005, September 30, 2005 and December 31, 2004 include short-term investments available for use of $300 million, $178 million and $19 million, respectively.</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Reflected in the December 31, 2005 and December 31, 2004 results is a reduction in landfill amortization expense of $12.4 million and $22.6 million, respectively. These reductions relate primarily to adjustments to our fully accrued landfill final capping obligations and are a result of fourth quarter event-driven changes as well as changes in certain estimates resulting from our annual landfill review process.</w:t>
      </w:r>
    </w:p>
    <w:p>
      <w:pPr>
        <w:spacing w:after="0" w:line="32" w:lineRule="exact"/>
        <w:rPr>
          <w:rFonts w:ascii="Arial" w:cs="Arial" w:eastAsia="Arial" w:hAnsi="Arial"/>
          <w:sz w:val="18"/>
          <w:szCs w:val="18"/>
          <w:color w:val="auto"/>
        </w:rPr>
      </w:pPr>
    </w:p>
    <w:p>
      <w:pPr>
        <w:ind w:left="460" w:right="5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 ended September 30, 2005 includes a cumulative correction to increase Non-SFAS No.143 Amortization Expense in the amount of $20.6 million and SFAS No.143 Amortization Expense in the amount of $1.5 million resulting from reducing amortization periods at five of our landfills.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6"/>
              </w:rPr>
              <w:t>Quarter Ended</w:t>
            </w:r>
          </w:p>
        </w:tc>
      </w:tr>
      <w:tr>
        <w:trPr>
          <w:trHeight w:val="17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 2005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December 31, 2004</w:t>
            </w:r>
          </w:p>
        </w:tc>
      </w:tr>
      <w:tr>
        <w:trPr>
          <w:trHeight w:val="119"/>
        </w:trPr>
        <w:tc>
          <w:tcPr>
            <w:tcW w:w="6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After-tax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r>
      <w:tr>
        <w:trPr>
          <w:trHeight w:val="17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06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 (a)</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290</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0.52</w:t>
            </w: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269</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0.47</w:t>
            </w:r>
          </w:p>
        </w:tc>
      </w:tr>
      <w:tr>
        <w:trPr>
          <w:trHeight w:val="216"/>
        </w:trPr>
        <w:tc>
          <w:tcPr>
            <w:tcW w:w="6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Income tax settlements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from reduction of estimated effective tax rate for 2005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(0.03)</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Asset impairments and unusual items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adjusted (b)</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255</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0.46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227</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0.39</w:t>
            </w:r>
          </w:p>
        </w:tc>
      </w:tr>
      <w:tr>
        <w:trPr>
          <w:trHeight w:val="20"/>
        </w:trPr>
        <w:tc>
          <w:tcPr>
            <w:tcW w:w="6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6"/>
          </w:tcPr>
          <w:p>
            <w:pPr>
              <w:jc w:val="right"/>
              <w:spacing w:after="0"/>
              <w:rPr>
                <w:sz w:val="20"/>
                <w:szCs w:val="20"/>
                <w:color w:val="auto"/>
              </w:rPr>
            </w:pPr>
            <w:r>
              <w:rPr>
                <w:rFonts w:ascii="Arial" w:cs="Arial" w:eastAsia="Arial" w:hAnsi="Arial"/>
                <w:sz w:val="14"/>
                <w:szCs w:val="14"/>
                <w:b w:val="1"/>
                <w:bCs w:val="1"/>
                <w:color w:val="auto"/>
              </w:rPr>
              <w:t>Quarters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06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3,372</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20"/>
                <w:szCs w:val="20"/>
                <w:color w:val="auto"/>
              </w:rPr>
            </w:pP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r>
      <w:tr>
        <w:trPr>
          <w:trHeight w:val="202"/>
        </w:trPr>
        <w:tc>
          <w:tcPr>
            <w:tcW w:w="6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from Operations as a percent of Revenue (c)</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r>
      <w:tr>
        <w:trPr>
          <w:trHeight w:val="432"/>
        </w:trPr>
        <w:tc>
          <w:tcPr>
            <w:tcW w:w="6060" w:type="dxa"/>
            <w:vAlign w:val="bottom"/>
          </w:tcPr>
          <w:p>
            <w:pPr>
              <w:ind w:left="220"/>
              <w:spacing w:after="0"/>
              <w:rPr>
                <w:sz w:val="20"/>
                <w:szCs w:val="20"/>
                <w:color w:val="auto"/>
              </w:rPr>
            </w:pPr>
            <w:r>
              <w:rPr>
                <w:rFonts w:ascii="Arial" w:cs="Arial" w:eastAsia="Arial" w:hAnsi="Arial"/>
                <w:sz w:val="18"/>
                <w:szCs w:val="18"/>
                <w:b w:val="1"/>
                <w:bCs w:val="1"/>
                <w:color w:val="auto"/>
              </w:rPr>
              <w:t>Adjustments to Income from Operations: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impairments and unusual items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432"/>
        </w:trPr>
        <w:tc>
          <w:tcPr>
            <w:tcW w:w="6060" w:type="dxa"/>
            <w:vAlign w:val="bottom"/>
          </w:tcPr>
          <w:p>
            <w:pPr>
              <w:ind w:left="220"/>
              <w:spacing w:after="0"/>
              <w:rPr>
                <w:sz w:val="20"/>
                <w:szCs w:val="20"/>
                <w:color w:val="auto"/>
              </w:rPr>
            </w:pPr>
            <w:r>
              <w:rPr>
                <w:rFonts w:ascii="Arial" w:cs="Arial" w:eastAsia="Arial" w:hAnsi="Arial"/>
                <w:sz w:val="18"/>
                <w:szCs w:val="18"/>
                <w:b w:val="1"/>
                <w:bCs w:val="1"/>
                <w:color w:val="auto"/>
              </w:rPr>
              <w:t>As adjusted: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3,372</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20"/>
                <w:szCs w:val="20"/>
                <w:color w:val="auto"/>
              </w:rPr>
            </w:pPr>
          </w:p>
        </w:tc>
        <w:tc>
          <w:tcPr>
            <w:tcW w:w="46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r>
      <w:tr>
        <w:trPr>
          <w:trHeight w:val="202"/>
        </w:trPr>
        <w:tc>
          <w:tcPr>
            <w:tcW w:w="6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Adjusted Income from Operations as a percent of Revenue (d)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r>
      <w:tr>
        <w:trPr>
          <w:trHeight w:val="365"/>
        </w:trPr>
        <w:tc>
          <w:tcPr>
            <w:tcW w:w="6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Low</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High</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5"/>
              </w:rPr>
              <w:t>Free Cash Flow — Projected ranges for the year ended December 31, 2006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0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2,400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r>
      <w:tr>
        <w:trPr>
          <w:trHeight w:val="216"/>
        </w:trPr>
        <w:tc>
          <w:tcPr>
            <w:tcW w:w="7620" w:type="dxa"/>
            <w:vAlign w:val="bottom"/>
            <w:gridSpan w:val="5"/>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r>
      <w:tr>
        <w:trPr>
          <w:trHeight w:val="27"/>
        </w:trPr>
        <w:tc>
          <w:tcPr>
            <w:tcW w:w="6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Free cash flow</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1,300</w:t>
            </w:r>
          </w:p>
        </w:tc>
      </w:tr>
      <w:tr>
        <w:trPr>
          <w:trHeight w:val="20"/>
        </w:trPr>
        <w:tc>
          <w:tcPr>
            <w:tcW w:w="6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Net income and Diluted EPS, as reported, of 7.8% and 10.6%,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Net income and Diluted EPS, as adjusted, of 12.3% and 17.9%,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reported, of 80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adjusted, of 90 basis points.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2019-12-11T21:25:11Z</dcterms:created>
  <dcterms:modified xsi:type="dcterms:W3CDTF">2019-12-11T21:25:11Z</dcterms:modified>
</cp:coreProperties>
</file>