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1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4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1001 Fannin, Houston, Texas</w:t>
            </w:r>
          </w:p>
        </w:tc>
        <w:tc>
          <w:tcPr>
            <w:tcW w:w="24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140" w:type="dxa"/>
            <w:vAlign w:val="bottom"/>
          </w:tcPr>
          <w:p>
            <w:pPr>
              <w:jc w:val="center"/>
              <w:ind w:left="12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2015,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21854213. To access a replay telephonically, please dial (855) 859-2056 and use the replay conference ID number 21854213.</w:t>
      </w:r>
    </w:p>
    <w:p>
      <w:pPr>
        <w:spacing w:after="0" w:line="188"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18, 2016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18,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2016</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35" w:lineRule="exact"/>
        <w:rPr>
          <w:sz w:val="20"/>
          <w:szCs w:val="20"/>
          <w:color w:val="auto"/>
        </w:rPr>
      </w:pPr>
    </w:p>
    <w:p>
      <w:pPr>
        <w:jc w:val="center"/>
        <w:ind w:left="20"/>
        <w:spacing w:after="0"/>
        <w:rPr>
          <w:sz w:val="20"/>
          <w:szCs w:val="20"/>
          <w:color w:val="auto"/>
        </w:rPr>
      </w:pPr>
      <w:r>
        <w:rPr>
          <w:rFonts w:ascii="Arial" w:cs="Arial" w:eastAsia="Arial" w:hAnsi="Arial"/>
          <w:sz w:val="40"/>
          <w:szCs w:val="40"/>
          <w:color w:val="auto"/>
        </w:rPr>
        <w:t>Waste Management Announces Fourth</w:t>
      </w:r>
    </w:p>
    <w:p>
      <w:pPr>
        <w:spacing w:after="0" w:line="20" w:lineRule="exact"/>
        <w:rPr>
          <w:sz w:val="20"/>
          <w:szCs w:val="20"/>
          <w:color w:val="auto"/>
        </w:rPr>
      </w:pPr>
    </w:p>
    <w:p>
      <w:pPr>
        <w:jc w:val="center"/>
        <w:ind w:left="20"/>
        <w:spacing w:after="0"/>
        <w:rPr>
          <w:sz w:val="20"/>
          <w:szCs w:val="20"/>
          <w:color w:val="auto"/>
        </w:rPr>
      </w:pPr>
      <w:r>
        <w:rPr>
          <w:rFonts w:ascii="Arial" w:cs="Arial" w:eastAsia="Arial" w:hAnsi="Arial"/>
          <w:sz w:val="40"/>
          <w:szCs w:val="40"/>
          <w:color w:val="auto"/>
        </w:rPr>
        <w:t>Quarter and Full-Year 2015 Earnings</w:t>
      </w:r>
    </w:p>
    <w:p>
      <w:pPr>
        <w:spacing w:after="0" w:line="223" w:lineRule="exact"/>
        <w:rPr>
          <w:sz w:val="20"/>
          <w:szCs w:val="20"/>
          <w:color w:val="auto"/>
        </w:rPr>
      </w:pPr>
    </w:p>
    <w:p>
      <w:pPr>
        <w:jc w:val="center"/>
        <w:ind w:left="20"/>
        <w:spacing w:after="0"/>
        <w:rPr>
          <w:sz w:val="20"/>
          <w:szCs w:val="20"/>
          <w:color w:val="auto"/>
        </w:rPr>
      </w:pPr>
      <w:r>
        <w:rPr>
          <w:rFonts w:ascii="Arial" w:cs="Arial" w:eastAsia="Arial" w:hAnsi="Arial"/>
          <w:sz w:val="22"/>
          <w:szCs w:val="22"/>
          <w:color w:val="auto"/>
        </w:rPr>
        <w:t>Company exceeds 2015 expectations</w:t>
      </w:r>
    </w:p>
    <w:p>
      <w:pPr>
        <w:spacing w:after="0" w:line="8" w:lineRule="exact"/>
        <w:rPr>
          <w:sz w:val="20"/>
          <w:szCs w:val="20"/>
          <w:color w:val="auto"/>
        </w:rPr>
      </w:pPr>
    </w:p>
    <w:p>
      <w:pPr>
        <w:jc w:val="center"/>
        <w:ind w:left="20"/>
        <w:spacing w:after="0"/>
        <w:rPr>
          <w:sz w:val="20"/>
          <w:szCs w:val="20"/>
          <w:color w:val="auto"/>
        </w:rPr>
      </w:pPr>
      <w:r>
        <w:rPr>
          <w:rFonts w:ascii="Arial" w:cs="Arial" w:eastAsia="Arial" w:hAnsi="Arial"/>
          <w:sz w:val="22"/>
          <w:szCs w:val="22"/>
          <w:color w:val="auto"/>
        </w:rPr>
        <w:t>Expects continued momentum through 2016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HOUSTON – February 18, 2016 – </w:t>
      </w:r>
      <w:r>
        <w:rPr>
          <w:rFonts w:ascii="Arial" w:cs="Arial" w:eastAsia="Arial" w:hAnsi="Arial"/>
          <w:sz w:val="16"/>
          <w:szCs w:val="16"/>
          <w:color w:val="auto"/>
        </w:rPr>
        <w:t>Waste Management, Inc. (NYSE: WM) today announced financial results for its quarter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2015. Revenues for the fourth quarter of 2015 were $3.25 billion compared with $3.44 billion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same 2014 period. Net income for the quarter was $273 million, or $0.61 per diluted share, compared with net income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$590 million, or $1.28 per diluted share, for the fourth quarter of 2014. On an as-adjusted basis, net income would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 million, or $0.71 per diluted share, in the fourth quarter of 2015 compared with $278 million, or $0.60 per diluted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2014.</w:t>
      </w:r>
      <w:r>
        <w:rPr>
          <w:rFonts w:ascii="Arial" w:cs="Arial" w:eastAsia="Arial" w:hAnsi="Arial"/>
          <w:sz w:val="15"/>
          <w:szCs w:val="15"/>
          <w:color w:val="auto"/>
        </w:rPr>
        <w:t>(b)</w:t>
      </w:r>
    </w:p>
    <w:p>
      <w:pPr>
        <w:spacing w:after="0" w:line="238"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Company’s fourth quarter 2015 results have been adjusted to exclude approximately $0.10 per diluted share of net after-tax charges primarily related to the impairment of certain assets as a result of the pronounced decrease in oil and gas prices. The Company’s as-adjusted fourth quarter 2014 results exclude a tax affected $0.68 per diluted share impact primarily from the sale of the Company’s waste-to-energy business and other assets divested in 2014.</w:t>
      </w:r>
      <w:r>
        <w:rPr>
          <w:rFonts w:ascii="Arial" w:cs="Arial" w:eastAsia="Arial" w:hAnsi="Arial"/>
          <w:sz w:val="14"/>
          <w:szCs w:val="14"/>
          <w:color w:val="auto"/>
        </w:rPr>
        <w:t>(b)</w:t>
      </w:r>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full year 2015, the Company reported revenues of $13 billion, compared with $14 billion for 2014. Earnings per diluted share were $1.65 for the full year 2015 compared with $2.79 for the full year 2014. On an as-adjusted basis, earnings per diluted share were $2.61 for the full-year 2015 versus $2.30 for the full-year 2014.</w:t>
      </w:r>
      <w:r>
        <w:rPr>
          <w:rFonts w:ascii="Arial" w:cs="Arial" w:eastAsia="Arial" w:hAnsi="Arial"/>
          <w:sz w:val="14"/>
          <w:szCs w:val="14"/>
          <w:color w:val="auto"/>
        </w:rPr>
        <w:t>(b)</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David P. Steiner, President and Chief Executive Officer of Waste Management, commented, “In 2015 we maintained our commitment to core price, disciplined growth, and cost controls. The continued improvement in these areas is reflected in our key operating metrics in our fourth quarter and full year results, leading to year-over-year improvements in adjusted operating income and margin and operating EBITDA and margin.</w:t>
      </w:r>
      <w:r>
        <w:rPr>
          <w:rFonts w:ascii="Arial" w:cs="Arial" w:eastAsia="Arial" w:hAnsi="Arial"/>
          <w:sz w:val="15"/>
          <w:szCs w:val="15"/>
          <w:color w:val="auto"/>
        </w:rPr>
        <w:t>(c)</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fourth quarter, the trend toward positive volumes continued, with internal revenue growth from volume in our traditional solid waste business improving 60 basis points compared to the fourth quarter of 2014. We saw improving volume trends across our industrial and commercial lines of business. We are encouraged by the positive momentum we are seeing in these volumes and expect them to continue to improve throughout 2016. Our continued focus on core price and costs, combined with improving volumes, position us for strong cash generation in 2016 and beyond.”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2015 AND THE FULL YEAR 2015</w:t>
      </w:r>
    </w:p>
    <w:p>
      <w:pPr>
        <w:spacing w:after="0" w:line="135" w:lineRule="exact"/>
        <w:rPr>
          <w:sz w:val="20"/>
          <w:szCs w:val="20"/>
          <w:color w:val="auto"/>
        </w:rPr>
      </w:pPr>
    </w:p>
    <w:p>
      <w:pPr>
        <w:ind w:left="720" w:right="180" w:hanging="262"/>
        <w:spacing w:after="0" w:line="291" w:lineRule="auto"/>
        <w:tabs>
          <w:tab w:leader="none" w:pos="693"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fourth quarter, the Company saw a $50 million increase in internal revenue growth from its traditional solid waste business and a $59 million increase in revenues from acquisitions. However, overall revenue declined by</w:t>
      </w:r>
    </w:p>
    <w:p>
      <w:pPr>
        <w:ind w:left="720" w:right="40"/>
        <w:spacing w:after="0" w:line="261" w:lineRule="auto"/>
        <w:rPr>
          <w:rFonts w:ascii="Arial" w:cs="Arial" w:eastAsia="Arial" w:hAnsi="Arial"/>
          <w:sz w:val="16"/>
          <w:szCs w:val="16"/>
          <w:color w:val="auto"/>
        </w:rPr>
      </w:pPr>
      <w:r>
        <w:rPr>
          <w:rFonts w:ascii="Arial" w:cs="Arial" w:eastAsia="Arial" w:hAnsi="Arial"/>
          <w:sz w:val="18"/>
          <w:szCs w:val="18"/>
          <w:color w:val="auto"/>
        </w:rPr>
        <w:t>5.6%, or $191 million. That revenue decline stemmed from a $163 million decline from divestitures, $43 million in lower fuel surcharge revenues, $34 million in lower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9080" w:space="720"/>
            <w:col w:w="1520"/>
          </w:cols>
          <w:pgMar w:left="240" w:top="121" w:right="339" w:bottom="1440" w:gutter="0" w:footer="0" w:header="0"/>
        </w:sectPr>
      </w:pPr>
    </w:p>
    <w:bookmarkStart w:id="5" w:name="page6"/>
    <w:bookmarkEnd w:id="5"/>
    <w:p>
      <w:pPr>
        <w:ind w:left="262" w:right="759"/>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recycling revenues, and $33 million in foreign currency fluctuations. For the full year, the Company saw a $157 million increase in internal revenue growth from its traditional solid waste business and a $174 million increase in revenues from acquisitions. These increases were offset by a $762 million decline from divestitures, $211 million in lower recycling revenues, $171 million in lower fuel surcharge revenues, and $126 million in foreign currency fluctuations.</w:t>
      </w:r>
    </w:p>
    <w:p>
      <w:pPr>
        <w:spacing w:after="0" w:line="60" w:lineRule="exact"/>
        <w:rPr>
          <w:sz w:val="20"/>
          <w:szCs w:val="20"/>
          <w:color w:val="auto"/>
        </w:rPr>
      </w:pPr>
    </w:p>
    <w:p>
      <w:pPr>
        <w:ind w:left="242" w:hanging="242"/>
        <w:spacing w:after="0"/>
        <w:tabs>
          <w:tab w:leader="none" w:pos="242"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Core price, which consists of price increases and fees, other than the Company’s fuel surcharge, net of rollbacks, was</w:t>
      </w:r>
    </w:p>
    <w:p>
      <w:pPr>
        <w:spacing w:after="0" w:line="46" w:lineRule="exact"/>
        <w:rPr>
          <w:rFonts w:ascii="Arial" w:cs="Arial" w:eastAsia="Arial" w:hAnsi="Arial"/>
          <w:sz w:val="16"/>
          <w:szCs w:val="16"/>
          <w:color w:val="auto"/>
        </w:rPr>
      </w:pPr>
    </w:p>
    <w:p>
      <w:pPr>
        <w:ind w:left="262" w:right="899"/>
        <w:spacing w:after="0" w:line="261" w:lineRule="auto"/>
        <w:rPr>
          <w:rFonts w:ascii="Arial" w:cs="Arial" w:eastAsia="Arial" w:hAnsi="Arial"/>
          <w:sz w:val="16"/>
          <w:szCs w:val="16"/>
          <w:color w:val="auto"/>
        </w:rPr>
      </w:pPr>
      <w:r>
        <w:rPr>
          <w:rFonts w:ascii="Arial" w:cs="Arial" w:eastAsia="Arial" w:hAnsi="Arial"/>
          <w:sz w:val="18"/>
          <w:szCs w:val="18"/>
          <w:color w:val="auto"/>
        </w:rPr>
        <w:t>4.2% for both the fourth quarter and full year of 2015.</w:t>
      </w:r>
      <w:r>
        <w:rPr>
          <w:rFonts w:ascii="Arial" w:cs="Arial" w:eastAsia="Arial" w:hAnsi="Arial"/>
          <w:sz w:val="15"/>
          <w:szCs w:val="15"/>
          <w:color w:val="auto"/>
        </w:rPr>
        <w:t>(d)</w:t>
      </w:r>
      <w:r>
        <w:rPr>
          <w:rFonts w:ascii="Arial" w:cs="Arial" w:eastAsia="Arial" w:hAnsi="Arial"/>
          <w:sz w:val="18"/>
          <w:szCs w:val="18"/>
          <w:color w:val="auto"/>
        </w:rPr>
        <w:t xml:space="preserve"> Internal revenue growth from yield for collection and disposal operations was 1.7% in the quarter and 1.8% for the full year.</w:t>
      </w:r>
    </w:p>
    <w:p>
      <w:pPr>
        <w:spacing w:after="0" w:line="89" w:lineRule="exact"/>
        <w:rPr>
          <w:rFonts w:ascii="Arial" w:cs="Arial" w:eastAsia="Arial" w:hAnsi="Arial"/>
          <w:sz w:val="16"/>
          <w:szCs w:val="16"/>
          <w:color w:val="auto"/>
        </w:rPr>
      </w:pPr>
    </w:p>
    <w:p>
      <w:pPr>
        <w:ind w:left="262" w:right="819" w:hanging="262"/>
        <w:spacing w:after="0" w:line="259"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Traditional solid waste business internal revenue growth from volume was slightly positive in the fourth quarter of 2015, an improvement of 60 basis points versus the fourth quarter of 2014. Total Company internal revenue growth from volume declined 0.9% in the fourth quarter, an improvement from a negative 1.4% in the third quarter of 2015. Total Company volume declined 1.6% for the full year 2015.</w:t>
      </w:r>
    </w:p>
    <w:p>
      <w:pPr>
        <w:spacing w:after="0" w:line="92" w:lineRule="exact"/>
        <w:rPr>
          <w:rFonts w:ascii="Arial" w:cs="Arial" w:eastAsia="Arial" w:hAnsi="Arial"/>
          <w:sz w:val="18"/>
          <w:szCs w:val="18"/>
          <w:color w:val="auto"/>
        </w:rPr>
      </w:pPr>
    </w:p>
    <w:p>
      <w:pPr>
        <w:ind w:left="262" w:right="959" w:hanging="262"/>
        <w:spacing w:after="0" w:line="255"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recycling commodity prices were approximately 18.6% lower in the fourth quarter of 2015 compared with the prior year period. Recycling volumes declined 1.6% in the fourth quarter. Despite these declines, earnings per diluted share from the Company’s recycling operations were flat when compared to the prior year period as a result of operational improvements in the Company’s recycling business. For the full year, average recycling commodity prices were approximately 17.5% lower and volumes declined 5.5%, driving a $0.04 decline in the Company’s earnings per diluted share from recycling operations.</w:t>
      </w:r>
    </w:p>
    <w:p>
      <w:pPr>
        <w:spacing w:after="0" w:line="98" w:lineRule="exact"/>
        <w:rPr>
          <w:rFonts w:ascii="Arial" w:cs="Arial" w:eastAsia="Arial" w:hAnsi="Arial"/>
          <w:sz w:val="18"/>
          <w:szCs w:val="18"/>
          <w:color w:val="auto"/>
        </w:rPr>
      </w:pPr>
    </w:p>
    <w:p>
      <w:pPr>
        <w:ind w:left="262" w:right="759" w:hanging="262"/>
        <w:spacing w:after="0" w:line="255"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improved by $143 million in the fourth quarter of 2015 compared to the prior year period. Excluding divestitures, operating expenses improved $50 million.</w:t>
      </w:r>
      <w:r>
        <w:rPr>
          <w:rFonts w:ascii="Arial" w:cs="Arial" w:eastAsia="Arial" w:hAnsi="Arial"/>
          <w:sz w:val="15"/>
          <w:szCs w:val="15"/>
          <w:color w:val="auto"/>
        </w:rPr>
        <w:t>(b)</w:t>
      </w:r>
      <w:r>
        <w:rPr>
          <w:rFonts w:ascii="Arial" w:cs="Arial" w:eastAsia="Arial" w:hAnsi="Arial"/>
          <w:sz w:val="18"/>
          <w:szCs w:val="18"/>
          <w:color w:val="auto"/>
        </w:rPr>
        <w:t xml:space="preserve"> Lower fuel, lower commodity rebates, and continued route optimization drove the improvement. As a percent of revenue, operating expenses were 62.4% in the fourth quarter of 2015, as compared to 63.2% in the fourth quarter of 2014, an improvement of 80 basis points. For the full year, operating expenses improved by $771 million compared to the prior year period. On an adjusted basis, and excluding divestitures, operating expenses improved $328 million.</w:t>
      </w:r>
      <w:r>
        <w:rPr>
          <w:rFonts w:ascii="Arial" w:cs="Arial" w:eastAsia="Arial" w:hAnsi="Arial"/>
          <w:sz w:val="15"/>
          <w:szCs w:val="15"/>
          <w:color w:val="auto"/>
        </w:rPr>
        <w:t>(b)</w:t>
      </w:r>
    </w:p>
    <w:p>
      <w:pPr>
        <w:spacing w:after="0" w:line="98" w:lineRule="exact"/>
        <w:rPr>
          <w:rFonts w:ascii="Arial" w:cs="Arial" w:eastAsia="Arial" w:hAnsi="Arial"/>
          <w:sz w:val="18"/>
          <w:szCs w:val="18"/>
          <w:color w:val="auto"/>
        </w:rPr>
      </w:pPr>
    </w:p>
    <w:p>
      <w:pPr>
        <w:ind w:left="262" w:right="939" w:hanging="262"/>
        <w:spacing w:after="0" w:line="297" w:lineRule="auto"/>
        <w:tabs>
          <w:tab w:leader="none" w:pos="235" w:val="left"/>
        </w:tabs>
        <w:numPr>
          <w:ilvl w:val="0"/>
          <w:numId w:val="3"/>
        </w:numPr>
        <w:rPr>
          <w:rFonts w:ascii="Arial" w:cs="Arial" w:eastAsia="Arial" w:hAnsi="Arial"/>
          <w:sz w:val="16"/>
          <w:szCs w:val="16"/>
          <w:color w:val="auto"/>
        </w:rPr>
      </w:pPr>
      <w:r>
        <w:rPr>
          <w:rFonts w:ascii="Arial" w:cs="Arial" w:eastAsia="Arial" w:hAnsi="Arial"/>
          <w:sz w:val="16"/>
          <w:szCs w:val="16"/>
          <w:color w:val="auto"/>
        </w:rPr>
        <w:t>SG&amp;A expenses were 10.6% of revenue and improved by $33 million, or 30 basis points, compared with the fourth quarter of 2014. Excluding divestitures from the fourth quarter of 2014, SG&amp;A expenses improved by $27 million and 70 basis points as a percent of revenue compared with the fourth quarter of 2014.</w:t>
      </w:r>
      <w:r>
        <w:rPr>
          <w:rFonts w:ascii="Arial" w:cs="Arial" w:eastAsia="Arial" w:hAnsi="Arial"/>
          <w:sz w:val="13"/>
          <w:szCs w:val="13"/>
          <w:color w:val="auto"/>
        </w:rPr>
        <w:t>(b)</w:t>
      </w:r>
      <w:r>
        <w:rPr>
          <w:rFonts w:ascii="Arial" w:cs="Arial" w:eastAsia="Arial" w:hAnsi="Arial"/>
          <w:sz w:val="16"/>
          <w:szCs w:val="16"/>
          <w:color w:val="auto"/>
        </w:rPr>
        <w:t xml:space="preserve"> For the full year, SG&amp;A expenses were 10.4% of revenue and improved by $138 million compared with 2014. On an adjusted basis, and excluding divestitures from 2014, SG&amp;A expenses improved by $68 million from the full year of 2014. </w:t>
      </w:r>
      <w:r>
        <w:rPr>
          <w:rFonts w:ascii="Arial" w:cs="Arial" w:eastAsia="Arial" w:hAnsi="Arial"/>
          <w:sz w:val="13"/>
          <w:szCs w:val="13"/>
          <w:color w:val="auto"/>
        </w:rPr>
        <w:t>(b)</w:t>
      </w:r>
    </w:p>
    <w:p>
      <w:pPr>
        <w:spacing w:after="0" w:line="63" w:lineRule="exact"/>
        <w:rPr>
          <w:rFonts w:ascii="Arial" w:cs="Arial" w:eastAsia="Arial" w:hAnsi="Arial"/>
          <w:sz w:val="16"/>
          <w:szCs w:val="16"/>
          <w:color w:val="auto"/>
        </w:rPr>
      </w:pPr>
    </w:p>
    <w:p>
      <w:pPr>
        <w:ind w:left="262" w:right="839" w:hanging="262"/>
        <w:spacing w:after="0" w:line="277"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$526 million in the fourth quarter and $2.5 billion for the full year. Capital expenditures were $369 million in the fourth quarter and $1.23 billion for the full year.</w:t>
      </w:r>
    </w:p>
    <w:p>
      <w:pPr>
        <w:spacing w:after="0" w:line="75" w:lineRule="exact"/>
        <w:rPr>
          <w:rFonts w:ascii="Arial" w:cs="Arial" w:eastAsia="Arial" w:hAnsi="Arial"/>
          <w:sz w:val="18"/>
          <w:szCs w:val="18"/>
          <w:color w:val="auto"/>
        </w:rPr>
      </w:pPr>
    </w:p>
    <w:p>
      <w:pPr>
        <w:ind w:left="262" w:right="1039" w:hanging="262"/>
        <w:spacing w:after="0" w:line="257"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was $188 million in the fourth quarter of 2015, which included a prepayment of $150 million for 2016 cash taxes.</w:t>
      </w:r>
      <w:r>
        <w:rPr>
          <w:rFonts w:ascii="Arial" w:cs="Arial" w:eastAsia="Arial" w:hAnsi="Arial"/>
          <w:sz w:val="15"/>
          <w:szCs w:val="15"/>
          <w:color w:val="auto"/>
        </w:rPr>
        <w:t>(b)</w:t>
      </w:r>
      <w:r>
        <w:rPr>
          <w:rFonts w:ascii="Arial" w:cs="Arial" w:eastAsia="Arial" w:hAnsi="Arial"/>
          <w:sz w:val="18"/>
          <w:szCs w:val="18"/>
          <w:color w:val="auto"/>
        </w:rPr>
        <w:t xml:space="preserve"> The Company had $31 million of pre-tax divestiture proceeds in the quarter. Free cash flow for the full year was $1.41 billion, despite the previously mentioned tax prepayment and a reduction in free cash flow of $130 million related to businesses divested in 2014. </w:t>
      </w:r>
      <w:r>
        <w:rPr>
          <w:rFonts w:ascii="Arial" w:cs="Arial" w:eastAsia="Arial" w:hAnsi="Arial"/>
          <w:sz w:val="15"/>
          <w:szCs w:val="15"/>
          <w:color w:val="auto"/>
        </w:rPr>
        <w:t>(b)</w:t>
      </w:r>
      <w:r>
        <w:rPr>
          <w:rFonts w:ascii="Arial" w:cs="Arial" w:eastAsia="Arial" w:hAnsi="Arial"/>
          <w:sz w:val="18"/>
          <w:szCs w:val="18"/>
          <w:color w:val="auto"/>
        </w:rPr>
        <w:t xml:space="preserve"> The Company had $145 million of pre-tax divestiture proceeds in 2015.</w:t>
      </w:r>
    </w:p>
    <w:p>
      <w:pPr>
        <w:spacing w:after="0" w:line="93" w:lineRule="exact"/>
        <w:rPr>
          <w:rFonts w:ascii="Arial" w:cs="Arial" w:eastAsia="Arial" w:hAnsi="Arial"/>
          <w:sz w:val="18"/>
          <w:szCs w:val="18"/>
          <w:color w:val="auto"/>
        </w:rPr>
      </w:pPr>
    </w:p>
    <w:p>
      <w:pPr>
        <w:ind w:left="262" w:right="1019" w:hanging="262"/>
        <w:spacing w:after="0" w:line="342"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paid dividends of $172 million to shareholders in the fourth quarter. For the full year, the Company returned almost $1.3 billion to shareholders through $695 million in dividends and $600 million in share repurchases.</w:t>
      </w:r>
    </w:p>
    <w:p>
      <w:pPr>
        <w:spacing w:after="0" w:line="29" w:lineRule="exact"/>
        <w:rPr>
          <w:rFonts w:ascii="Arial" w:cs="Arial" w:eastAsia="Arial" w:hAnsi="Arial"/>
          <w:sz w:val="16"/>
          <w:szCs w:val="16"/>
          <w:color w:val="auto"/>
        </w:rPr>
      </w:pPr>
    </w:p>
    <w:p>
      <w:pPr>
        <w:ind w:left="262" w:right="1159" w:hanging="262"/>
        <w:spacing w:after="0" w:line="264"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the recorded effective tax rate was approximately 31.2% and the adjusted effective tax rate was approximately 32.4%. For the full year, the recorded effective tax rate was approximately 29.1%, and 32.3% on an adjusted basis.</w:t>
      </w:r>
      <w:r>
        <w:rPr>
          <w:rFonts w:ascii="Arial" w:cs="Arial" w:eastAsia="Arial" w:hAnsi="Arial"/>
          <w:sz w:val="15"/>
          <w:szCs w:val="15"/>
          <w:color w:val="auto"/>
        </w:rPr>
        <w:t>(b)</w:t>
      </w:r>
    </w:p>
    <w:p>
      <w:pPr>
        <w:sectPr>
          <w:pgSz w:w="11900" w:h="16838" w:orient="portrait"/>
          <w:cols w:equalWidth="0" w:num="1">
            <w:col w:w="9761"/>
          </w:cols>
          <w:pgMar w:left="698" w:top="274"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2016 OUTLOOK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with regard to its financial outlook for 2016:</w:t>
      </w:r>
    </w:p>
    <w:p>
      <w:pPr>
        <w:spacing w:after="0" w:line="131" w:lineRule="exact"/>
        <w:rPr>
          <w:sz w:val="20"/>
          <w:szCs w:val="20"/>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Adjusted earnings per diluted share are expected to be between $2.74 and $2.79. </w:t>
      </w:r>
      <w:r>
        <w:rPr>
          <w:rFonts w:ascii="Arial" w:cs="Arial" w:eastAsia="Arial" w:hAnsi="Arial"/>
          <w:sz w:val="15"/>
          <w:szCs w:val="15"/>
          <w:color w:val="auto"/>
        </w:rPr>
        <w:t>(b)</w:t>
      </w:r>
    </w:p>
    <w:p>
      <w:pPr>
        <w:spacing w:after="0" w:line="130" w:lineRule="exact"/>
        <w:rPr>
          <w:rFonts w:ascii="Arial" w:cs="Arial" w:eastAsia="Arial" w:hAnsi="Arial"/>
          <w:sz w:val="18"/>
          <w:szCs w:val="18"/>
          <w:color w:val="auto"/>
        </w:rPr>
      </w:pPr>
    </w:p>
    <w:p>
      <w:pPr>
        <w:ind w:left="720" w:right="1059" w:hanging="262"/>
        <w:spacing w:after="0" w:line="279" w:lineRule="auto"/>
        <w:tabs>
          <w:tab w:leader="none" w:pos="693"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Recently completed acquisitions and tuck-in acquisitions expected to close in 2016 are estimated to generate between $50 and $75 million of operating EBITDA, although there will be no material benefit to earnings per diluted share in 2016 as first year non-cash amortization will offset the operating EBITDA contribution. Total operating EBITDA is expected to be approximately $3.6 billion for the full year, a 5% increase from 2015.</w:t>
      </w:r>
      <w:r>
        <w:rPr>
          <w:rFonts w:ascii="Arial" w:cs="Arial" w:eastAsia="Arial" w:hAnsi="Arial"/>
          <w:sz w:val="14"/>
          <w:szCs w:val="14"/>
          <w:color w:val="auto"/>
        </w:rPr>
        <w:t>(b)</w:t>
      </w:r>
    </w:p>
    <w:p>
      <w:pPr>
        <w:spacing w:after="0" w:line="76" w:lineRule="exact"/>
        <w:rPr>
          <w:rFonts w:ascii="Arial" w:cs="Arial" w:eastAsia="Arial" w:hAnsi="Arial"/>
          <w:sz w:val="17"/>
          <w:szCs w:val="17"/>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for 2016 is projected to be between $1.5 and $1.6 billion.</w:t>
      </w:r>
      <w:r>
        <w:rPr>
          <w:rFonts w:ascii="Arial" w:cs="Arial" w:eastAsia="Arial" w:hAnsi="Arial"/>
          <w:sz w:val="15"/>
          <w:szCs w:val="15"/>
          <w:color w:val="auto"/>
        </w:rPr>
        <w:t>(b)</w:t>
      </w:r>
    </w:p>
    <w:p>
      <w:pPr>
        <w:spacing w:after="0" w:line="130" w:lineRule="exact"/>
        <w:rPr>
          <w:rFonts w:ascii="Arial" w:cs="Arial" w:eastAsia="Arial" w:hAnsi="Arial"/>
          <w:sz w:val="18"/>
          <w:szCs w:val="18"/>
          <w:color w:val="auto"/>
        </w:rPr>
      </w:pPr>
    </w:p>
    <w:p>
      <w:pPr>
        <w:ind w:left="720" w:right="999" w:hanging="262"/>
        <w:spacing w:after="0" w:line="277"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price is expected to be approximately 4.0% for 2016.</w:t>
      </w:r>
      <w:r>
        <w:rPr>
          <w:rFonts w:ascii="Arial" w:cs="Arial" w:eastAsia="Arial" w:hAnsi="Arial"/>
          <w:sz w:val="15"/>
          <w:szCs w:val="15"/>
          <w:color w:val="auto"/>
        </w:rPr>
        <w:t>(d)</w:t>
      </w:r>
      <w:r>
        <w:rPr>
          <w:rFonts w:ascii="Arial" w:cs="Arial" w:eastAsia="Arial" w:hAnsi="Arial"/>
          <w:sz w:val="18"/>
          <w:szCs w:val="18"/>
          <w:color w:val="auto"/>
        </w:rPr>
        <w:t xml:space="preserve"> Internal revenue growth from yield on the collection and disposal business is expected to be between 1.5% and 2.0%.</w:t>
      </w:r>
    </w:p>
    <w:p>
      <w:pPr>
        <w:spacing w:after="0" w:line="75" w:lineRule="exact"/>
        <w:rPr>
          <w:rFonts w:ascii="Arial" w:cs="Arial" w:eastAsia="Arial" w:hAnsi="Arial"/>
          <w:sz w:val="18"/>
          <w:szCs w:val="18"/>
          <w:color w:val="auto"/>
        </w:rPr>
      </w:pPr>
    </w:p>
    <w:p>
      <w:pPr>
        <w:ind w:left="720" w:right="879" w:hanging="262"/>
        <w:spacing w:after="0" w:line="259"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volume in the Company’s traditional solid waste business is expected to be positive in 2016. However, the Company does not expect a recovery in lower margin recycling or non-solid waste volumes. Consequently, the Company anticipates overall volumes to be about flat; with volumes in the first half of the year being slightly negative, and volumes turning positive in the second half of the year.</w:t>
      </w:r>
    </w:p>
    <w:p>
      <w:pPr>
        <w:spacing w:after="0" w:line="92" w:lineRule="exact"/>
        <w:rPr>
          <w:rFonts w:ascii="Arial" w:cs="Arial" w:eastAsia="Arial" w:hAnsi="Arial"/>
          <w:sz w:val="18"/>
          <w:szCs w:val="18"/>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Recycling operations are expected to have no year-over-year impact on earnings per diluted share in 2016.</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are expected to be flat on a dollar basis for the full year.</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rate is expected to be about 35.0%.</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are expected to be in the range of $1.3 to $1.4 billion.</w:t>
      </w:r>
    </w:p>
    <w:p>
      <w:pPr>
        <w:spacing w:after="0" w:line="130" w:lineRule="exact"/>
        <w:rPr>
          <w:rFonts w:ascii="Arial" w:cs="Arial" w:eastAsia="Arial" w:hAnsi="Arial"/>
          <w:sz w:val="18"/>
          <w:szCs w:val="18"/>
          <w:color w:val="auto"/>
        </w:rPr>
      </w:pPr>
    </w:p>
    <w:p>
      <w:pPr>
        <w:ind w:left="720" w:right="779" w:hanging="262"/>
        <w:spacing w:after="0" w:line="308" w:lineRule="auto"/>
        <w:tabs>
          <w:tab w:leader="none" w:pos="69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Board of Directors has indicated its intention to increase the dividend by $0.10 to $1.64 per share on an annual basis, for an approximate annual cost of $730 million. The Board must separately declare each dividend.</w:t>
      </w:r>
    </w:p>
    <w:p>
      <w:pPr>
        <w:spacing w:after="0" w:line="51" w:lineRule="exact"/>
        <w:rPr>
          <w:rFonts w:ascii="Arial" w:cs="Arial" w:eastAsia="Arial" w:hAnsi="Arial"/>
          <w:sz w:val="17"/>
          <w:szCs w:val="17"/>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to repurchase up to $1 billion of common stock.</w:t>
      </w:r>
    </w:p>
    <w:p>
      <w:pPr>
        <w:spacing w:after="0" w:line="252" w:lineRule="exact"/>
        <w:rPr>
          <w:sz w:val="20"/>
          <w:szCs w:val="20"/>
          <w:color w:val="auto"/>
        </w:rPr>
      </w:pPr>
    </w:p>
    <w:p>
      <w:pPr>
        <w:ind w:right="819"/>
        <w:spacing w:after="0" w:line="293" w:lineRule="auto"/>
        <w:rPr>
          <w:sz w:val="20"/>
          <w:szCs w:val="20"/>
          <w:color w:val="auto"/>
        </w:rPr>
      </w:pPr>
      <w:r>
        <w:rPr>
          <w:rFonts w:ascii="Arial" w:cs="Arial" w:eastAsia="Arial" w:hAnsi="Arial"/>
          <w:sz w:val="16"/>
          <w:szCs w:val="16"/>
          <w:color w:val="auto"/>
        </w:rPr>
        <w:t>Steiner continued, “2015 was a very successful year for Waste Management. We met or exceeded the goals that we established at the beginning of the year, and that led us to exceed our original full year adjusted earnings per share guidance. Free cash flow was also on pace to exceed our original guidance, and as a result, we applied some of that excess toward 2016 cash taxes. Our strong free cash flow allowed us to return almost $1.3 billion to our shareholders. Moreover, in 2015 we spent more than $500 million on acquisitions that we expect to generate significant cash flow in 2016. Based upon the strength in our cash generation, our Board of Directors raised our dividend by more than 6% and authorized $1 billion of share repurchases.</w:t>
      </w:r>
    </w:p>
    <w:p>
      <w:pPr>
        <w:spacing w:after="0" w:line="192" w:lineRule="exact"/>
        <w:rPr>
          <w:sz w:val="20"/>
          <w:szCs w:val="20"/>
          <w:color w:val="auto"/>
        </w:rPr>
      </w:pPr>
    </w:p>
    <w:p>
      <w:pPr>
        <w:ind w:right="779"/>
        <w:spacing w:after="0" w:line="279" w:lineRule="auto"/>
        <w:rPr>
          <w:sz w:val="20"/>
          <w:szCs w:val="20"/>
          <w:color w:val="auto"/>
        </w:rPr>
      </w:pPr>
      <w:r>
        <w:rPr>
          <w:rFonts w:ascii="Arial" w:cs="Arial" w:eastAsia="Arial" w:hAnsi="Arial"/>
          <w:sz w:val="17"/>
          <w:szCs w:val="17"/>
          <w:color w:val="auto"/>
        </w:rPr>
        <w:t>“In 2016 we expect to continue the progress that we made in 2015 by continuing to execute on our pricing, disciplined growth, and cost control strategies, while integrating recently acquired businesses. This should position us to achieve approximately $3.6 billion of operating EBITDA</w:t>
      </w:r>
      <w:r>
        <w:rPr>
          <w:rFonts w:ascii="Arial" w:cs="Arial" w:eastAsia="Arial" w:hAnsi="Arial"/>
          <w:sz w:val="14"/>
          <w:szCs w:val="14"/>
          <w:color w:val="auto"/>
        </w:rPr>
        <w:t>(b)</w:t>
      </w:r>
      <w:r>
        <w:rPr>
          <w:rFonts w:ascii="Arial" w:cs="Arial" w:eastAsia="Arial" w:hAnsi="Arial"/>
          <w:sz w:val="17"/>
          <w:szCs w:val="17"/>
          <w:color w:val="auto"/>
        </w:rPr>
        <w:t>, and to produce solid earnings and cash generation. In 2016, we will also continue to return significant cash to our shareholders, and we have already spent $150 million on share repurchases in the first quarter.”</w:t>
      </w:r>
    </w:p>
    <w:p>
      <w:pPr>
        <w:spacing w:after="0" w:line="198" w:lineRule="exact"/>
        <w:rPr>
          <w:sz w:val="20"/>
          <w:szCs w:val="20"/>
          <w:color w:val="auto"/>
        </w:rPr>
      </w:pPr>
    </w:p>
    <w:p>
      <w:pPr>
        <w:ind w:right="959"/>
        <w:spacing w:after="0" w:line="277" w:lineRule="auto"/>
        <w:rPr>
          <w:sz w:val="20"/>
          <w:szCs w:val="20"/>
          <w:color w:val="auto"/>
        </w:rPr>
      </w:pPr>
      <w:r>
        <w:rPr>
          <w:rFonts w:ascii="Arial" w:cs="Arial" w:eastAsia="Arial" w:hAnsi="Arial"/>
          <w:sz w:val="18"/>
          <w:szCs w:val="18"/>
          <w:color w:val="auto"/>
        </w:rPr>
        <w:t>Steiner concluded, “We commend our field and corporate staff teams for the great results in 2015. Their focus and execution has positioned our company well for continued growth in 2016 and beyond.”</w:t>
      </w:r>
    </w:p>
    <w:p>
      <w:pPr>
        <w:sectPr>
          <w:pgSz w:w="11900" w:h="16838" w:orient="portrait"/>
          <w:cols w:equalWidth="0" w:num="1">
            <w:col w:w="10219"/>
          </w:cols>
          <w:pgMar w:left="240" w:top="634" w:right="1440" w:bottom="1440" w:gutter="0" w:footer="0" w:header="0"/>
        </w:sectPr>
      </w:pPr>
    </w:p>
    <w:bookmarkStart w:id="7" w:name="page8"/>
    <w:bookmarkEnd w:id="7"/>
    <w:p>
      <w:pPr>
        <w:ind w:left="720" w:right="919" w:hanging="352"/>
        <w:spacing w:after="0" w:line="25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press release, all references to “Net loss” and “Net income” refer to the financial statement line items “Net income (loss) attributable to Waste Management, Inc.” and “Net income attributable to Waste Management, Inc.,” respectively.</w:t>
      </w:r>
    </w:p>
    <w:p>
      <w:pPr>
        <w:ind w:left="720" w:right="739" w:hanging="352"/>
        <w:spacing w:after="0" w:line="268" w:lineRule="auto"/>
        <w:tabs>
          <w:tab w:leader="none" w:pos="74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and effective tax rate, and comparisons to 2014 operating expenses and SG&amp;A expenses, have been presented in certain instances excluding items identified in the reconciliations provided.</w:t>
      </w:r>
    </w:p>
    <w:p>
      <w:pPr>
        <w:spacing w:after="0" w:line="90" w:lineRule="exact"/>
        <w:rPr>
          <w:sz w:val="20"/>
          <w:szCs w:val="20"/>
          <w:color w:val="auto"/>
        </w:rPr>
      </w:pPr>
    </w:p>
    <w:p>
      <w:pPr>
        <w:ind w:left="720" w:right="799"/>
        <w:spacing w:after="0" w:line="270" w:lineRule="auto"/>
        <w:rPr>
          <w:sz w:val="20"/>
          <w:szCs w:val="20"/>
          <w:color w:val="auto"/>
        </w:rPr>
      </w:pPr>
      <w:r>
        <w:rPr>
          <w:rFonts w:ascii="Arial" w:cs="Arial" w:eastAsia="Arial" w:hAnsi="Arial"/>
          <w:sz w:val="17"/>
          <w:szCs w:val="17"/>
          <w:color w:val="auto"/>
        </w:rPr>
        <w:t>The Company’s projected full year 2016 earnings per diluted share and operating EBITDA are anticipated to be adjusted to exclude the effects of events or circumstances in 2016 that are not representative or indicative of the Company’s results of operations. Projected GAAP earnings per diluted share and operating EBITDA (as defined in note (c) below)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projected earnings growth, adjusted projected operating EBITDA, or projected operating EBITDA growth to the comparable GAAP measure.</w:t>
      </w:r>
    </w:p>
    <w:p>
      <w:pPr>
        <w:spacing w:after="0" w:line="87" w:lineRule="exact"/>
        <w:rPr>
          <w:sz w:val="20"/>
          <w:szCs w:val="20"/>
          <w:color w:val="auto"/>
        </w:rPr>
      </w:pPr>
    </w:p>
    <w:p>
      <w:pPr>
        <w:ind w:left="720" w:right="779"/>
        <w:spacing w:after="0" w:line="253" w:lineRule="auto"/>
        <w:rPr>
          <w:sz w:val="20"/>
          <w:szCs w:val="20"/>
          <w:color w:val="auto"/>
        </w:rPr>
      </w:pPr>
      <w:r>
        <w:rPr>
          <w:rFonts w:ascii="Arial" w:cs="Arial" w:eastAsia="Arial" w:hAnsi="Arial"/>
          <w:sz w:val="18"/>
          <w:szCs w:val="18"/>
          <w:color w:val="auto"/>
        </w:rPr>
        <w:t>The Company also discusses free cash flow and provides projections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103" w:lineRule="exact"/>
        <w:rPr>
          <w:sz w:val="20"/>
          <w:szCs w:val="20"/>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proceeds from divestitures of businesses and other assets (net of cash divested).</w:t>
      </w:r>
    </w:p>
    <w:p>
      <w:pPr>
        <w:spacing w:after="0" w:line="131" w:lineRule="exact"/>
        <w:rPr>
          <w:sz w:val="20"/>
          <w:szCs w:val="20"/>
          <w:color w:val="auto"/>
        </w:rPr>
      </w:pPr>
    </w:p>
    <w:p>
      <w:pPr>
        <w:ind w:left="720" w:right="1239"/>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76" w:lineRule="exact"/>
        <w:rPr>
          <w:sz w:val="20"/>
          <w:szCs w:val="20"/>
          <w:color w:val="auto"/>
        </w:rPr>
      </w:pPr>
    </w:p>
    <w:p>
      <w:pPr>
        <w:ind w:left="720" w:right="819"/>
        <w:spacing w:after="0" w:line="257" w:lineRule="auto"/>
        <w:rPr>
          <w:sz w:val="20"/>
          <w:szCs w:val="20"/>
          <w:color w:val="auto"/>
        </w:rPr>
      </w:pPr>
      <w:r>
        <w:rPr>
          <w:rFonts w:ascii="Arial" w:cs="Arial" w:eastAsia="Arial" w:hAnsi="Arial"/>
          <w:sz w:val="18"/>
          <w:szCs w:val="18"/>
          <w:color w:val="auto"/>
        </w:rPr>
        <w:t>The quantitative reconciliations of non-GAAP measures used herein to the most comparable GAAP measures are included in the accompanying schedules, with the exception of projected earnings per diluted share and projected operating EBITDA. Non-GAAP measures should not be considered a substitute for financial measures presented in accordance with GAAP, and investors are urged to take into account GAAP measures as well as non-GAAP measures in evaluating the Company.</w:t>
      </w:r>
    </w:p>
    <w:p>
      <w:pPr>
        <w:spacing w:after="0" w:line="94" w:lineRule="exact"/>
        <w:rPr>
          <w:sz w:val="20"/>
          <w:szCs w:val="20"/>
          <w:color w:val="auto"/>
        </w:rPr>
      </w:pPr>
    </w:p>
    <w:p>
      <w:pPr>
        <w:ind w:left="720" w:right="799" w:hanging="352"/>
        <w:spacing w:after="0" w:line="277" w:lineRule="auto"/>
        <w:tabs>
          <w:tab w:leader="none" w:pos="7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defines operating EBITDA as income from operations before depreciation and amortization; this measure may not be comparable to similarly titled measures reported by other companies.</w:t>
      </w:r>
    </w:p>
    <w:p>
      <w:pPr>
        <w:spacing w:after="0" w:line="75" w:lineRule="exact"/>
        <w:rPr>
          <w:rFonts w:ascii="Arial" w:cs="Arial" w:eastAsia="Arial" w:hAnsi="Arial"/>
          <w:sz w:val="18"/>
          <w:szCs w:val="18"/>
          <w:color w:val="auto"/>
        </w:rPr>
      </w:pPr>
    </w:p>
    <w:p>
      <w:pPr>
        <w:ind w:left="720" w:right="819" w:hanging="352"/>
        <w:spacing w:after="0" w:line="259" w:lineRule="auto"/>
        <w:tabs>
          <w:tab w:leader="none" w:pos="75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host a conference call at 10:00 AM (Eastern) today to discuss the fourth quarter and full year 2015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within this press release will be referenced and should be considered in conjunction with the call.</w:t>
      </w:r>
    </w:p>
    <w:p>
      <w:pPr>
        <w:sectPr>
          <w:pgSz w:w="11900" w:h="16838" w:orient="portrait"/>
          <w:cols w:equalWidth="0" w:num="1">
            <w:col w:w="10219"/>
          </w:cols>
          <w:pgMar w:left="240" w:top="274" w:right="1440" w:bottom="1440" w:gutter="0" w:footer="0" w:header="0"/>
        </w:sectPr>
      </w:pPr>
    </w:p>
    <w:bookmarkStart w:id="8" w:name="page9"/>
    <w:bookmarkEnd w:id="8"/>
    <w:p>
      <w:pPr>
        <w:ind w:right="99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conference call will be webcast live from the Investor Relations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21854213 when prompted by the conference call operator.</w:t>
      </w:r>
    </w:p>
    <w:p>
      <w:pPr>
        <w:spacing w:after="0" w:line="214" w:lineRule="exact"/>
        <w:rPr>
          <w:sz w:val="20"/>
          <w:szCs w:val="20"/>
          <w:color w:val="auto"/>
        </w:rPr>
      </w:pPr>
    </w:p>
    <w:p>
      <w:pPr>
        <w:ind w:right="85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Thursday, February 18, 2016 through 5:00 PM (Eastern) on Thursday, March 3, 2016. To access the replay telephonically, please dial (855) 859-2056, or from outside of the United States or Canada dial (404) 537-3406, and use the replay conference ID number 21854213.</w:t>
      </w:r>
    </w:p>
    <w:p>
      <w:pPr>
        <w:spacing w:after="0" w:line="214" w:lineRule="exact"/>
        <w:rPr>
          <w:sz w:val="20"/>
          <w:szCs w:val="20"/>
          <w:color w:val="auto"/>
        </w:rPr>
      </w:pPr>
    </w:p>
    <w:p>
      <w:pPr>
        <w:ind w:right="759"/>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“2016 Outlook” and statements regarding 2016 earnings per diluted share and earnings growth / strength; 2016 free cash flow and growth; future operating EBITDA; cash generation capabilities / strength; volume trends and improvement; integration of acquisitions and contributions of such acquisitions to earnings and cash flow; success and execution of pricing, growth and cost control strategies; and future dividend rates and shares repurchases.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879"/>
        <w:spacing w:after="0" w:line="276" w:lineRule="auto"/>
        <w:rPr>
          <w:sz w:val="20"/>
          <w:szCs w:val="20"/>
          <w:color w:val="auto"/>
        </w:rPr>
      </w:pPr>
      <w:r>
        <w:rPr>
          <w:rFonts w:ascii="Arial" w:cs="Arial" w:eastAsia="Arial" w:hAnsi="Arial"/>
          <w:sz w:val="17"/>
          <w:szCs w:val="17"/>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2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jc w:val="right"/>
              <w:ind w:right="2150"/>
              <w:spacing w:after="0"/>
              <w:rPr>
                <w:sz w:val="20"/>
                <w:szCs w:val="20"/>
                <w:color w:val="auto"/>
              </w:rPr>
            </w:pPr>
            <w:r>
              <w:rPr>
                <w:rFonts w:ascii="Arial" w:cs="Arial" w:eastAsia="Arial" w:hAnsi="Arial"/>
                <w:sz w:val="18"/>
                <w:szCs w:val="18"/>
                <w:b w:val="1"/>
                <w:bCs w:val="1"/>
                <w:color w:val="auto"/>
              </w:rPr>
              <w:t>(2)</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753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447.2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452.7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455.9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7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jc w:val="right"/>
              <w:ind w:right="1890"/>
              <w:spacing w:after="0"/>
              <w:rPr>
                <w:sz w:val="20"/>
                <w:szCs w:val="20"/>
                <w:color w:val="auto"/>
              </w:rPr>
            </w:pPr>
            <w:r>
              <w:rPr>
                <w:rFonts w:ascii="Arial" w:cs="Arial" w:eastAsia="Arial" w:hAnsi="Arial"/>
                <w:sz w:val="18"/>
                <w:szCs w:val="18"/>
                <w:b w:val="1"/>
                <w:bCs w:val="1"/>
                <w:color w:val="auto"/>
              </w:rPr>
              <w:t>(4)</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2,094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2,257</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2015 presentation.</w:t>
      </w:r>
    </w:p>
    <w:p>
      <w:pPr>
        <w:spacing w:after="0" w:line="15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752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extinguishment of debt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(2,764)</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(6)</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Quarters Ended</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gridSpan w:val="5"/>
          </w:tcPr>
          <w:p>
            <w:pPr>
              <w:jc w:val="right"/>
              <w:ind w:right="8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40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ind w:right="9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18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Collection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ind w:left="340"/>
              <w:spacing w:after="0"/>
              <w:rPr>
                <w:sz w:val="20"/>
                <w:szCs w:val="20"/>
                <w:color w:val="auto"/>
              </w:rPr>
            </w:pPr>
            <w:r>
              <w:rPr>
                <w:rFonts w:ascii="Arial" w:cs="Arial" w:eastAsia="Arial" w:hAnsi="Arial"/>
                <w:sz w:val="18"/>
                <w:szCs w:val="18"/>
                <w:color w:val="auto"/>
              </w:rPr>
              <w:t>Residential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Industrial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Collection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Landfill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Wheelabrator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Recycling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4"/>
          </w:tcPr>
          <w:p>
            <w:pPr>
              <w:ind w:left="340"/>
              <w:spacing w:after="0"/>
              <w:rPr>
                <w:sz w:val="20"/>
                <w:szCs w:val="20"/>
                <w:color w:val="auto"/>
              </w:rPr>
            </w:pPr>
            <w:r>
              <w:rPr>
                <w:rFonts w:ascii="Arial" w:cs="Arial" w:eastAsia="Arial" w:hAnsi="Arial"/>
                <w:sz w:val="18"/>
                <w:szCs w:val="18"/>
                <w:color w:val="auto"/>
              </w:rPr>
              <w:t>Operating revenues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3,246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528"/>
              <w:spacing w:after="0"/>
              <w:rPr>
                <w:sz w:val="20"/>
                <w:szCs w:val="20"/>
                <w:color w:val="auto"/>
              </w:rPr>
            </w:pPr>
            <w:r>
              <w:rPr>
                <w:rFonts w:ascii="Arial" w:cs="Arial" w:eastAsia="Arial" w:hAnsi="Arial"/>
                <w:sz w:val="14"/>
                <w:szCs w:val="14"/>
                <w:b w:val="1"/>
                <w:bCs w:val="1"/>
                <w:color w:val="auto"/>
                <w:w w:val="98"/>
              </w:rPr>
              <w:t>Quarters Ended</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6"/>
          </w:tcPr>
          <w:p>
            <w:pPr>
              <w:jc w:val="right"/>
              <w:ind w:right="708"/>
              <w:spacing w:after="0" w:line="142" w:lineRule="exact"/>
              <w:rPr>
                <w:sz w:val="20"/>
                <w:szCs w:val="20"/>
                <w:color w:val="auto"/>
              </w:rPr>
            </w:pPr>
            <w:r>
              <w:rPr>
                <w:rFonts w:ascii="Arial" w:cs="Arial" w:eastAsia="Arial" w:hAnsi="Arial"/>
                <w:sz w:val="14"/>
                <w:szCs w:val="14"/>
                <w:b w:val="1"/>
                <w:bCs w:val="1"/>
                <w:color w:val="auto"/>
                <w:w w:val="91"/>
              </w:rPr>
              <w:t>December 31, 2015</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6"/>
          </w:tcPr>
          <w:p>
            <w:pPr>
              <w:jc w:val="center"/>
              <w:ind w:right="202"/>
              <w:spacing w:after="0" w:line="142" w:lineRule="exact"/>
              <w:rPr>
                <w:sz w:val="20"/>
                <w:szCs w:val="20"/>
                <w:color w:val="auto"/>
              </w:rPr>
            </w:pPr>
            <w:r>
              <w:rPr>
                <w:rFonts w:ascii="Arial" w:cs="Arial" w:eastAsia="Arial" w:hAnsi="Arial"/>
                <w:sz w:val="14"/>
                <w:szCs w:val="14"/>
                <w:b w:val="1"/>
                <w:bCs w:val="1"/>
                <w:color w:val="auto"/>
                <w:w w:val="91"/>
              </w:rPr>
              <w:t>December 31, 2014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9"/>
              <w:spacing w:after="0" w:line="123" w:lineRule="exact"/>
              <w:rPr>
                <w:sz w:val="20"/>
                <w:szCs w:val="20"/>
                <w:color w:val="auto"/>
              </w:rPr>
            </w:pPr>
            <w:r>
              <w:rPr>
                <w:rFonts w:ascii="Arial" w:cs="Arial" w:eastAsia="Arial" w:hAnsi="Arial"/>
                <w:sz w:val="14"/>
                <w:szCs w:val="14"/>
                <w:color w:val="auto"/>
                <w:w w:val="96"/>
              </w:rPr>
              <w:t>As a% of</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ind w:right="31"/>
              <w:spacing w:after="0" w:line="123" w:lineRule="exact"/>
              <w:rPr>
                <w:sz w:val="20"/>
                <w:szCs w:val="20"/>
                <w:color w:val="auto"/>
              </w:rPr>
            </w:pPr>
            <w:r>
              <w:rPr>
                <w:rFonts w:ascii="Arial" w:cs="Arial" w:eastAsia="Arial" w:hAnsi="Arial"/>
                <w:sz w:val="14"/>
                <w:szCs w:val="14"/>
                <w:color w:val="auto"/>
                <w:w w:val="96"/>
              </w:rPr>
              <w:t>As a%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4"/>
          </w:tcPr>
          <w:p>
            <w:pPr>
              <w:jc w:val="center"/>
              <w:ind w:right="288"/>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08"/>
              <w:spacing w:after="0"/>
              <w:rPr>
                <w:sz w:val="20"/>
                <w:szCs w:val="20"/>
                <w:color w:val="auto"/>
              </w:rPr>
            </w:pPr>
            <w:r>
              <w:rPr>
                <w:rFonts w:ascii="Arial" w:cs="Arial" w:eastAsia="Arial" w:hAnsi="Arial"/>
                <w:sz w:val="14"/>
                <w:szCs w:val="14"/>
                <w:color w:val="auto"/>
                <w:w w:val="94"/>
              </w:rPr>
              <w:t>Total Company</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68"/>
              <w:spacing w:after="0"/>
              <w:rPr>
                <w:sz w:val="20"/>
                <w:szCs w:val="20"/>
                <w:color w:val="auto"/>
              </w:rPr>
            </w:pPr>
            <w:r>
              <w:rPr>
                <w:rFonts w:ascii="Arial" w:cs="Arial" w:eastAsia="Arial" w:hAnsi="Arial"/>
                <w:sz w:val="14"/>
                <w:szCs w:val="14"/>
                <w:color w:val="auto"/>
                <w:w w:val="99"/>
              </w:rPr>
              <w:t>Amount</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5"/>
          </w:tcPr>
          <w:p>
            <w:pPr>
              <w:jc w:val="center"/>
              <w:ind w:right="34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3"/>
          </w:tcPr>
          <w:p>
            <w:pPr>
              <w:jc w:val="right"/>
              <w:ind w:right="228"/>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-0.7%</w:t>
            </w: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gridSpan w:val="3"/>
          </w:tcPr>
          <w:p>
            <w:pPr>
              <w:jc w:val="right"/>
              <w:ind w:right="68"/>
              <w:spacing w:after="0"/>
              <w:rPr>
                <w:sz w:val="20"/>
                <w:szCs w:val="20"/>
                <w:color w:val="auto"/>
              </w:rPr>
            </w:pPr>
            <w:r>
              <w:rPr>
                <w:rFonts w:ascii="Arial" w:cs="Arial" w:eastAsia="Arial" w:hAnsi="Arial"/>
                <w:sz w:val="18"/>
                <w:szCs w:val="18"/>
                <w:color w:val="auto"/>
              </w:rPr>
              <w:t>24</w:t>
            </w:r>
          </w:p>
        </w:tc>
        <w:tc>
          <w:tcPr>
            <w:tcW w:w="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Volume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020" w:type="dxa"/>
            <w:vAlign w:val="bottom"/>
            <w:gridSpan w:val="5"/>
            <w:vMerge w:val="restart"/>
          </w:tcPr>
          <w:p>
            <w:pPr>
              <w:spacing w:after="0"/>
              <w:rPr>
                <w:sz w:val="20"/>
                <w:szCs w:val="20"/>
                <w:color w:val="auto"/>
              </w:rPr>
            </w:pPr>
            <w:r>
              <w:rPr>
                <w:rFonts w:ascii="Arial" w:cs="Arial" w:eastAsia="Arial" w:hAnsi="Arial"/>
                <w:sz w:val="18"/>
                <w:szCs w:val="18"/>
                <w:color w:val="auto"/>
              </w:rPr>
              <w:t>Internal revenue growth</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5"/>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Divestitures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8"/>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gridSpan w:val="2"/>
            <w:vMerge w:val="restart"/>
          </w:tcPr>
          <w:p>
            <w:pPr>
              <w:jc w:val="right"/>
              <w:ind w:right="228"/>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(191</w:t>
            </w:r>
          </w:p>
        </w:tc>
        <w:tc>
          <w:tcPr>
            <w:tcW w:w="3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208"/>
              <w:spacing w:after="0"/>
              <w:rPr>
                <w:sz w:val="20"/>
                <w:szCs w:val="20"/>
                <w:color w:val="auto"/>
              </w:rPr>
            </w:pPr>
            <w:r>
              <w:rPr>
                <w:rFonts w:ascii="Arial" w:cs="Arial" w:eastAsia="Arial" w:hAnsi="Arial"/>
                <w:sz w:val="14"/>
                <w:szCs w:val="14"/>
                <w:color w:val="auto"/>
                <w:w w:val="96"/>
              </w:rPr>
              <w:t>As a% of</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5"/>
          </w:tcPr>
          <w:p>
            <w:pPr>
              <w:jc w:val="center"/>
              <w:ind w:right="320"/>
              <w:spacing w:after="0"/>
              <w:rPr>
                <w:sz w:val="20"/>
                <w:szCs w:val="20"/>
                <w:color w:val="auto"/>
              </w:rPr>
            </w:pPr>
            <w:r>
              <w:rPr>
                <w:rFonts w:ascii="Arial" w:cs="Arial" w:eastAsia="Arial" w:hAnsi="Arial"/>
                <w:sz w:val="14"/>
                <w:szCs w:val="14"/>
                <w:color w:val="auto"/>
                <w:w w:val="96"/>
              </w:rPr>
              <w:t>As a%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28"/>
              <w:spacing w:after="0" w:line="149" w:lineRule="exact"/>
              <w:rPr>
                <w:sz w:val="20"/>
                <w:szCs w:val="20"/>
                <w:color w:val="auto"/>
              </w:rPr>
            </w:pPr>
            <w:r>
              <w:rPr>
                <w:rFonts w:ascii="Arial" w:cs="Arial" w:eastAsia="Arial" w:hAnsi="Arial"/>
                <w:sz w:val="14"/>
                <w:szCs w:val="14"/>
                <w:color w:val="auto"/>
                <w:w w:val="91"/>
              </w:rPr>
              <w:t>Related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tcPr>
          <w:p>
            <w:pPr>
              <w:jc w:val="center"/>
              <w:ind w:right="34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4"/>
          </w:tcPr>
          <w:p>
            <w:pPr>
              <w:jc w:val="center"/>
              <w:ind w:right="288"/>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08"/>
              <w:spacing w:after="0"/>
              <w:rPr>
                <w:sz w:val="20"/>
                <w:szCs w:val="20"/>
                <w:color w:val="auto"/>
              </w:rPr>
            </w:pPr>
            <w:r>
              <w:rPr>
                <w:rFonts w:ascii="Arial" w:cs="Arial" w:eastAsia="Arial" w:hAnsi="Arial"/>
                <w:sz w:val="14"/>
                <w:szCs w:val="14"/>
                <w:color w:val="auto"/>
                <w:w w:val="87"/>
              </w:rPr>
              <w:t>Business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68"/>
              <w:spacing w:after="0"/>
              <w:rPr>
                <w:sz w:val="20"/>
                <w:szCs w:val="20"/>
                <w:color w:val="auto"/>
              </w:rPr>
            </w:pPr>
            <w:r>
              <w:rPr>
                <w:rFonts w:ascii="Arial" w:cs="Arial" w:eastAsia="Arial" w:hAnsi="Arial"/>
                <w:sz w:val="14"/>
                <w:szCs w:val="14"/>
                <w:color w:val="auto"/>
                <w:w w:val="99"/>
              </w:rPr>
              <w:t>Amount</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5"/>
          </w:tcPr>
          <w:p>
            <w:pPr>
              <w:jc w:val="center"/>
              <w:ind w:right="34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Average yield</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ind w:left="340"/>
              <w:spacing w:after="0"/>
              <w:rPr>
                <w:sz w:val="20"/>
                <w:szCs w:val="20"/>
                <w:color w:val="auto"/>
              </w:rPr>
            </w:pPr>
            <w:r>
              <w:rPr>
                <w:rFonts w:ascii="Arial" w:cs="Arial" w:eastAsia="Arial" w:hAnsi="Arial"/>
                <w:sz w:val="18"/>
                <w:szCs w:val="18"/>
                <w:color w:val="auto"/>
              </w:rPr>
              <w:t>Collection and disposal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Recycling commodities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ind w:left="340"/>
              <w:spacing w:after="0"/>
              <w:rPr>
                <w:sz w:val="20"/>
                <w:szCs w:val="20"/>
                <w:color w:val="auto"/>
              </w:rPr>
            </w:pPr>
            <w:r>
              <w:rPr>
                <w:rFonts w:ascii="Arial" w:cs="Arial" w:eastAsia="Arial" w:hAnsi="Arial"/>
                <w:sz w:val="18"/>
                <w:szCs w:val="18"/>
                <w:color w:val="auto"/>
              </w:rPr>
              <w:t>Electricity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6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Fuel surcharges and mandated fees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020" w:type="dxa"/>
            <w:vAlign w:val="bottom"/>
            <w:gridSpan w:val="5"/>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ind w:right="228"/>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8"/>
          </w:tcPr>
          <w:p>
            <w:pPr>
              <w:jc w:val="right"/>
              <w:ind w:right="368"/>
              <w:spacing w:after="0"/>
              <w:rPr>
                <w:sz w:val="20"/>
                <w:szCs w:val="20"/>
                <w:color w:val="auto"/>
              </w:rPr>
            </w:pPr>
            <w:r>
              <w:rPr>
                <w:rFonts w:ascii="Arial" w:cs="Arial" w:eastAsia="Arial" w:hAnsi="Arial"/>
                <w:sz w:val="14"/>
                <w:szCs w:val="14"/>
                <w:b w:val="1"/>
                <w:bCs w:val="1"/>
                <w:color w:val="auto"/>
                <w:w w:val="97"/>
              </w:rPr>
              <w:t>Quarters Ended December 31,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left="265"/>
              <w:spacing w:after="0" w:line="142" w:lineRule="exact"/>
              <w:rPr>
                <w:sz w:val="20"/>
                <w:szCs w:val="20"/>
                <w:color w:val="auto"/>
              </w:rPr>
            </w:pPr>
            <w:r>
              <w:rPr>
                <w:rFonts w:ascii="Arial" w:cs="Arial" w:eastAsia="Arial" w:hAnsi="Arial"/>
                <w:sz w:val="14"/>
                <w:szCs w:val="14"/>
                <w:b w:val="1"/>
                <w:bCs w:val="1"/>
                <w:color w:val="auto"/>
                <w:w w:val="89"/>
              </w:rPr>
              <w:t>2014</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2840" w:type="dxa"/>
            <w:vAlign w:val="bottom"/>
            <w:tcBorders>
              <w:bottom w:val="single" w:sz="8" w:color="CCEEFF"/>
            </w:tcBorders>
            <w:gridSpan w:val="3"/>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8"/>
              <w:spacing w:after="0"/>
              <w:rPr>
                <w:sz w:val="20"/>
                <w:szCs w:val="20"/>
                <w:color w:val="auto"/>
              </w:rPr>
            </w:pPr>
            <w:r>
              <w:rPr>
                <w:rFonts w:ascii="Arial" w:cs="Arial" w:eastAsia="Arial" w:hAnsi="Arial"/>
                <w:sz w:val="18"/>
                <w:szCs w:val="18"/>
                <w:color w:val="auto"/>
              </w:rPr>
              <w:t>526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8"/>
              <w:spacing w:after="0"/>
              <w:rPr>
                <w:sz w:val="20"/>
                <w:szCs w:val="20"/>
                <w:color w:val="auto"/>
              </w:rPr>
            </w:pPr>
            <w:r>
              <w:rPr>
                <w:rFonts w:ascii="Arial" w:cs="Arial" w:eastAsia="Arial" w:hAnsi="Arial"/>
                <w:sz w:val="18"/>
                <w:szCs w:val="18"/>
                <w:color w:val="auto"/>
              </w:rPr>
              <w:t>520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2,498</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(370)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(1,233)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gridSpan w:val="4"/>
          </w:tcPr>
          <w:p>
            <w:pPr>
              <w:spacing w:after="0" w:line="201" w:lineRule="exact"/>
              <w:rPr>
                <w:sz w:val="20"/>
                <w:szCs w:val="20"/>
                <w:color w:val="auto"/>
              </w:rPr>
            </w:pPr>
            <w:r>
              <w:rPr>
                <w:rFonts w:ascii="Arial" w:cs="Arial" w:eastAsia="Arial" w:hAnsi="Arial"/>
                <w:sz w:val="18"/>
                <w:szCs w:val="18"/>
                <w:color w:val="auto"/>
                <w:w w:val="95"/>
              </w:rPr>
              <w:t>Proceeds from divestitures of businesses and other assets (net of</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4"/>
          </w:tcPr>
          <w:p>
            <w:pPr>
              <w:ind w:left="160"/>
              <w:spacing w:after="0"/>
              <w:rPr>
                <w:sz w:val="20"/>
                <w:szCs w:val="20"/>
                <w:color w:val="auto"/>
              </w:rPr>
            </w:pPr>
            <w:r>
              <w:rPr>
                <w:rFonts w:ascii="Arial" w:cs="Arial" w:eastAsia="Arial" w:hAnsi="Arial"/>
                <w:sz w:val="18"/>
                <w:szCs w:val="18"/>
                <w:color w:val="auto"/>
              </w:rPr>
              <w:t>cash divested)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128"/>
              <w:spacing w:after="0"/>
              <w:rPr>
                <w:sz w:val="20"/>
                <w:szCs w:val="20"/>
                <w:color w:val="auto"/>
              </w:rPr>
            </w:pPr>
            <w:r>
              <w:rPr>
                <w:rFonts w:ascii="Arial" w:cs="Arial" w:eastAsia="Arial" w:hAnsi="Arial"/>
                <w:sz w:val="18"/>
                <w:szCs w:val="18"/>
                <w:color w:val="auto"/>
              </w:rPr>
              <w:t>1,934</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188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2,084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1,410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20"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584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8,981</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9,050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32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60" w:type="dxa"/>
            <w:vAlign w:val="bottom"/>
            <w:gridSpan w:val="6"/>
            <w:vMerge w:val="restart"/>
          </w:tcPr>
          <w:p>
            <w:pPr>
              <w:ind w:left="180"/>
              <w:spacing w:after="0"/>
              <w:rPr>
                <w:sz w:val="20"/>
                <w:szCs w:val="20"/>
                <w:color w:val="auto"/>
              </w:rPr>
            </w:pPr>
            <w:r>
              <w:rPr>
                <w:rFonts w:ascii="Arial" w:cs="Arial" w:eastAsia="Arial" w:hAnsi="Arial"/>
                <w:sz w:val="18"/>
                <w:szCs w:val="18"/>
                <w:color w:val="auto"/>
              </w:rPr>
              <w:t>Cash paid for acquisitions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48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4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auto"/>
            </w:tcBorders>
            <w:gridSpan w:val="6"/>
          </w:tcPr>
          <w:p>
            <w:pPr>
              <w:ind w:left="160"/>
              <w:spacing w:after="0" w:line="196" w:lineRule="exact"/>
              <w:rPr>
                <w:sz w:val="20"/>
                <w:szCs w:val="20"/>
                <w:color w:val="auto"/>
              </w:rPr>
            </w:pPr>
            <w:r>
              <w:rPr>
                <w:rFonts w:ascii="Arial" w:cs="Arial" w:eastAsia="Arial" w:hAnsi="Arial"/>
                <w:sz w:val="18"/>
                <w:szCs w:val="18"/>
                <w:b w:val="1"/>
                <w:bCs w:val="1"/>
                <w:color w:val="auto"/>
              </w:rPr>
              <w:t>Groups: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94.0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landfill amortization expense (b) (c)</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December 31, 2015 as compared to the quarter ended September 30, 2015 reflects a decrease in amortization expense of approximately $30.4 million, primarily due to changes in landfill estimates identified in both quarters and by an increase in volumes primarily due to seasonality.</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December 31, 2015 as compared to the quarter ended December 31, 2014 amortization expense is flat, the increase due to volume was offset by the decrease due to changes in landfill estimates.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left="193"/>
              <w:spacing w:after="0"/>
              <w:rPr>
                <w:sz w:val="20"/>
                <w:szCs w:val="20"/>
                <w:color w:val="auto"/>
              </w:rPr>
            </w:pPr>
            <w:r>
              <w:rPr>
                <w:rFonts w:ascii="Arial" w:cs="Arial" w:eastAsia="Arial" w:hAnsi="Arial"/>
                <w:sz w:val="14"/>
                <w:szCs w:val="14"/>
                <w:b w:val="1"/>
                <w:bCs w:val="1"/>
                <w:color w:val="auto"/>
                <w:w w:val="96"/>
              </w:rPr>
              <w:t>Quarter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left="153"/>
              <w:spacing w:after="0"/>
              <w:rPr>
                <w:sz w:val="20"/>
                <w:szCs w:val="20"/>
                <w:color w:val="auto"/>
              </w:rPr>
            </w:pPr>
            <w:r>
              <w:rPr>
                <w:rFonts w:ascii="Arial" w:cs="Arial" w:eastAsia="Arial" w:hAnsi="Arial"/>
                <w:sz w:val="14"/>
                <w:szCs w:val="14"/>
                <w:b w:val="1"/>
                <w:bCs w:val="1"/>
                <w:color w:val="auto"/>
                <w:w w:val="91"/>
              </w:rPr>
              <w:t>December 31, 2014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5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620" w:type="dxa"/>
            <w:vAlign w:val="bottom"/>
            <w:tcBorders>
              <w:top w:val="single" w:sz="8" w:color="auto"/>
            </w:tcBorders>
            <w:vMerge w:val="restart"/>
          </w:tcPr>
          <w:p>
            <w:pPr>
              <w:jc w:val="center"/>
              <w:ind w:right="102"/>
              <w:spacing w:after="0"/>
              <w:rPr>
                <w:sz w:val="20"/>
                <w:szCs w:val="20"/>
                <w:color w:val="auto"/>
              </w:rPr>
            </w:pPr>
            <w:r>
              <w:rPr>
                <w:rFonts w:ascii="Arial" w:cs="Arial" w:eastAsia="Arial" w:hAnsi="Arial"/>
                <w:sz w:val="14"/>
                <w:szCs w:val="14"/>
                <w:b w:val="1"/>
                <w:bCs w:val="1"/>
                <w:color w:val="auto"/>
                <w:w w:val="93"/>
              </w:rPr>
              <w:t>(a)</w:t>
            </w: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6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continue"/>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vMerge w:val="continue"/>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0.61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(b)</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229</w:t>
            </w: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waste-to-energy business</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(519)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0.10</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(282)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and Diluted EPS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0.71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308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Earnings from businesses and assets divested in 2014</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Further Adjusted Net Income and Diluted EPS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0.71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278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left="153"/>
              <w:spacing w:after="0"/>
              <w:rPr>
                <w:sz w:val="20"/>
                <w:szCs w:val="20"/>
                <w:color w:val="auto"/>
              </w:rPr>
            </w:pPr>
            <w:r>
              <w:rPr>
                <w:rFonts w:ascii="Arial" w:cs="Arial" w:eastAsia="Arial" w:hAnsi="Arial"/>
                <w:sz w:val="14"/>
                <w:szCs w:val="14"/>
                <w:b w:val="1"/>
                <w:bCs w:val="1"/>
                <w:color w:val="auto"/>
                <w:w w:val="91"/>
              </w:rPr>
              <w:t>December 31, 2014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5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7"/>
              </w:rPr>
              <w:t>After-tax</w:t>
            </w: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ind w:right="112"/>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580" w:type="dxa"/>
            <w:vAlign w:val="bottom"/>
            <w:gridSpan w:val="3"/>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3"/>
              </w:rPr>
              <w:t>(a)</w:t>
            </w: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706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continue"/>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vMerge w:val="continue"/>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1.65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$ 1,298</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debt extinguishment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(b)</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247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businesses, net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Legal reserves</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0.96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(147)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(0.31)</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and Diluted EPS</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$ 1,188</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2.61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$ 1,151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from businesses and assets divested in 2014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(0.18)</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Further Adjusted Net Income and Diluted EPS</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$ 1,188</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2.61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$ 1,071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for the tax expense associated with each of the after-tax adjustments to net income and diluted EPS in the fourth quarter and full year of 2015 and 2014.</w:t>
      </w:r>
    </w:p>
    <w:p>
      <w:pPr>
        <w:spacing w:after="0" w:line="1" w:lineRule="exact"/>
        <w:rPr>
          <w:rFonts w:ascii="Arial" w:cs="Arial" w:eastAsia="Arial" w:hAnsi="Arial"/>
          <w:sz w:val="18"/>
          <w:szCs w:val="18"/>
          <w:b w:val="1"/>
          <w:bCs w:val="1"/>
          <w:color w:val="auto"/>
        </w:rPr>
      </w:pPr>
    </w:p>
    <w:p>
      <w:pPr>
        <w:ind w:left="460" w:right="200" w:hanging="452"/>
        <w:spacing w:after="0" w:line="250"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in 2015 and 2014 include impairment charges associated with assets in the “Asset impairments and unusual Items” financial caption as well as impairment charges associated with certain of our investments in unconsolidated entities that are included in “Other, net” financial caption. In addition, adjustments in 2014 include impairment charges associated with certain of our investments in unconsolidated entities that are included in “Equity in net losses of unconsolidated entities” financial caption.</w:t>
      </w:r>
    </w:p>
    <w:p>
      <w:pPr>
        <w:spacing w:after="0" w:line="1" w:lineRule="exact"/>
        <w:rPr>
          <w:rFonts w:ascii="Arial" w:cs="Arial" w:eastAsia="Arial" w:hAnsi="Arial"/>
          <w:sz w:val="18"/>
          <w:szCs w:val="18"/>
          <w:b w:val="1"/>
          <w:bCs w:val="1"/>
          <w:color w:val="auto"/>
        </w:rPr>
      </w:pPr>
    </w:p>
    <w:p>
      <w:pPr>
        <w:ind w:left="460" w:right="740" w:hanging="452"/>
        <w:spacing w:after="0" w:line="250"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in the fourth quarter of 2015 consist primarily of an after-tax charge of $40 million to impair certain of our oil and gas producing properties resulting from the pronounced decrease in oil and gas prices in the fourth quarter of 2015.</w:t>
      </w: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in the fourth quarter of 2014 consist of after-tax charges of:</w:t>
      </w:r>
    </w:p>
    <w:p>
      <w:pPr>
        <w:spacing w:after="0" w:line="9" w:lineRule="exact"/>
        <w:rPr>
          <w:rFonts w:ascii="Arial" w:cs="Arial" w:eastAsia="Arial" w:hAnsi="Arial"/>
          <w:sz w:val="18"/>
          <w:szCs w:val="18"/>
          <w:b w:val="1"/>
          <w:bCs w:val="1"/>
          <w:color w:val="auto"/>
        </w:rPr>
      </w:pPr>
    </w:p>
    <w:p>
      <w:pPr>
        <w:ind w:left="460" w:right="360" w:firstLine="4"/>
        <w:spacing w:after="0" w:line="250" w:lineRule="auto"/>
        <w:tabs>
          <w:tab w:leader="none" w:pos="6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$164 million to impair certain of our oil and gas producing properties primarily as a result of the pronounced decrease in oil and gas prices in the fourth quarter of 2014; and</w:t>
      </w:r>
    </w:p>
    <w:p>
      <w:pPr>
        <w:ind w:left="460" w:right="740" w:firstLine="4"/>
        <w:spacing w:after="0" w:line="261" w:lineRule="auto"/>
        <w:tabs>
          <w:tab w:leader="none" w:pos="6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$65 million to: a) write-down waste diversion technology assets and certain other assets and b) write-down equity method and cost method investments in waste diversion technology companies.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Quarter Ended</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w w:val="98"/>
              </w:rPr>
              <w:t>December 31, 2015</w:t>
            </w:r>
          </w:p>
        </w:tc>
        <w:tc>
          <w:tcPr>
            <w:tcW w:w="120" w:type="dxa"/>
            <w:vAlign w:val="bottom"/>
          </w:tcPr>
          <w:p>
            <w:pPr>
              <w:spacing w:after="0"/>
              <w:rPr>
                <w:sz w:val="14"/>
                <w:szCs w:val="14"/>
                <w:color w:val="auto"/>
              </w:rPr>
            </w:pP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19"/>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Tax Expense Reconciliation and Effective Tax Rate</w:t>
            </w:r>
          </w:p>
        </w:tc>
        <w:tc>
          <w:tcPr>
            <w:tcW w:w="1180" w:type="dxa"/>
            <w:vAlign w:val="bottom"/>
          </w:tcPr>
          <w:p>
            <w:pPr>
              <w:spacing w:after="0"/>
              <w:rPr>
                <w:sz w:val="10"/>
                <w:szCs w:val="10"/>
                <w:color w:val="auto"/>
              </w:rPr>
            </w:pPr>
          </w:p>
        </w:tc>
        <w:tc>
          <w:tcPr>
            <w:tcW w:w="60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Pre-tax</w:t>
            </w: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Tax</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Effective</w:t>
            </w:r>
          </w:p>
        </w:tc>
        <w:tc>
          <w:tcPr>
            <w:tcW w:w="50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Pre-tax</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Tax Rate (a)</w:t>
            </w: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397</w:t>
            </w:r>
          </w:p>
        </w:tc>
        <w:tc>
          <w:tcPr>
            <w:tcW w:w="1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(b)</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waste-to-energy business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(519)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As adjusted amounts</w:t>
            </w: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3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w w:val="98"/>
              </w:rPr>
              <w:t>December 31, 2015</w:t>
            </w:r>
          </w:p>
        </w:tc>
        <w:tc>
          <w:tcPr>
            <w:tcW w:w="120" w:type="dxa"/>
            <w:vAlign w:val="bottom"/>
          </w:tcPr>
          <w:p>
            <w:pPr>
              <w:spacing w:after="0"/>
              <w:rPr>
                <w:sz w:val="14"/>
                <w:szCs w:val="1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119"/>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Tax Expense Reconciliation and Effective Tax Rate</w:t>
            </w:r>
          </w:p>
        </w:tc>
        <w:tc>
          <w:tcPr>
            <w:tcW w:w="1180" w:type="dxa"/>
            <w:vAlign w:val="bottom"/>
          </w:tcPr>
          <w:p>
            <w:pPr>
              <w:spacing w:after="0"/>
              <w:rPr>
                <w:sz w:val="10"/>
                <w:szCs w:val="10"/>
                <w:color w:val="auto"/>
              </w:rPr>
            </w:pPr>
          </w:p>
        </w:tc>
        <w:tc>
          <w:tcPr>
            <w:tcW w:w="60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Pre-tax</w:t>
            </w: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Tax</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Effective</w:t>
            </w:r>
          </w:p>
        </w:tc>
        <w:tc>
          <w:tcPr>
            <w:tcW w:w="50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Pre-tax</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Tax Rate (a)</w:t>
            </w: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Income</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180" w:type="dxa"/>
            <w:vAlign w:val="bottom"/>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$1,060</w:t>
            </w:r>
          </w:p>
        </w:tc>
        <w:tc>
          <w:tcPr>
            <w:tcW w:w="1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3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$1,751</w:t>
            </w: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debt extinguishment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(b)</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businesses, net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(515)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Legal reserves</w:t>
            </w:r>
          </w:p>
        </w:tc>
        <w:tc>
          <w:tcPr>
            <w:tcW w:w="1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1,754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32.3%</w:t>
            </w: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1,738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58"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 w:lineRule="exact"/>
        <w:rPr>
          <w:rFonts w:ascii="Arial" w:cs="Arial" w:eastAsia="Arial" w:hAnsi="Arial"/>
          <w:sz w:val="18"/>
          <w:szCs w:val="18"/>
          <w:b w:val="1"/>
          <w:bCs w:val="1"/>
          <w:color w:val="auto"/>
        </w:rPr>
      </w:pPr>
    </w:p>
    <w:p>
      <w:pPr>
        <w:ind w:left="460" w:right="200" w:hanging="452"/>
        <w:spacing w:after="0" w:line="254"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Adjustments in 2015 and 2014 include impairment charges associated with assets in the “Asset impairments and unusual Items” financial caption as well as impairment charges associated with certain of our investments in unconsolidated entities that are included in “Other, net” financial caption. In addition, adjustments in 2014 include impairment charges associated with certain of our investments in unconsolidated entities that are included in “Equity in net losses of unconsolidated entities” financial caption.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Operating Expenses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8,231</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Partial withdrawal from multiemployer pension plan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Adjusted 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8,176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from businesses and assets divested in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Further Adjusted Operating Expenses (a)</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SG&amp;A Expenses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Adjusted SG&amp;A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from businesses and assets divested in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Further Adjusted SG&amp;A Expenses (b)</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2016 Projected Free Cash Flow Reconciliation (c)</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0"/>
              </w:rPr>
              <w:t>Scenario 1</w:t>
            </w:r>
          </w:p>
        </w:tc>
        <w:tc>
          <w:tcPr>
            <w:tcW w:w="8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0" w:hanging="452"/>
        <w:spacing w:after="0" w:line="258"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Excluding the operating expenses associated with the items identified in the table, operating expenses in 2015 improved $328 million, or 100 basis points, to 63.1% of revenues, as compared with prior year.</w:t>
      </w:r>
    </w:p>
    <w:p>
      <w:pPr>
        <w:spacing w:after="0" w:line="1" w:lineRule="exact"/>
        <w:rPr>
          <w:rFonts w:ascii="Arial" w:cs="Arial" w:eastAsia="Arial" w:hAnsi="Arial"/>
          <w:sz w:val="18"/>
          <w:szCs w:val="18"/>
          <w:b w:val="1"/>
          <w:bCs w:val="1"/>
          <w:color w:val="auto"/>
        </w:rPr>
      </w:pPr>
    </w:p>
    <w:p>
      <w:pPr>
        <w:ind w:left="460" w:right="220" w:hanging="452"/>
        <w:spacing w:after="0" w:line="250"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Excluding the SG&amp;A expenses associated with the items identified in the table, SG&amp;A expenses in 2015 improved $68 million, or 20 basis points, to 10.4% of revenues, as compared with prior year.</w:t>
      </w:r>
    </w:p>
    <w:p>
      <w:pPr>
        <w:ind w:left="460" w:right="120" w:hanging="452"/>
        <w:spacing w:after="0" w:line="290" w:lineRule="auto"/>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2016. The amounts used in the reconciliation are subject to many variables, some of which are not under our control and, therefore, are not necessarily indicative of actual results.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Quarter Ended</w:t>
      </w:r>
    </w:p>
    <w:p>
      <w:pPr>
        <w:ind w:left="930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0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w:t>
            </w: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4"/>
              </w:rPr>
              <w:t>As a% of</w:t>
            </w:r>
          </w:p>
        </w:tc>
        <w:tc>
          <w:tcPr>
            <w:tcW w:w="28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Revenues</w:t>
            </w:r>
          </w:p>
        </w:tc>
        <w:tc>
          <w:tcPr>
            <w:tcW w:w="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900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$3,246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Asset impairments and unusual items</w:t>
            </w: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Operations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59"/>
              <w:spacing w:after="0"/>
              <w:rPr>
                <w:sz w:val="20"/>
                <w:szCs w:val="20"/>
                <w:color w:val="auto"/>
              </w:rPr>
            </w:pPr>
            <w:r>
              <w:rPr>
                <w:rFonts w:ascii="Arial" w:cs="Arial" w:eastAsia="Arial" w:hAnsi="Arial"/>
                <w:sz w:val="14"/>
                <w:szCs w:val="14"/>
                <w:b w:val="1"/>
                <w:bCs w:val="1"/>
                <w:color w:val="auto"/>
                <w:w w:val="91"/>
              </w:rPr>
              <w:t>December 31, 2014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a% of</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Revenues</w:t>
            </w:r>
          </w:p>
        </w:tc>
        <w:tc>
          <w:tcPr>
            <w:tcW w:w="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9000" w:type="dxa"/>
            <w:vAlign w:val="bottom"/>
            <w:gridSpan w:val="2"/>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$3,437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Businesses and assets divested in 2014</w:t>
            </w: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(151)</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Revenues</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$3,286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waste-to-energy business</w:t>
            </w: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(519)</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Businesses and assets divested in 2014</w:t>
            </w:r>
          </w:p>
        </w:tc>
        <w:tc>
          <w:tcPr>
            <w:tcW w:w="14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8"/>
                <w:szCs w:val="18"/>
                <w:b w:val="1"/>
                <w:bCs w:val="1"/>
                <w:color w:val="auto"/>
              </w:rPr>
              <w:t>(c)</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258"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income from operations improved by $42 million, or 150 basis points, to 17.7% of revenues, as compared with the prior year period adjusted results, as further adjusted to exclude amounts attributed to businesses and assets divested in 2014.</w:t>
      </w:r>
    </w:p>
    <w:p>
      <w:pPr>
        <w:spacing w:after="0" w:line="1" w:lineRule="exact"/>
        <w:rPr>
          <w:rFonts w:ascii="Arial" w:cs="Arial" w:eastAsia="Arial" w:hAnsi="Arial"/>
          <w:sz w:val="18"/>
          <w:szCs w:val="18"/>
          <w:b w:val="1"/>
          <w:bCs w:val="1"/>
          <w:color w:val="auto"/>
        </w:rPr>
      </w:pPr>
    </w:p>
    <w:p>
      <w:pPr>
        <w:ind w:left="460" w:right="460" w:hanging="452"/>
        <w:spacing w:after="0" w:line="250"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operating EBITDA improved by $37 million, or 150 basis points, to 27.0% of revenues, as compared with the prior year period adjusted results, as further adjusted to exclude amounts attributed to businesses and assets divested in 2014.</w:t>
      </w:r>
    </w:p>
    <w:p>
      <w:pPr>
        <w:ind w:left="460" w:right="940" w:hanging="452"/>
        <w:spacing w:after="0" w:line="261"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has been adjusted to exclude amounts attributed to businesses and assets divested in 2014. See page 14 for a reconciliation.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w:t>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Year Ended</w:t>
      </w:r>
    </w:p>
    <w:p>
      <w:pPr>
        <w:ind w:left="926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w:t>
            </w:r>
          </w:p>
        </w:tc>
        <w:tc>
          <w:tcPr>
            <w:tcW w:w="1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4"/>
              </w:rPr>
              <w:t>As a% of</w:t>
            </w:r>
          </w:p>
        </w:tc>
        <w:tc>
          <w:tcPr>
            <w:tcW w:w="28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Revenues</w:t>
            </w:r>
          </w:p>
        </w:tc>
        <w:tc>
          <w:tcPr>
            <w:tcW w:w="1140" w:type="dxa"/>
            <w:vAlign w:val="bottom"/>
          </w:tcPr>
          <w:p>
            <w:pPr>
              <w:spacing w:after="0"/>
              <w:rPr>
                <w:sz w:val="5"/>
                <w:szCs w:val="5"/>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$12,961</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2,045</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Asset impairments and unusual items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2,185</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(a)</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1,245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3,430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w:t>
            </w: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91"/>
              </w:rPr>
              <w:t>December 31, 2014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a% of</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Revenues</w:t>
            </w:r>
          </w:p>
        </w:tc>
        <w:tc>
          <w:tcPr>
            <w:tcW w:w="1140" w:type="dxa"/>
            <w:vAlign w:val="bottom"/>
          </w:tcPr>
          <w:p>
            <w:pPr>
              <w:spacing w:after="0"/>
              <w:rPr>
                <w:sz w:val="5"/>
                <w:szCs w:val="5"/>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77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$13,996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Adjustment: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Businesses and assets divested in 2014</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Revenues</w:t>
            </w:r>
          </w:p>
        </w:tc>
        <w:tc>
          <w:tcPr>
            <w:tcW w:w="114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$13,262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2,299</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waste-to-energy business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Asset impairments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Legal reserves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Businesses and assets divested in 2014</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2,088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(a)</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8"/>
                <w:szCs w:val="18"/>
                <w:b w:val="1"/>
                <w:bCs w:val="1"/>
                <w:color w:val="auto"/>
              </w:rPr>
              <w:t>(c)</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3,344</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(b)</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Adjusted income from operations improved by $97 million, or 4.6%, and our adjusted income from operations margin improved 120 basis points to</w:t>
      </w:r>
    </w:p>
    <w:p>
      <w:pPr>
        <w:spacing w:after="0" w:line="46" w:lineRule="exact"/>
        <w:rPr>
          <w:rFonts w:ascii="Arial" w:cs="Arial" w:eastAsia="Arial" w:hAnsi="Arial"/>
          <w:sz w:val="16"/>
          <w:szCs w:val="16"/>
          <w:b w:val="1"/>
          <w:bCs w:val="1"/>
          <w:color w:val="auto"/>
        </w:rPr>
      </w:pPr>
    </w:p>
    <w:p>
      <w:pPr>
        <w:ind w:left="460" w:right="220"/>
        <w:spacing w:after="0" w:line="250" w:lineRule="auto"/>
        <w:rPr>
          <w:rFonts w:ascii="Arial" w:cs="Arial" w:eastAsia="Arial" w:hAnsi="Arial"/>
          <w:sz w:val="16"/>
          <w:szCs w:val="16"/>
          <w:b w:val="1"/>
          <w:bCs w:val="1"/>
          <w:color w:val="auto"/>
        </w:rPr>
      </w:pPr>
      <w:r>
        <w:rPr>
          <w:rFonts w:ascii="Arial" w:cs="Arial" w:eastAsia="Arial" w:hAnsi="Arial"/>
          <w:sz w:val="18"/>
          <w:szCs w:val="18"/>
          <w:color w:val="auto"/>
        </w:rPr>
        <w:t>16.9% of revenues, as compared with the prior year period adjusted results, as further adjusted to exclude amounts attributed to businesses and assets divested in 2014.</w:t>
      </w:r>
    </w:p>
    <w:p>
      <w:pPr>
        <w:ind w:left="460" w:right="100" w:hanging="452"/>
        <w:spacing w:after="0" w:line="250"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operating EBITDA improved by $86 million or 2.6%, and our adjusted operating EBITDA margin improved 130 basis points to 26.5% of revenues, as compared with the prior year period adjusted results, as further adjusted to exclude amounts attributed to businesses and assets divested in 2014.</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Depreciation and amortization has been adjusted to exclude amounts attributed to businesses and assets divested in 2014. See page 15 for details.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420"/>
          </w:cols>
          <w:pgMar w:left="240" w:top="270" w:right="2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Data - Q4 2014 Impact of Divestitures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following table presents certain financial measures that have been adjusted to exclude amounts attributed to divestitures during 2014, primarily our waste-to-energy business and other solid waste assets. These pro-forma 2014 financial measures are non-GAAP measures and should not be considered a substitute for the as-reported amounts. We have included this information because the Company had significant divestitures in 2014; accordingly, management believes that presenting certain financial measures as adjusted to exclude amounts attributed to divested operations and assets will provide investors with a more meaningful comparison to 2015 results.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Quarter ended December 31, 2014</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LESS: Amounts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Selected Financial Information</w:t>
            </w:r>
          </w:p>
        </w:tc>
        <w:tc>
          <w:tcPr>
            <w:tcW w:w="168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Results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Attributed to</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Pro-Forma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Divestitures</w:t>
            </w:r>
          </w:p>
        </w:tc>
        <w:tc>
          <w:tcPr>
            <w:tcW w:w="9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3,437</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3,286</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2,170</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93</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2,077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51</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Operating EBITDA (a)</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891</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Earnings Per Diluted Share (a)</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0.67</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0.07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370</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from Divestitures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1,934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1,921</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2,084</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1,942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line="256"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These amounts have been adjusted for items excluded from the Company’s as-adjusted results in the fourth quarter of 2014. For a reconciliation of these adjusted amounts to the most comparable GAAP measure, please see: income from operations and operating EBITDA on page 12 and net income and earnings per diluted share on page 9.</w:t>
      </w:r>
    </w:p>
    <w:p>
      <w:pPr>
        <w:ind w:left="460" w:right="200" w:hanging="452"/>
        <w:spacing w:after="0" w:line="281" w:lineRule="auto"/>
        <w:tabs>
          <w:tab w:leader="none" w:pos="4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As-reported operating expenses for the fourth quarter of 2015 were $2,027 million. As a result, after excluding divestitures from the fourth quarter of 2014, operating expenses improved by $50 million, or 80 basis points, to 62.4% of revenues, as compared with the prior year period.</w:t>
      </w:r>
    </w:p>
    <w:p>
      <w:pPr>
        <w:spacing w:after="0" w:line="1" w:lineRule="exact"/>
        <w:rPr>
          <w:rFonts w:ascii="Arial" w:cs="Arial" w:eastAsia="Arial" w:hAnsi="Arial"/>
          <w:sz w:val="16"/>
          <w:szCs w:val="16"/>
          <w:b w:val="1"/>
          <w:bCs w:val="1"/>
          <w:color w:val="auto"/>
        </w:rPr>
      </w:pPr>
    </w:p>
    <w:p>
      <w:pPr>
        <w:ind w:left="460" w:right="500" w:hanging="452"/>
        <w:spacing w:after="0" w:line="323" w:lineRule="auto"/>
        <w:tabs>
          <w:tab w:leader="none" w:pos="4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As-reported SG&amp;A expenses for the fourth quarter of 2015 were $343 million. As a result, after excluding divestitures from the fourth quarter of 2014, SG&amp;A expenses improved by $27 million, or 70 basis points, to 10.6% of revenues, as compared with the prior year period.</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380"/>
          </w:cols>
          <w:pgMar w:left="240" w:top="270"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- 2014 Impact of Divestitures by Quarter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presents certain financial results attributed to divestitures during 2014, primarily our waste-to-energy business and other solid waste assets. We have included this information because the Company had significant divestitures in 2014; accordingly, management believes that providing this additional detail regarding prior financial results attributed to divested operations and assets will help investors understand the Company’s 2015 financial projections and provide investors with more meaningful comparisons to 2015 results.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Q1 2014</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Q2 2014</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Q3 2014</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Q4 2014</w:t>
            </w:r>
          </w:p>
        </w:tc>
        <w:tc>
          <w:tcPr>
            <w:tcW w:w="1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Year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Operating Revenues</w:t>
            </w:r>
          </w:p>
        </w:tc>
        <w:tc>
          <w:tcPr>
            <w:tcW w:w="1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Intercompany Operating Revenues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Revenues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EBITDA (a)</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Earnings per Diluted Share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0.02</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0.05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from Divestitures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1,921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Free Cash Flow (b)</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1,942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Management refers to GAAP income from operations, before depreciation and amortization, as operating EBITDA.</w:t>
      </w:r>
    </w:p>
    <w:p>
      <w:pPr>
        <w:spacing w:after="0" w:line="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Please see note (b) to the earnings press release for a definition and additional information regarding our use of this non-GAAP measure.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lvl w:ilvl="1">
      <w:lvlJc w:val="left"/>
      <w:lvlText w:val="%2)"/>
      <w:numFmt w:val="lowerRoman"/>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2019-12-05T21:00:45Z</dcterms:created>
  <dcterms:modified xsi:type="dcterms:W3CDTF">2019-12-05T21:00:45Z</dcterms:modified>
</cp:coreProperties>
</file>