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333-162059</w:t>
      </w:r>
    </w:p>
    <w:p>
      <w:pPr>
        <w:spacing w:after="0" w:line="112"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0"/>
          <w:szCs w:val="20"/>
          <w:color w:val="auto"/>
        </w:rPr>
      </w:pPr>
    </w:p>
    <w:tbl>
      <w:tblPr>
        <w:tblLayout w:type="fixed"/>
        <w:tblInd w:w="7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60" w:type="dxa"/>
            <w:vAlign w:val="bottom"/>
            <w:tcBorders>
              <w:top w:val="single" w:sz="8" w:color="auto"/>
              <w:bottom w:val="single" w:sz="8" w:color="auto"/>
              <w:right w:val="single" w:sz="8" w:color="auto"/>
            </w:tcBorders>
          </w:tcPr>
          <w:p>
            <w:pPr>
              <w:spacing w:after="0"/>
              <w:rPr>
                <w:sz w:val="3"/>
                <w:szCs w:val="3"/>
                <w:color w:val="auto"/>
              </w:rPr>
            </w:pPr>
          </w:p>
        </w:tc>
        <w:tc>
          <w:tcPr>
            <w:tcW w:w="2480" w:type="dxa"/>
            <w:vAlign w:val="bottom"/>
            <w:tcBorders>
              <w:top w:val="single" w:sz="8" w:color="auto"/>
              <w:bottom w:val="single" w:sz="8" w:color="auto"/>
              <w:right w:val="single" w:sz="8" w:color="auto"/>
            </w:tcBorders>
          </w:tcPr>
          <w:p>
            <w:pPr>
              <w:spacing w:after="0"/>
              <w:rPr>
                <w:sz w:val="3"/>
                <w:szCs w:val="3"/>
                <w:color w:val="auto"/>
              </w:rPr>
            </w:pPr>
          </w:p>
        </w:tc>
        <w:tc>
          <w:tcPr>
            <w:tcW w:w="23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060" w:type="dxa"/>
            <w:vAlign w:val="bottom"/>
            <w:tcBorders>
              <w:right w:val="single" w:sz="8" w:color="auto"/>
            </w:tcBorders>
            <w:vMerge w:val="restart"/>
          </w:tcPr>
          <w:p>
            <w:pPr>
              <w:ind w:left="1060"/>
              <w:spacing w:after="0"/>
              <w:rPr>
                <w:sz w:val="20"/>
                <w:szCs w:val="20"/>
                <w:color w:val="auto"/>
              </w:rPr>
            </w:pPr>
            <w:r>
              <w:rPr>
                <w:rFonts w:ascii="Arial" w:cs="Arial" w:eastAsia="Arial" w:hAnsi="Arial"/>
                <w:sz w:val="14"/>
                <w:szCs w:val="14"/>
                <w:b w:val="1"/>
                <w:bCs w:val="1"/>
                <w:color w:val="auto"/>
              </w:rPr>
              <w:t>Title of Each Class of Securities to be Offered</w:t>
            </w:r>
          </w:p>
        </w:tc>
        <w:tc>
          <w:tcPr>
            <w:tcW w:w="248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Maximum Aggregate</w:t>
            </w:r>
          </w:p>
        </w:tc>
        <w:tc>
          <w:tcPr>
            <w:tcW w:w="2360" w:type="dxa"/>
            <w:vAlign w:val="bottom"/>
          </w:tcPr>
          <w:p>
            <w:pPr>
              <w:jc w:val="center"/>
              <w:spacing w:after="0" w:line="106" w:lineRule="exact"/>
              <w:rPr>
                <w:sz w:val="20"/>
                <w:szCs w:val="20"/>
                <w:color w:val="auto"/>
              </w:rPr>
            </w:pPr>
            <w:r>
              <w:rPr>
                <w:rFonts w:ascii="Arial" w:cs="Arial" w:eastAsia="Arial" w:hAnsi="Arial"/>
                <w:sz w:val="12"/>
                <w:szCs w:val="12"/>
                <w:b w:val="1"/>
                <w:bCs w:val="1"/>
                <w:color w:val="auto"/>
              </w:rPr>
              <w:t>Amount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Borders>
              <w:bottom w:val="single" w:sz="8" w:color="auto"/>
              <w:right w:val="single" w:sz="8" w:color="auto"/>
            </w:tcBorders>
            <w:vMerge w:val="continue"/>
          </w:tcPr>
          <w:p>
            <w:pPr>
              <w:spacing w:after="0"/>
              <w:rPr>
                <w:sz w:val="14"/>
                <w:szCs w:val="14"/>
                <w:color w:val="auto"/>
              </w:rPr>
            </w:pP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Registration Fee(1)</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6.125% Senior Notes due 2039</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$600,000,000</w:t>
            </w: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$33,480</w:t>
            </w:r>
          </w:p>
        </w:tc>
        <w:tc>
          <w:tcPr>
            <w:tcW w:w="0" w:type="dxa"/>
            <w:vAlign w:val="bottom"/>
          </w:tcPr>
          <w:p>
            <w:pPr>
              <w:spacing w:after="0"/>
              <w:rPr>
                <w:sz w:val="1"/>
                <w:szCs w:val="1"/>
                <w:color w:val="auto"/>
              </w:rPr>
            </w:pPr>
          </w:p>
        </w:tc>
      </w:tr>
      <w:tr>
        <w:trPr>
          <w:trHeight w:val="210"/>
        </w:trPr>
        <w:tc>
          <w:tcPr>
            <w:tcW w:w="50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Guarantee of 2039 Notes (2)</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Borders>
              <w:top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Total</w:t>
            </w:r>
          </w:p>
        </w:tc>
        <w:tc>
          <w:tcPr>
            <w:tcW w:w="2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$600,000,000</w:t>
            </w:r>
          </w:p>
        </w:tc>
        <w:tc>
          <w:tcPr>
            <w:tcW w:w="2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2"/>
              </w:rPr>
              <w:t>$33,480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1000" w:hanging="307"/>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457(r) of the Securities Act of 1933, as amended.</w:t>
      </w:r>
    </w:p>
    <w:p>
      <w:pPr>
        <w:spacing w:after="0" w:line="63" w:lineRule="exact"/>
        <w:rPr>
          <w:rFonts w:ascii="Arial" w:cs="Arial" w:eastAsia="Arial" w:hAnsi="Arial"/>
          <w:sz w:val="18"/>
          <w:szCs w:val="18"/>
          <w:color w:val="auto"/>
        </w:rPr>
      </w:pPr>
    </w:p>
    <w:p>
      <w:pPr>
        <w:ind w:left="1000" w:hanging="307"/>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457(n), no separate fee for the guarantee is payable.</w:t>
      </w:r>
    </w:p>
    <w:p>
      <w:pPr>
        <w:spacing w:after="0" w:line="1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(To Prospectus Dated September 22, 2009)</w:t>
      </w:r>
    </w:p>
    <w:p>
      <w:pPr>
        <w:spacing w:after="0" w:line="324" w:lineRule="exact"/>
        <w:rPr>
          <w:sz w:val="20"/>
          <w:szCs w:val="20"/>
          <w:color w:val="auto"/>
        </w:rPr>
      </w:pPr>
    </w:p>
    <w:p>
      <w:pPr>
        <w:ind w:left="4960"/>
        <w:spacing w:after="0"/>
        <w:rPr>
          <w:sz w:val="20"/>
          <w:szCs w:val="20"/>
          <w:color w:val="auto"/>
        </w:rPr>
      </w:pPr>
      <w:r>
        <w:rPr>
          <w:rFonts w:ascii="Arial" w:cs="Arial" w:eastAsia="Arial" w:hAnsi="Arial"/>
          <w:sz w:val="25"/>
          <w:szCs w:val="25"/>
          <w:b w:val="1"/>
          <w:bCs w:val="1"/>
          <w:color w:val="auto"/>
        </w:rPr>
        <w:t>$600,000,000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97790</wp:posOffset>
            </wp:positionV>
            <wp:extent cx="1269365" cy="4457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936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699"/>
        <w:spacing w:after="0"/>
        <w:rPr>
          <w:sz w:val="20"/>
          <w:szCs w:val="20"/>
          <w:color w:val="auto"/>
        </w:rPr>
      </w:pPr>
      <w:r>
        <w:rPr>
          <w:rFonts w:ascii="Arial" w:cs="Arial" w:eastAsia="Arial" w:hAnsi="Arial"/>
          <w:sz w:val="25"/>
          <w:szCs w:val="25"/>
          <w:b w:val="1"/>
          <w:bCs w:val="1"/>
          <w:color w:val="auto"/>
        </w:rPr>
        <w:t>6.125% Senior Notes due 2039</w:t>
      </w:r>
    </w:p>
    <w:p>
      <w:pPr>
        <w:spacing w:after="0" w:line="140" w:lineRule="exact"/>
        <w:rPr>
          <w:sz w:val="20"/>
          <w:szCs w:val="20"/>
          <w:color w:val="auto"/>
        </w:rPr>
      </w:pPr>
    </w:p>
    <w:p>
      <w:pPr>
        <w:ind w:left="700" w:right="180" w:firstLine="397"/>
        <w:spacing w:after="0" w:line="342" w:lineRule="auto"/>
        <w:rPr>
          <w:sz w:val="20"/>
          <w:szCs w:val="20"/>
          <w:color w:val="auto"/>
        </w:rPr>
      </w:pPr>
      <w:r>
        <w:rPr>
          <w:rFonts w:ascii="Arial" w:cs="Arial" w:eastAsia="Arial" w:hAnsi="Arial"/>
          <w:sz w:val="16"/>
          <w:szCs w:val="16"/>
          <w:color w:val="auto"/>
        </w:rPr>
        <w:t>We are offering $600 million of our 6.125% senior notes due 2039. Interest on the notes will accrue from November 17, 2009 and will be payable on May 30 and November 30 of each year, beginning May 30, 2010. The notes will mature on November 30, 2039.</w:t>
      </w:r>
    </w:p>
    <w:p>
      <w:pPr>
        <w:spacing w:after="0" w:line="29" w:lineRule="exact"/>
        <w:rPr>
          <w:sz w:val="20"/>
          <w:szCs w:val="20"/>
          <w:color w:val="auto"/>
        </w:rPr>
      </w:pPr>
    </w:p>
    <w:p>
      <w:pPr>
        <w:jc w:val="both"/>
        <w:ind w:left="700" w:right="40" w:firstLine="397"/>
        <w:spacing w:after="0" w:line="286" w:lineRule="auto"/>
        <w:rPr>
          <w:sz w:val="20"/>
          <w:szCs w:val="20"/>
          <w:color w:val="auto"/>
        </w:rPr>
      </w:pPr>
      <w:r>
        <w:rPr>
          <w:rFonts w:ascii="Arial" w:cs="Arial" w:eastAsia="Arial" w:hAnsi="Arial"/>
          <w:sz w:val="17"/>
          <w:szCs w:val="17"/>
          <w:color w:val="auto"/>
        </w:rPr>
        <w:t>The notes will be the senior obligations of Waste Management, Inc. and will be fully and unconditionally guaranteed by our wholly owned subsidiary, Waste Management Holdings, Inc. The notes will rank equally with all of our other senior indebtedness. The indenture under which we are issuing the notes does not restrict our ability to incur additional senior indebtedness.</w:t>
      </w:r>
    </w:p>
    <w:p>
      <w:pPr>
        <w:spacing w:after="0" w:line="71" w:lineRule="exact"/>
        <w:rPr>
          <w:sz w:val="20"/>
          <w:szCs w:val="20"/>
          <w:color w:val="auto"/>
        </w:rPr>
      </w:pPr>
    </w:p>
    <w:p>
      <w:pPr>
        <w:ind w:left="700" w:firstLine="397"/>
        <w:spacing w:after="0" w:line="342" w:lineRule="auto"/>
        <w:rPr>
          <w:sz w:val="20"/>
          <w:szCs w:val="20"/>
          <w:color w:val="auto"/>
        </w:rPr>
      </w:pPr>
      <w:r>
        <w:rPr>
          <w:rFonts w:ascii="Arial" w:cs="Arial" w:eastAsia="Arial" w:hAnsi="Arial"/>
          <w:sz w:val="16"/>
          <w:szCs w:val="16"/>
          <w:color w:val="auto"/>
        </w:rPr>
        <w:t>We may redeem the notes, in whole or in part, at any time at the redemption prices described beginning on page S-15. If a change of control triggering event as described on page S-17 occurs, we may be required to offer to purchase the notes from holders.</w:t>
      </w:r>
    </w:p>
    <w:p>
      <w:pPr>
        <w:spacing w:after="0" w:line="16" w:lineRule="exact"/>
        <w:rPr>
          <w:sz w:val="20"/>
          <w:szCs w:val="20"/>
          <w:color w:val="auto"/>
        </w:rPr>
      </w:pPr>
    </w:p>
    <w:p>
      <w:pPr>
        <w:ind w:left="700" w:right="560" w:firstLine="496"/>
        <w:spacing w:after="0" w:line="256" w:lineRule="auto"/>
        <w:rPr>
          <w:sz w:val="20"/>
          <w:szCs w:val="20"/>
          <w:color w:val="auto"/>
        </w:rPr>
      </w:pPr>
      <w:r>
        <w:rPr>
          <w:rFonts w:ascii="Arial" w:cs="Arial" w:eastAsia="Arial" w:hAnsi="Arial"/>
          <w:sz w:val="22"/>
          <w:szCs w:val="22"/>
          <w:b w:val="1"/>
          <w:bCs w:val="1"/>
          <w:color w:val="auto"/>
        </w:rPr>
        <w:t>Investing in the notes involves risks. See “Risk Factors” beginning on page S-4 of this prospectus supplement.</w:t>
      </w:r>
    </w:p>
    <w:p>
      <w:pPr>
        <w:spacing w:after="0" w:line="81"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92"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7700" w:type="dxa"/>
            <w:vAlign w:val="bottom"/>
          </w:tcPr>
          <w:p>
            <w:pPr>
              <w:spacing w:after="0"/>
              <w:rPr>
                <w:sz w:val="14"/>
                <w:szCs w:val="14"/>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3"/>
              </w:rPr>
              <w:t>Per Note</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Total</w:t>
            </w:r>
          </w:p>
        </w:tc>
      </w:tr>
      <w:tr>
        <w:trPr>
          <w:trHeight w:val="249"/>
        </w:trPr>
        <w:tc>
          <w:tcPr>
            <w:tcW w:w="7700" w:type="dxa"/>
            <w:vAlign w:val="bottom"/>
          </w:tcPr>
          <w:p>
            <w:pPr>
              <w:spacing w:after="0"/>
              <w:rPr>
                <w:sz w:val="20"/>
                <w:szCs w:val="20"/>
                <w:color w:val="auto"/>
              </w:rPr>
            </w:pPr>
            <w:r>
              <w:rPr>
                <w:rFonts w:ascii="Arial" w:cs="Arial" w:eastAsia="Arial" w:hAnsi="Arial"/>
                <w:sz w:val="18"/>
                <w:szCs w:val="18"/>
                <w:color w:val="auto"/>
              </w:rPr>
              <w:t>Public Offering Price(1)</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99.466%</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596,796,000</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Underwriting Discount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0.875%</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5,250,000</w:t>
            </w: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Proceeds to Us (excluding expenses)</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98.591%</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591,546,000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85725</wp:posOffset>
            </wp:positionV>
            <wp:extent cx="8147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 Plus accrued interest from November 17, 2009 if delivery occurs after that date.</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notes will not be listed on any securities exchange. Currently, there is no public market for the notes.</w:t>
      </w:r>
    </w:p>
    <w:p>
      <w:pPr>
        <w:spacing w:after="0" w:line="131" w:lineRule="exact"/>
        <w:rPr>
          <w:sz w:val="20"/>
          <w:szCs w:val="20"/>
          <w:color w:val="auto"/>
        </w:rPr>
      </w:pPr>
    </w:p>
    <w:p>
      <w:pPr>
        <w:ind w:left="700" w:right="480" w:firstLine="397"/>
        <w:spacing w:after="0" w:line="308" w:lineRule="auto"/>
        <w:rPr>
          <w:sz w:val="20"/>
          <w:szCs w:val="20"/>
          <w:color w:val="auto"/>
        </w:rPr>
      </w:pPr>
      <w:r>
        <w:rPr>
          <w:rFonts w:ascii="Arial" w:cs="Arial" w:eastAsia="Arial" w:hAnsi="Arial"/>
          <w:sz w:val="17"/>
          <w:szCs w:val="17"/>
          <w:color w:val="auto"/>
        </w:rPr>
        <w:t>The underwriters expect to deliver the notes to investors on or about November 17, 2009 only in book-entry form through the facilities of The Depository Trust Company and its participants, including Euroclear and Clearstream Banking.</w:t>
      </w:r>
    </w:p>
    <w:p>
      <w:pPr>
        <w:spacing w:after="0" w:line="52"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2460" w:type="dxa"/>
            <w:vAlign w:val="bottom"/>
          </w:tcPr>
          <w:p>
            <w:pPr>
              <w:spacing w:after="0"/>
              <w:rPr>
                <w:sz w:val="20"/>
                <w:szCs w:val="20"/>
                <w:color w:val="auto"/>
              </w:rPr>
            </w:pPr>
          </w:p>
        </w:tc>
        <w:tc>
          <w:tcPr>
            <w:tcW w:w="4480" w:type="dxa"/>
            <w:vAlign w:val="bottom"/>
            <w:gridSpan w:val="2"/>
          </w:tcPr>
          <w:p>
            <w:pPr>
              <w:jc w:val="center"/>
              <w:ind w:left="388"/>
              <w:spacing w:after="0"/>
              <w:rPr>
                <w:sz w:val="20"/>
                <w:szCs w:val="20"/>
                <w:color w:val="auto"/>
              </w:rPr>
            </w:pPr>
            <w:r>
              <w:rPr>
                <w:rFonts w:ascii="Arial" w:cs="Arial" w:eastAsia="Arial" w:hAnsi="Arial"/>
                <w:sz w:val="18"/>
                <w:szCs w:val="18"/>
                <w:i w:val="1"/>
                <w:iCs w:val="1"/>
                <w:color w:val="auto"/>
                <w:w w:val="91"/>
              </w:rPr>
              <w:t>Joint Book-Running and Joint Lead Managers</w:t>
            </w:r>
          </w:p>
        </w:tc>
        <w:tc>
          <w:tcPr>
            <w:tcW w:w="2980" w:type="dxa"/>
            <w:vAlign w:val="bottom"/>
          </w:tcPr>
          <w:p>
            <w:pPr>
              <w:spacing w:after="0"/>
              <w:rPr>
                <w:sz w:val="20"/>
                <w:szCs w:val="20"/>
                <w:color w:val="auto"/>
              </w:rPr>
            </w:pPr>
          </w:p>
        </w:tc>
      </w:tr>
      <w:tr>
        <w:trPr>
          <w:trHeight w:val="491"/>
        </w:trPr>
        <w:tc>
          <w:tcPr>
            <w:tcW w:w="2460" w:type="dxa"/>
            <w:vAlign w:val="bottom"/>
          </w:tcPr>
          <w:p>
            <w:pPr>
              <w:spacing w:after="0"/>
              <w:rPr>
                <w:sz w:val="20"/>
                <w:szCs w:val="20"/>
                <w:color w:val="auto"/>
              </w:rPr>
            </w:pPr>
            <w:r>
              <w:rPr>
                <w:rFonts w:ascii="Arial" w:cs="Arial" w:eastAsia="Arial" w:hAnsi="Arial"/>
                <w:sz w:val="29"/>
                <w:szCs w:val="29"/>
                <w:b w:val="1"/>
                <w:bCs w:val="1"/>
                <w:color w:val="auto"/>
              </w:rPr>
              <w:t>BNP PARIBAS</w:t>
            </w:r>
          </w:p>
        </w:tc>
        <w:tc>
          <w:tcPr>
            <w:tcW w:w="1940" w:type="dxa"/>
            <w:vAlign w:val="bottom"/>
          </w:tcPr>
          <w:p>
            <w:pPr>
              <w:ind w:left="360"/>
              <w:spacing w:after="0"/>
              <w:rPr>
                <w:sz w:val="20"/>
                <w:szCs w:val="20"/>
                <w:color w:val="auto"/>
              </w:rPr>
            </w:pPr>
            <w:r>
              <w:rPr>
                <w:rFonts w:ascii="Arial" w:cs="Arial" w:eastAsia="Arial" w:hAnsi="Arial"/>
                <w:sz w:val="29"/>
                <w:szCs w:val="29"/>
                <w:b w:val="1"/>
                <w:bCs w:val="1"/>
                <w:color w:val="auto"/>
                <w:w w:val="94"/>
              </w:rPr>
              <w:t>J.P. Morgan</w:t>
            </w:r>
          </w:p>
        </w:tc>
        <w:tc>
          <w:tcPr>
            <w:tcW w:w="2540" w:type="dxa"/>
            <w:vAlign w:val="bottom"/>
          </w:tcPr>
          <w:p>
            <w:pPr>
              <w:ind w:left="700"/>
              <w:spacing w:after="0"/>
              <w:rPr>
                <w:sz w:val="20"/>
                <w:szCs w:val="20"/>
                <w:color w:val="auto"/>
              </w:rPr>
            </w:pPr>
            <w:r>
              <w:rPr>
                <w:rFonts w:ascii="Arial" w:cs="Arial" w:eastAsia="Arial" w:hAnsi="Arial"/>
                <w:sz w:val="29"/>
                <w:szCs w:val="29"/>
                <w:b w:val="1"/>
                <w:bCs w:val="1"/>
                <w:color w:val="auto"/>
                <w:w w:val="94"/>
              </w:rPr>
              <w:t>Scotia Capital</w:t>
            </w:r>
          </w:p>
        </w:tc>
        <w:tc>
          <w:tcPr>
            <w:tcW w:w="2980" w:type="dxa"/>
            <w:vAlign w:val="bottom"/>
          </w:tcPr>
          <w:p>
            <w:pPr>
              <w:jc w:val="right"/>
              <w:spacing w:after="0"/>
              <w:rPr>
                <w:sz w:val="20"/>
                <w:szCs w:val="20"/>
                <w:color w:val="auto"/>
              </w:rPr>
            </w:pPr>
            <w:r>
              <w:rPr>
                <w:rFonts w:ascii="Arial" w:cs="Arial" w:eastAsia="Arial" w:hAnsi="Arial"/>
                <w:sz w:val="29"/>
                <w:szCs w:val="29"/>
                <w:b w:val="1"/>
                <w:bCs w:val="1"/>
                <w:color w:val="auto"/>
                <w:w w:val="95"/>
              </w:rPr>
              <w:t>Wells Fargo Securities</w:t>
            </w:r>
          </w:p>
        </w:tc>
      </w:tr>
      <w:tr>
        <w:trPr>
          <w:trHeight w:val="441"/>
        </w:trPr>
        <w:tc>
          <w:tcPr>
            <w:tcW w:w="24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540" w:type="dxa"/>
            <w:vAlign w:val="bottom"/>
          </w:tcPr>
          <w:p>
            <w:pPr>
              <w:jc w:val="center"/>
              <w:ind w:right="1306"/>
              <w:spacing w:after="0"/>
              <w:rPr>
                <w:sz w:val="20"/>
                <w:szCs w:val="20"/>
                <w:color w:val="auto"/>
              </w:rPr>
            </w:pPr>
            <w:r>
              <w:rPr>
                <w:rFonts w:ascii="Arial" w:cs="Arial" w:eastAsia="Arial" w:hAnsi="Arial"/>
                <w:sz w:val="18"/>
                <w:szCs w:val="18"/>
                <w:i w:val="1"/>
                <w:iCs w:val="1"/>
                <w:color w:val="auto"/>
                <w:w w:val="91"/>
              </w:rPr>
              <w:t>Co-Managers</w:t>
            </w:r>
          </w:p>
        </w:tc>
        <w:tc>
          <w:tcPr>
            <w:tcW w:w="2980" w:type="dxa"/>
            <w:vAlign w:val="bottom"/>
          </w:tcPr>
          <w:p>
            <w:pPr>
              <w:spacing w:after="0"/>
              <w:rPr>
                <w:sz w:val="24"/>
                <w:szCs w:val="24"/>
                <w:color w:val="auto"/>
              </w:rPr>
            </w:pPr>
          </w:p>
        </w:tc>
      </w:tr>
      <w:tr>
        <w:trPr>
          <w:trHeight w:val="378"/>
        </w:trPr>
        <w:tc>
          <w:tcPr>
            <w:tcW w:w="2460" w:type="dxa"/>
            <w:vAlign w:val="bottom"/>
          </w:tcPr>
          <w:p>
            <w:pPr>
              <w:spacing w:after="0"/>
              <w:rPr>
                <w:sz w:val="20"/>
                <w:szCs w:val="20"/>
                <w:color w:val="auto"/>
              </w:rPr>
            </w:pPr>
            <w:r>
              <w:rPr>
                <w:rFonts w:ascii="Arial" w:cs="Arial" w:eastAsia="Arial" w:hAnsi="Arial"/>
                <w:sz w:val="22"/>
                <w:szCs w:val="22"/>
                <w:b w:val="1"/>
                <w:bCs w:val="1"/>
                <w:color w:val="auto"/>
              </w:rPr>
              <w:t>CALYON</w:t>
            </w:r>
          </w:p>
        </w:tc>
        <w:tc>
          <w:tcPr>
            <w:tcW w:w="1940" w:type="dxa"/>
            <w:vAlign w:val="bottom"/>
          </w:tcPr>
          <w:p>
            <w:pPr>
              <w:ind w:left="880"/>
              <w:spacing w:after="0"/>
              <w:rPr>
                <w:sz w:val="20"/>
                <w:szCs w:val="20"/>
                <w:color w:val="auto"/>
              </w:rPr>
            </w:pPr>
            <w:r>
              <w:rPr>
                <w:rFonts w:ascii="Arial" w:cs="Arial" w:eastAsia="Arial" w:hAnsi="Arial"/>
                <w:sz w:val="22"/>
                <w:szCs w:val="22"/>
                <w:b w:val="1"/>
                <w:bCs w:val="1"/>
                <w:color w:val="auto"/>
              </w:rPr>
              <w:t>Citi</w:t>
            </w:r>
          </w:p>
        </w:tc>
        <w:tc>
          <w:tcPr>
            <w:tcW w:w="2540" w:type="dxa"/>
            <w:vAlign w:val="bottom"/>
          </w:tcPr>
          <w:p>
            <w:pPr>
              <w:ind w:left="560"/>
              <w:spacing w:after="0"/>
              <w:rPr>
                <w:sz w:val="20"/>
                <w:szCs w:val="20"/>
                <w:color w:val="auto"/>
              </w:rPr>
            </w:pPr>
            <w:r>
              <w:rPr>
                <w:rFonts w:ascii="Arial" w:cs="Arial" w:eastAsia="Arial" w:hAnsi="Arial"/>
                <w:sz w:val="22"/>
                <w:szCs w:val="22"/>
                <w:b w:val="1"/>
                <w:bCs w:val="1"/>
                <w:color w:val="auto"/>
                <w:w w:val="92"/>
              </w:rPr>
              <w:t>Comerica Securities</w:t>
            </w:r>
          </w:p>
        </w:tc>
        <w:tc>
          <w:tcPr>
            <w:tcW w:w="2980" w:type="dxa"/>
            <w:vAlign w:val="bottom"/>
          </w:tcPr>
          <w:p>
            <w:pPr>
              <w:jc w:val="right"/>
              <w:spacing w:after="0"/>
              <w:rPr>
                <w:sz w:val="20"/>
                <w:szCs w:val="20"/>
                <w:color w:val="auto"/>
              </w:rPr>
            </w:pPr>
            <w:r>
              <w:rPr>
                <w:rFonts w:ascii="Arial" w:cs="Arial" w:eastAsia="Arial" w:hAnsi="Arial"/>
                <w:sz w:val="22"/>
                <w:szCs w:val="22"/>
                <w:b w:val="1"/>
                <w:bCs w:val="1"/>
                <w:color w:val="auto"/>
                <w:w w:val="94"/>
              </w:rPr>
              <w:t>Daiwa Securities America Inc.</w:t>
            </w:r>
          </w:p>
        </w:tc>
      </w:tr>
      <w:tr>
        <w:trPr>
          <w:trHeight w:val="243"/>
        </w:trPr>
        <w:tc>
          <w:tcPr>
            <w:tcW w:w="2460" w:type="dxa"/>
            <w:vAlign w:val="bottom"/>
          </w:tcPr>
          <w:p>
            <w:pPr>
              <w:spacing w:after="0" w:line="243" w:lineRule="exact"/>
              <w:rPr>
                <w:sz w:val="20"/>
                <w:szCs w:val="20"/>
                <w:color w:val="auto"/>
              </w:rPr>
            </w:pPr>
            <w:r>
              <w:rPr>
                <w:rFonts w:ascii="Arial" w:cs="Arial" w:eastAsia="Arial" w:hAnsi="Arial"/>
                <w:sz w:val="22"/>
                <w:szCs w:val="22"/>
                <w:b w:val="1"/>
                <w:bCs w:val="1"/>
                <w:color w:val="auto"/>
              </w:rPr>
              <w:t>Goldman, Sachs &amp; Co.</w:t>
            </w:r>
          </w:p>
        </w:tc>
        <w:tc>
          <w:tcPr>
            <w:tcW w:w="4480" w:type="dxa"/>
            <w:vAlign w:val="bottom"/>
            <w:gridSpan w:val="2"/>
          </w:tcPr>
          <w:p>
            <w:pPr>
              <w:jc w:val="center"/>
              <w:ind w:left="408"/>
              <w:spacing w:after="0" w:line="243" w:lineRule="exact"/>
              <w:rPr>
                <w:sz w:val="20"/>
                <w:szCs w:val="20"/>
                <w:color w:val="auto"/>
              </w:rPr>
            </w:pPr>
            <w:r>
              <w:rPr>
                <w:rFonts w:ascii="Arial" w:cs="Arial" w:eastAsia="Arial" w:hAnsi="Arial"/>
                <w:sz w:val="22"/>
                <w:szCs w:val="22"/>
                <w:b w:val="1"/>
                <w:bCs w:val="1"/>
                <w:color w:val="auto"/>
                <w:w w:val="89"/>
              </w:rPr>
              <w:t>Mitsubishi UFJ Securities</w:t>
            </w:r>
          </w:p>
        </w:tc>
        <w:tc>
          <w:tcPr>
            <w:tcW w:w="29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Mizuho Securities USA Inc.</w:t>
            </w:r>
          </w:p>
        </w:tc>
      </w:tr>
      <w:tr>
        <w:trPr>
          <w:trHeight w:val="243"/>
        </w:trPr>
        <w:tc>
          <w:tcPr>
            <w:tcW w:w="4400" w:type="dxa"/>
            <w:vAlign w:val="bottom"/>
            <w:gridSpan w:val="2"/>
          </w:tcPr>
          <w:p>
            <w:pPr>
              <w:spacing w:after="0" w:line="243" w:lineRule="exact"/>
              <w:rPr>
                <w:sz w:val="20"/>
                <w:szCs w:val="20"/>
                <w:color w:val="auto"/>
              </w:rPr>
            </w:pPr>
            <w:r>
              <w:rPr>
                <w:rFonts w:ascii="Arial" w:cs="Arial" w:eastAsia="Arial" w:hAnsi="Arial"/>
                <w:sz w:val="22"/>
                <w:szCs w:val="22"/>
                <w:b w:val="1"/>
                <w:bCs w:val="1"/>
                <w:color w:val="auto"/>
              </w:rPr>
              <w:t>Morgan Keegan &amp; Company, Inc.</w:t>
            </w:r>
          </w:p>
        </w:tc>
        <w:tc>
          <w:tcPr>
            <w:tcW w:w="2540" w:type="dxa"/>
            <w:vAlign w:val="bottom"/>
          </w:tcPr>
          <w:p>
            <w:pPr>
              <w:spacing w:after="0"/>
              <w:rPr>
                <w:sz w:val="21"/>
                <w:szCs w:val="21"/>
                <w:color w:val="auto"/>
              </w:rPr>
            </w:pPr>
          </w:p>
        </w:tc>
        <w:tc>
          <w:tcPr>
            <w:tcW w:w="29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w w:val="92"/>
              </w:rPr>
              <w:t>SunTrust Robinson Humphrey</w:t>
            </w:r>
          </w:p>
        </w:tc>
      </w:tr>
      <w:tr>
        <w:trPr>
          <w:trHeight w:val="281"/>
        </w:trPr>
        <w:tc>
          <w:tcPr>
            <w:tcW w:w="2460" w:type="dxa"/>
            <w:vAlign w:val="bottom"/>
          </w:tcPr>
          <w:p>
            <w:pPr>
              <w:spacing w:after="0"/>
              <w:rPr>
                <w:sz w:val="24"/>
                <w:szCs w:val="24"/>
                <w:color w:val="auto"/>
              </w:rPr>
            </w:pPr>
          </w:p>
        </w:tc>
        <w:tc>
          <w:tcPr>
            <w:tcW w:w="4480" w:type="dxa"/>
            <w:vAlign w:val="bottom"/>
            <w:gridSpan w:val="2"/>
          </w:tcPr>
          <w:p>
            <w:pPr>
              <w:jc w:val="center"/>
              <w:ind w:left="388"/>
              <w:spacing w:after="0"/>
              <w:rPr>
                <w:sz w:val="20"/>
                <w:szCs w:val="20"/>
                <w:color w:val="auto"/>
              </w:rPr>
            </w:pPr>
            <w:r>
              <w:rPr>
                <w:rFonts w:ascii="Arial" w:cs="Arial" w:eastAsia="Arial" w:hAnsi="Arial"/>
                <w:sz w:val="22"/>
                <w:szCs w:val="22"/>
                <w:b w:val="1"/>
                <w:bCs w:val="1"/>
                <w:color w:val="auto"/>
                <w:w w:val="88"/>
              </w:rPr>
              <w:t>U.S. Bancorp Investments, Inc.</w:t>
            </w:r>
          </w:p>
        </w:tc>
        <w:tc>
          <w:tcPr>
            <w:tcW w:w="29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620"/>
          </w:cols>
          <w:pgMar w:left="240" w:top="122" w:right="1039" w:bottom="1440" w:gutter="0" w:footer="0" w:header="0"/>
        </w:sectPr>
      </w:pPr>
    </w:p>
    <w:p>
      <w:pPr>
        <w:spacing w:after="0" w:line="5" w:lineRule="exact"/>
        <w:rPr>
          <w:sz w:val="20"/>
          <w:szCs w:val="20"/>
          <w:color w:val="auto"/>
        </w:rPr>
      </w:pPr>
    </w:p>
    <w:p>
      <w:pPr>
        <w:ind w:left="4940"/>
        <w:spacing w:after="0"/>
        <w:rPr>
          <w:sz w:val="20"/>
          <w:szCs w:val="20"/>
          <w:color w:val="auto"/>
        </w:rPr>
      </w:pPr>
      <w:r>
        <w:rPr>
          <w:rFonts w:ascii="Arial" w:cs="Arial" w:eastAsia="Arial" w:hAnsi="Arial"/>
          <w:sz w:val="16"/>
          <w:szCs w:val="16"/>
          <w:color w:val="auto"/>
        </w:rPr>
        <w:t>November 12,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122" w:right="1039" w:bottom="1440" w:gutter="0" w:footer="0" w:header="0"/>
          <w:type w:val="continuous"/>
        </w:sectPr>
      </w:pPr>
    </w:p>
    <w:bookmarkStart w:id="2" w:name="page3"/>
    <w:bookmarkEnd w:id="2"/>
    <w:p>
      <w:pPr>
        <w:ind w:left="700" w:right="840" w:firstLine="397"/>
        <w:spacing w:after="0" w:line="271" w:lineRule="auto"/>
        <w:rPr>
          <w:sz w:val="20"/>
          <w:szCs w:val="20"/>
          <w:color w:val="auto"/>
        </w:rPr>
      </w:pPr>
      <w:r>
        <w:rPr>
          <w:rFonts w:ascii="Arial" w:cs="Arial" w:eastAsia="Arial" w:hAnsi="Arial"/>
          <w:sz w:val="17"/>
          <w:szCs w:val="17"/>
          <w:b w:val="1"/>
          <w:bCs w:val="1"/>
          <w:color w:val="auto"/>
        </w:rPr>
        <w:t>When making your investment decision in the notes, you should rely only on the information contained or incorporated by reference in this prospectus supplement and the accompanying prospectus and any free writing prospectus prepared by or on behalf of us. We have not authorized anyone to provide you with additional or different information. We are not making an offer of these securities in any jurisdiction where the offer is not permitted. You should not assume that the information contained in this prospectus supplement or the accompanying prospectus is accurate as of any date other than the date on the front cover of this prospectus supplement or that the information we previously filed with the Securities and Exchange Commission, or SEC, and incorporated by reference in this prospectus supplement or the accompanying prospectus is accurate as of any date other than the date of the document incorporated by reference. Our business, financial condition, results operations and prospects may have changed since those dates.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6120" w:type="dxa"/>
            <w:vAlign w:val="bottom"/>
            <w:gridSpan w:val="2"/>
          </w:tcPr>
          <w:p>
            <w:pPr>
              <w:jc w:val="center"/>
              <w:ind w:right="3712"/>
              <w:spacing w:after="0"/>
              <w:rPr>
                <w:sz w:val="20"/>
                <w:szCs w:val="20"/>
                <w:color w:val="auto"/>
              </w:rPr>
            </w:pPr>
            <w:r>
              <w:rPr>
                <w:rFonts w:ascii="Arial" w:cs="Arial" w:eastAsia="Arial" w:hAnsi="Arial"/>
                <w:sz w:val="18"/>
                <w:szCs w:val="18"/>
                <w:b w:val="1"/>
                <w:bCs w:val="1"/>
                <w:color w:val="auto"/>
                <w:w w:val="98"/>
              </w:rPr>
              <w:t>TABLE OF CONTENTS</w:t>
            </w:r>
          </w:p>
        </w:tc>
        <w:tc>
          <w:tcPr>
            <w:tcW w:w="800" w:type="dxa"/>
            <w:vAlign w:val="bottom"/>
          </w:tcPr>
          <w:p>
            <w:pPr>
              <w:spacing w:after="0"/>
              <w:rPr>
                <w:sz w:val="20"/>
                <w:szCs w:val="20"/>
                <w:color w:val="auto"/>
              </w:rPr>
            </w:pPr>
          </w:p>
        </w:tc>
      </w:tr>
      <w:tr>
        <w:trPr>
          <w:trHeight w:val="392"/>
        </w:trPr>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Page</w:t>
            </w:r>
          </w:p>
        </w:tc>
        <w:tc>
          <w:tcPr>
            <w:tcW w:w="800" w:type="dxa"/>
            <w:vAlign w:val="bottom"/>
          </w:tcPr>
          <w:p>
            <w:pPr>
              <w:spacing w:after="0"/>
              <w:rPr>
                <w:sz w:val="24"/>
                <w:szCs w:val="24"/>
                <w:color w:val="auto"/>
              </w:rPr>
            </w:pPr>
          </w:p>
        </w:tc>
      </w:tr>
      <w:tr>
        <w:trPr>
          <w:trHeight w:val="249"/>
        </w:trPr>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6120" w:type="dxa"/>
            <w:vAlign w:val="bottom"/>
            <w:gridSpan w:val="2"/>
          </w:tcPr>
          <w:p>
            <w:pPr>
              <w:jc w:val="center"/>
              <w:ind w:right="3712"/>
              <w:spacing w:after="0"/>
              <w:rPr>
                <w:sz w:val="20"/>
                <w:szCs w:val="20"/>
                <w:color w:val="auto"/>
              </w:rPr>
            </w:pPr>
            <w:r>
              <w:rPr>
                <w:rFonts w:ascii="Arial" w:cs="Arial" w:eastAsia="Arial" w:hAnsi="Arial"/>
                <w:sz w:val="18"/>
                <w:szCs w:val="18"/>
                <w:b w:val="1"/>
                <w:bCs w:val="1"/>
                <w:color w:val="auto"/>
                <w:w w:val="87"/>
              </w:rPr>
              <w:t>Prospectus Supplement</w:t>
            </w:r>
          </w:p>
        </w:tc>
        <w:tc>
          <w:tcPr>
            <w:tcW w:w="800" w:type="dxa"/>
            <w:vAlign w:val="bottom"/>
          </w:tcPr>
          <w:p>
            <w:pPr>
              <w:spacing w:after="0"/>
              <w:rPr>
                <w:sz w:val="21"/>
                <w:szCs w:val="21"/>
                <w:color w:val="auto"/>
              </w:rPr>
            </w:pPr>
          </w:p>
        </w:tc>
      </w:tr>
      <w:tr>
        <w:trPr>
          <w:trHeight w:val="190"/>
        </w:trPr>
        <w:tc>
          <w:tcPr>
            <w:tcW w:w="700" w:type="dxa"/>
            <w:vAlign w:val="bottom"/>
          </w:tcPr>
          <w:p>
            <w:pPr>
              <w:spacing w:after="0"/>
              <w:rPr>
                <w:sz w:val="16"/>
                <w:szCs w:val="16"/>
                <w:color w:val="auto"/>
              </w:rPr>
            </w:pPr>
          </w:p>
        </w:tc>
        <w:tc>
          <w:tcPr>
            <w:tcW w:w="700" w:type="dxa"/>
            <w:vAlign w:val="bottom"/>
            <w:tcBorders>
              <w:bottom w:val="single" w:sz="8" w:color="0000EE"/>
            </w:tcBorders>
            <w:gridSpan w:val="2"/>
          </w:tcPr>
          <w:p>
            <w:pPr>
              <w:spacing w:after="0" w:line="190"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Summary</w:t>
              </w:r>
            </w:hyperlink>
          </w:p>
        </w:tc>
        <w:tc>
          <w:tcPr>
            <w:tcW w:w="3100" w:type="dxa"/>
            <w:vAlign w:val="bottom"/>
            <w:gridSpan w:val="7"/>
          </w:tcPr>
          <w:p>
            <w:pPr>
              <w:spacing w:after="0"/>
              <w:rPr>
                <w:sz w:val="16"/>
                <w:szCs w:val="16"/>
                <w:color w:val="auto"/>
              </w:rPr>
            </w:pPr>
          </w:p>
        </w:tc>
        <w:tc>
          <w:tcPr>
            <w:tcW w:w="5620" w:type="dxa"/>
            <w:vAlign w:val="bottom"/>
          </w:tcPr>
          <w:p>
            <w:pPr>
              <w:spacing w:after="0"/>
              <w:rPr>
                <w:sz w:val="16"/>
                <w:szCs w:val="16"/>
                <w:color w:val="auto"/>
              </w:rPr>
            </w:pPr>
          </w:p>
        </w:tc>
        <w:tc>
          <w:tcPr>
            <w:tcW w:w="500" w:type="dxa"/>
            <w:vAlign w:val="bottom"/>
          </w:tcPr>
          <w:p>
            <w:pPr>
              <w:jc w:val="right"/>
              <w:spacing w:after="0" w:line="190" w:lineRule="exact"/>
              <w:rPr>
                <w:sz w:val="20"/>
                <w:szCs w:val="20"/>
                <w:color w:val="auto"/>
              </w:rPr>
            </w:pPr>
            <w:r>
              <w:rPr>
                <w:rFonts w:ascii="Arial" w:cs="Arial" w:eastAsia="Arial" w:hAnsi="Arial"/>
                <w:sz w:val="18"/>
                <w:szCs w:val="18"/>
                <w:color w:val="auto"/>
              </w:rPr>
              <w:t>S-1</w:t>
            </w:r>
          </w:p>
        </w:tc>
        <w:tc>
          <w:tcPr>
            <w:tcW w:w="800" w:type="dxa"/>
            <w:vAlign w:val="bottom"/>
          </w:tcPr>
          <w:p>
            <w:pPr>
              <w:spacing w:after="0"/>
              <w:rPr>
                <w:sz w:val="16"/>
                <w:szCs w:val="16"/>
                <w:color w:val="auto"/>
              </w:rPr>
            </w:pPr>
          </w:p>
        </w:tc>
      </w:tr>
      <w:tr>
        <w:trPr>
          <w:trHeight w:val="196"/>
        </w:trPr>
        <w:tc>
          <w:tcPr>
            <w:tcW w:w="700" w:type="dxa"/>
            <w:vAlign w:val="bottom"/>
          </w:tcPr>
          <w:p>
            <w:pPr>
              <w:spacing w:after="0"/>
              <w:rPr>
                <w:sz w:val="17"/>
                <w:szCs w:val="17"/>
                <w:color w:val="auto"/>
              </w:rPr>
            </w:pP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Risk Factors</w:t>
              </w:r>
            </w:hyperlink>
          </w:p>
        </w:tc>
        <w:tc>
          <w:tcPr>
            <w:tcW w:w="2900" w:type="dxa"/>
            <w:vAlign w:val="bottom"/>
            <w:gridSpan w:val="6"/>
          </w:tcPr>
          <w:p>
            <w:pPr>
              <w:spacing w:after="0"/>
              <w:rPr>
                <w:sz w:val="17"/>
                <w:szCs w:val="17"/>
                <w:color w:val="auto"/>
              </w:rPr>
            </w:pPr>
          </w:p>
        </w:tc>
        <w:tc>
          <w:tcPr>
            <w:tcW w:w="562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S-4</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3800" w:type="dxa"/>
            <w:vAlign w:val="bottom"/>
            <w:gridSpan w:val="9"/>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Use of Proceeds</w:t>
              </w:r>
            </w:hyperlink>
          </w:p>
        </w:tc>
        <w:tc>
          <w:tcPr>
            <w:tcW w:w="562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S-11</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w:anchor="page15">
              <w:r>
                <w:rPr>
                  <w:rFonts w:ascii="Arial" w:cs="Arial" w:eastAsia="Arial" w:hAnsi="Arial"/>
                  <w:sz w:val="18"/>
                  <w:szCs w:val="18"/>
                  <w:color w:val="0000EE"/>
                  <w:w w:val="92"/>
                </w:rPr>
                <w:t>Capitalization</w:t>
              </w:r>
            </w:hyperlink>
          </w:p>
        </w:tc>
        <w:tc>
          <w:tcPr>
            <w:tcW w:w="140" w:type="dxa"/>
            <w:vAlign w:val="bottom"/>
            <w:tcBorders>
              <w:top w:val="single" w:sz="8" w:color="0000EE"/>
            </w:tcBorders>
          </w:tcPr>
          <w:p>
            <w:pPr>
              <w:spacing w:after="0"/>
              <w:rPr>
                <w:sz w:val="17"/>
                <w:szCs w:val="17"/>
                <w:color w:val="auto"/>
              </w:rPr>
            </w:pPr>
          </w:p>
        </w:tc>
        <w:tc>
          <w:tcPr>
            <w:tcW w:w="2640" w:type="dxa"/>
            <w:vAlign w:val="bottom"/>
            <w:gridSpan w:val="2"/>
          </w:tcPr>
          <w:p>
            <w:pPr>
              <w:spacing w:after="0"/>
              <w:rPr>
                <w:sz w:val="17"/>
                <w:szCs w:val="17"/>
                <w:color w:val="auto"/>
              </w:rPr>
            </w:pPr>
          </w:p>
        </w:tc>
        <w:tc>
          <w:tcPr>
            <w:tcW w:w="562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S-12</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5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17">
              <w:r>
                <w:rPr>
                  <w:rFonts w:ascii="Arial" w:cs="Arial" w:eastAsia="Arial" w:hAnsi="Arial"/>
                  <w:sz w:val="18"/>
                  <w:szCs w:val="18"/>
                  <w:color w:val="0000EE"/>
                  <w:w w:val="91"/>
                </w:rPr>
                <w:t>Description of Notes</w:t>
              </w:r>
            </w:hyperlink>
          </w:p>
        </w:tc>
        <w:tc>
          <w:tcPr>
            <w:tcW w:w="230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S-14</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3800" w:type="dxa"/>
            <w:vAlign w:val="bottom"/>
            <w:gridSpan w:val="9"/>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Underwriting</w:t>
              </w:r>
            </w:hyperlink>
          </w:p>
        </w:tc>
        <w:tc>
          <w:tcPr>
            <w:tcW w:w="562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S-25</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0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Legal Matters</w:t>
              </w:r>
            </w:hyperlink>
          </w:p>
        </w:tc>
        <w:tc>
          <w:tcPr>
            <w:tcW w:w="2800" w:type="dxa"/>
            <w:vAlign w:val="bottom"/>
            <w:gridSpan w:val="4"/>
          </w:tcPr>
          <w:p>
            <w:pPr>
              <w:spacing w:after="0"/>
              <w:rPr>
                <w:sz w:val="17"/>
                <w:szCs w:val="17"/>
                <w:color w:val="auto"/>
              </w:rPr>
            </w:pPr>
          </w:p>
        </w:tc>
        <w:tc>
          <w:tcPr>
            <w:tcW w:w="562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S-27</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3800" w:type="dxa"/>
            <w:vAlign w:val="bottom"/>
            <w:gridSpan w:val="9"/>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Experts</w:t>
              </w:r>
            </w:hyperlink>
          </w:p>
        </w:tc>
        <w:tc>
          <w:tcPr>
            <w:tcW w:w="562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S-27</w:t>
            </w:r>
          </w:p>
        </w:tc>
        <w:tc>
          <w:tcPr>
            <w:tcW w:w="800" w:type="dxa"/>
            <w:vAlign w:val="bottom"/>
          </w:tcPr>
          <w:p>
            <w:pPr>
              <w:spacing w:after="0"/>
              <w:rPr>
                <w:sz w:val="17"/>
                <w:szCs w:val="17"/>
                <w:color w:val="auto"/>
              </w:rPr>
            </w:pPr>
          </w:p>
        </w:tc>
      </w:tr>
      <w:tr>
        <w:trPr>
          <w:trHeight w:val="384"/>
        </w:trPr>
        <w:tc>
          <w:tcPr>
            <w:tcW w:w="70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120" w:type="dxa"/>
            <w:vAlign w:val="bottom"/>
            <w:gridSpan w:val="2"/>
          </w:tcPr>
          <w:p>
            <w:pPr>
              <w:jc w:val="center"/>
              <w:ind w:right="3712"/>
              <w:spacing w:after="0"/>
              <w:rPr>
                <w:sz w:val="20"/>
                <w:szCs w:val="20"/>
                <w:color w:val="auto"/>
              </w:rPr>
            </w:pPr>
            <w:r>
              <w:rPr>
                <w:rFonts w:ascii="Arial" w:cs="Arial" w:eastAsia="Arial" w:hAnsi="Arial"/>
                <w:sz w:val="18"/>
                <w:szCs w:val="18"/>
                <w:b w:val="1"/>
                <w:bCs w:val="1"/>
                <w:color w:val="auto"/>
                <w:w w:val="85"/>
              </w:rPr>
              <w:t>Prospectus</w:t>
            </w:r>
          </w:p>
        </w:tc>
        <w:tc>
          <w:tcPr>
            <w:tcW w:w="800" w:type="dxa"/>
            <w:vAlign w:val="bottom"/>
          </w:tcPr>
          <w:p>
            <w:pPr>
              <w:spacing w:after="0"/>
              <w:rPr>
                <w:sz w:val="24"/>
                <w:szCs w:val="24"/>
                <w:color w:val="auto"/>
              </w:rPr>
            </w:pPr>
          </w:p>
        </w:tc>
      </w:tr>
      <w:tr>
        <w:trPr>
          <w:trHeight w:val="216"/>
        </w:trPr>
        <w:tc>
          <w:tcPr>
            <w:tcW w:w="700" w:type="dxa"/>
            <w:vAlign w:val="bottom"/>
          </w:tcPr>
          <w:p>
            <w:pPr>
              <w:spacing w:after="0"/>
              <w:rPr>
                <w:sz w:val="18"/>
                <w:szCs w:val="18"/>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rPr>
              <w:t>Forward-Looking Statements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rPr>
              <w:t>About This Prospectus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w w:val="95"/>
              </w:rPr>
              <w:t>Incorporation of Certain Documents by Reference</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rPr>
              <w:t>Where You Can Find More Information</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rPr>
              <w:t>The Company</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rPr>
              <w:t>Risk Factors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rPr>
              <w:t>Ratio of Earnings to Fixed Charges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rPr>
              <w:t>Use of Proceeds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rPr>
              <w:t>Description of the Debt Securities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rPr>
              <w:t>Description of Guarantees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rPr>
              <w:t>Description of Capital Stock</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rPr>
              <w:t>Description of Other Securities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rPr>
              <w:t>Plan of Distribution</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rPr>
              <w:t>Selling Securityholders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rPr>
              <w:t>Legal Matters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800" w:type="dxa"/>
            <w:vAlign w:val="bottom"/>
          </w:tcPr>
          <w:p>
            <w:pPr>
              <w:spacing w:after="0"/>
              <w:rPr>
                <w:sz w:val="18"/>
                <w:szCs w:val="18"/>
                <w:color w:val="auto"/>
              </w:rPr>
            </w:pPr>
          </w:p>
        </w:tc>
      </w:tr>
      <w:tr>
        <w:trPr>
          <w:trHeight w:val="230"/>
        </w:trPr>
        <w:tc>
          <w:tcPr>
            <w:tcW w:w="700" w:type="dxa"/>
            <w:vAlign w:val="bottom"/>
          </w:tcPr>
          <w:p>
            <w:pPr>
              <w:spacing w:after="0"/>
              <w:rPr>
                <w:sz w:val="20"/>
                <w:szCs w:val="20"/>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rPr>
              <w:t>Experts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800" w:type="dxa"/>
            <w:vAlign w:val="bottom"/>
          </w:tcPr>
          <w:p>
            <w:pPr>
              <w:spacing w:after="0"/>
              <w:rPr>
                <w:sz w:val="20"/>
                <w:szCs w:val="20"/>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300" w:type="dxa"/>
            <w:vAlign w:val="bottom"/>
            <w:tcBorders>
              <w:bottom w:val="single" w:sz="8" w:color="808080"/>
            </w:tcBorders>
          </w:tcPr>
          <w:p>
            <w:pPr>
              <w:spacing w:after="0"/>
              <w:rPr>
                <w:sz w:val="19"/>
                <w:szCs w:val="19"/>
                <w:color w:val="auto"/>
              </w:rPr>
            </w:pPr>
          </w:p>
        </w:tc>
        <w:tc>
          <w:tcPr>
            <w:tcW w:w="56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218440</wp:posOffset>
            </wp:positionV>
            <wp:extent cx="6598920" cy="77050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ectPr>
          <w:pgSz w:w="11900" w:h="16838" w:orient="portrait"/>
          <w:cols w:equalWidth="0" w:num="1">
            <w:col w:w="10800"/>
          </w:cols>
          <w:pgMar w:left="240" w:top="419"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SUMMARY</w:t>
      </w:r>
    </w:p>
    <w:p>
      <w:pPr>
        <w:spacing w:after="0" w:line="135" w:lineRule="exact"/>
        <w:rPr>
          <w:sz w:val="20"/>
          <w:szCs w:val="20"/>
          <w:color w:val="auto"/>
        </w:rPr>
      </w:pPr>
    </w:p>
    <w:p>
      <w:pPr>
        <w:ind w:left="920" w:right="300" w:firstLine="397"/>
        <w:spacing w:after="0" w:line="257" w:lineRule="auto"/>
        <w:rPr>
          <w:sz w:val="20"/>
          <w:szCs w:val="20"/>
          <w:color w:val="auto"/>
        </w:rPr>
      </w:pPr>
      <w:r>
        <w:rPr>
          <w:rFonts w:ascii="Arial" w:cs="Arial" w:eastAsia="Arial" w:hAnsi="Arial"/>
          <w:sz w:val="18"/>
          <w:szCs w:val="18"/>
          <w:i w:val="1"/>
          <w:iCs w:val="1"/>
          <w:color w:val="auto"/>
        </w:rPr>
        <w:t>This summary highlights selected information from this prospectus supplement and the accompanying prospectus, but does not contain all information that may be important to you. This prospectus supplement and the accompanying prospectus include specific terms of the offering of the notes, information about our business and financial data. We encourage you to read this prospectus supplement and the accompanying prospectus, together with documents incorporated by reference, in their entirety before making an investment decision.</w:t>
      </w:r>
    </w:p>
    <w:p>
      <w:pPr>
        <w:spacing w:after="0" w:line="94" w:lineRule="exact"/>
        <w:rPr>
          <w:sz w:val="20"/>
          <w:szCs w:val="20"/>
          <w:color w:val="auto"/>
        </w:rPr>
      </w:pPr>
    </w:p>
    <w:p>
      <w:pPr>
        <w:ind w:left="920" w:firstLine="397"/>
        <w:spacing w:after="0" w:line="277" w:lineRule="auto"/>
        <w:rPr>
          <w:sz w:val="20"/>
          <w:szCs w:val="20"/>
          <w:color w:val="auto"/>
        </w:rPr>
      </w:pPr>
      <w:r>
        <w:rPr>
          <w:rFonts w:ascii="Arial" w:cs="Arial" w:eastAsia="Arial" w:hAnsi="Arial"/>
          <w:sz w:val="18"/>
          <w:szCs w:val="18"/>
          <w:i w:val="1"/>
          <w:iCs w:val="1"/>
          <w:color w:val="auto"/>
        </w:rPr>
        <w:t>As used in this prospectus supplement, the terms “Waste Management,” “we,” “us” or “our” refer to Waste Management, Inc. and its subsidiaries, taken as a whole, unless the context clearly indicates otherwise.</w:t>
      </w:r>
    </w:p>
    <w:p>
      <w:pPr>
        <w:spacing w:after="0" w:line="288"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About Waste Management</w:t>
      </w:r>
    </w:p>
    <w:p>
      <w:pPr>
        <w:spacing w:after="0" w:line="135" w:lineRule="exact"/>
        <w:rPr>
          <w:sz w:val="20"/>
          <w:szCs w:val="20"/>
          <w:color w:val="auto"/>
        </w:rPr>
      </w:pPr>
    </w:p>
    <w:p>
      <w:pPr>
        <w:ind w:left="920" w:right="140" w:firstLine="397"/>
        <w:spacing w:after="0" w:line="273" w:lineRule="auto"/>
        <w:rPr>
          <w:sz w:val="20"/>
          <w:szCs w:val="20"/>
          <w:color w:val="auto"/>
        </w:rPr>
      </w:pPr>
      <w:r>
        <w:rPr>
          <w:rFonts w:ascii="Arial" w:cs="Arial" w:eastAsia="Arial" w:hAnsi="Arial"/>
          <w:sz w:val="17"/>
          <w:szCs w:val="17"/>
          <w:color w:val="auto"/>
        </w:rPr>
        <w:t>We are the leading provider of integrated waste services in North America. Using our vast network of assets and employees, we provide a comprehensive range of waste management services. Through our subsidiaries we provide collection, transfer, recycling, disposal and waste-to-energy services. In providing these services, we actively pursue projects and initiatives that we believe make a positive difference for our environment, including recovering and processing the methane gas produced naturally by landfills into a renewable energy source. Our customers include commercial, industrial, municipal and residential customers, other waste management companies, electric utilities and governmental entities.</w:t>
      </w:r>
    </w:p>
    <w:p>
      <w:pPr>
        <w:spacing w:after="0" w:line="84"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Our principal offices are located at 1001 Fannin Street, Suite 4000, Houston, Texas 77002. Our telephone number at that address is</w:t>
      </w:r>
    </w:p>
    <w:p>
      <w:pPr>
        <w:spacing w:after="0" w:line="46" w:lineRule="exact"/>
        <w:rPr>
          <w:sz w:val="20"/>
          <w:szCs w:val="20"/>
          <w:color w:val="auto"/>
        </w:rPr>
      </w:pPr>
    </w:p>
    <w:p>
      <w:pPr>
        <w:ind w:left="920" w:right="200" w:firstLine="2"/>
        <w:spacing w:after="0" w:line="295" w:lineRule="auto"/>
        <w:tabs>
          <w:tab w:leader="none" w:pos="1355" w:val="left"/>
        </w:tabs>
        <w:numPr>
          <w:ilvl w:val="0"/>
          <w:numId w:val="2"/>
        </w:numPr>
        <w:rPr>
          <w:rFonts w:ascii="Arial" w:cs="Arial" w:eastAsia="Arial" w:hAnsi="Arial"/>
          <w:sz w:val="16"/>
          <w:szCs w:val="16"/>
          <w:color w:val="auto"/>
        </w:rPr>
      </w:pPr>
      <w:r>
        <w:rPr>
          <w:rFonts w:ascii="Arial" w:cs="Arial" w:eastAsia="Arial" w:hAnsi="Arial"/>
          <w:sz w:val="16"/>
          <w:szCs w:val="16"/>
          <w:color w:val="auto"/>
        </w:rPr>
        <w:t>512-6200. Our website address is http://www.wm.com. Our annual reports on Form 10-K, quarterly reports on Form 10-Q and current reports on Form 8-K are all available, free of charge, on our website as soon as practicable after we file them with the SEC. Information on our website is not generally incorporated by reference into this prospectus supplement and does not constitute a part of this prospectus supplement. Our common stock is traded on the New York Stock Exchange under the symbol “WM.”</w:t>
      </w:r>
    </w:p>
    <w:p>
      <w:pPr>
        <w:spacing w:after="0" w:line="279"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About Waste Management Holdings, Inc.</w:t>
      </w:r>
    </w:p>
    <w:p>
      <w:pPr>
        <w:spacing w:after="0" w:line="135" w:lineRule="exact"/>
        <w:rPr>
          <w:sz w:val="20"/>
          <w:szCs w:val="20"/>
          <w:color w:val="auto"/>
        </w:rPr>
      </w:pPr>
    </w:p>
    <w:p>
      <w:pPr>
        <w:jc w:val="both"/>
        <w:ind w:left="920" w:right="80" w:firstLine="397"/>
        <w:spacing w:after="0" w:line="264" w:lineRule="auto"/>
        <w:rPr>
          <w:sz w:val="20"/>
          <w:szCs w:val="20"/>
          <w:color w:val="auto"/>
        </w:rPr>
      </w:pPr>
      <w:r>
        <w:rPr>
          <w:rFonts w:ascii="Arial" w:cs="Arial" w:eastAsia="Arial" w:hAnsi="Arial"/>
          <w:sz w:val="18"/>
          <w:szCs w:val="18"/>
          <w:color w:val="auto"/>
        </w:rPr>
        <w:t>Waste Management Holdings, Inc., which we refer to in this prospectus supplement as “WM Holdings,” is a direct wholly owned subsidiary of Waste Management. WM Holdings is a holding company, the only assets of which are the equity interests of our operating subsidiaries.</w:t>
      </w:r>
    </w:p>
    <w:p>
      <w:pPr>
        <w:sectPr>
          <w:pgSz w:w="11900" w:h="16838" w:orient="portrait"/>
          <w:cols w:equalWidth="0" w:num="1">
            <w:col w:w="10800"/>
          </w:cols>
          <w:pgMar w:left="240" w:top="419" w:right="8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19"/>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419" w:right="85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The Offering</w:t>
      </w:r>
    </w:p>
    <w:p>
      <w:pPr>
        <w:spacing w:after="0" w:line="135"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Issuer</w:t>
      </w:r>
      <w:r>
        <w:rPr>
          <w:sz w:val="20"/>
          <w:szCs w:val="20"/>
          <w:color w:val="auto"/>
        </w:rPr>
        <w:tab/>
      </w:r>
      <w:r>
        <w:rPr>
          <w:rFonts w:ascii="Arial" w:cs="Arial" w:eastAsia="Arial" w:hAnsi="Arial"/>
          <w:sz w:val="18"/>
          <w:szCs w:val="18"/>
          <w:color w:val="auto"/>
        </w:rPr>
        <w:t>Waste Management, Inc.</w:t>
      </w:r>
    </w:p>
    <w:p>
      <w:pPr>
        <w:spacing w:after="0" w:line="117"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Securities Offered</w:t>
      </w:r>
      <w:r>
        <w:rPr>
          <w:sz w:val="20"/>
          <w:szCs w:val="20"/>
          <w:color w:val="auto"/>
        </w:rPr>
        <w:tab/>
      </w:r>
      <w:r>
        <w:rPr>
          <w:rFonts w:ascii="Arial" w:cs="Arial" w:eastAsia="Arial" w:hAnsi="Arial"/>
          <w:sz w:val="16"/>
          <w:szCs w:val="16"/>
          <w:color w:val="auto"/>
        </w:rPr>
        <w:t>$600 million aggregate principal amount of 6.125% Senior Notes due 2039</w:t>
      </w:r>
    </w:p>
    <w:p>
      <w:pPr>
        <w:spacing w:after="0" w:line="117"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Subsidiary Guarantee</w:t>
      </w:r>
      <w:r>
        <w:rPr>
          <w:sz w:val="20"/>
          <w:szCs w:val="20"/>
          <w:color w:val="auto"/>
        </w:rPr>
        <w:tab/>
      </w:r>
      <w:r>
        <w:rPr>
          <w:rFonts w:ascii="Arial" w:cs="Arial" w:eastAsia="Arial" w:hAnsi="Arial"/>
          <w:sz w:val="16"/>
          <w:szCs w:val="16"/>
          <w:color w:val="auto"/>
        </w:rPr>
        <w:t>WM Holdings will fully and unconditionally guarantee, on a senior unsecured basis,</w:t>
      </w:r>
    </w:p>
    <w:p>
      <w:pPr>
        <w:spacing w:after="0" w:line="23" w:lineRule="exact"/>
        <w:rPr>
          <w:sz w:val="20"/>
          <w:szCs w:val="20"/>
          <w:color w:val="auto"/>
        </w:rPr>
      </w:pPr>
    </w:p>
    <w:p>
      <w:pPr>
        <w:ind w:left="4600"/>
        <w:spacing w:after="0"/>
        <w:rPr>
          <w:sz w:val="20"/>
          <w:szCs w:val="20"/>
          <w:color w:val="auto"/>
        </w:rPr>
      </w:pPr>
      <w:r>
        <w:rPr>
          <w:rFonts w:ascii="Arial" w:cs="Arial" w:eastAsia="Arial" w:hAnsi="Arial"/>
          <w:sz w:val="17"/>
          <w:szCs w:val="17"/>
          <w:color w:val="auto"/>
        </w:rPr>
        <w:t>the full and prompt payment of the principal and any premium and interest on the</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16"/>
          <w:szCs w:val="16"/>
          <w:color w:val="auto"/>
        </w:rPr>
        <w:t>notes, when and as it becomes due and payable, whether at maturity or otherwise.</w:t>
      </w:r>
    </w:p>
    <w:p>
      <w:pPr>
        <w:spacing w:after="0" w:line="126"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Maturity Date</w:t>
      </w:r>
      <w:r>
        <w:rPr>
          <w:sz w:val="20"/>
          <w:szCs w:val="20"/>
          <w:color w:val="auto"/>
        </w:rPr>
        <w:tab/>
      </w:r>
      <w:r>
        <w:rPr>
          <w:rFonts w:ascii="Arial" w:cs="Arial" w:eastAsia="Arial" w:hAnsi="Arial"/>
          <w:sz w:val="16"/>
          <w:szCs w:val="16"/>
          <w:color w:val="auto"/>
        </w:rPr>
        <w:t>November 30, 2039</w:t>
      </w:r>
    </w:p>
    <w:p>
      <w:pPr>
        <w:spacing w:after="0" w:line="117"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Interest Rate</w:t>
      </w:r>
      <w:r>
        <w:rPr>
          <w:sz w:val="20"/>
          <w:szCs w:val="20"/>
          <w:color w:val="auto"/>
        </w:rPr>
        <w:tab/>
      </w:r>
      <w:r>
        <w:rPr>
          <w:rFonts w:ascii="Arial" w:cs="Arial" w:eastAsia="Arial" w:hAnsi="Arial"/>
          <w:sz w:val="16"/>
          <w:szCs w:val="16"/>
          <w:color w:val="auto"/>
        </w:rPr>
        <w:t>6.125% per year</w:t>
      </w:r>
    </w:p>
    <w:p>
      <w:pPr>
        <w:spacing w:after="0" w:line="117"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Interest Payment Dates</w:t>
      </w:r>
      <w:r>
        <w:rPr>
          <w:sz w:val="20"/>
          <w:szCs w:val="20"/>
          <w:color w:val="auto"/>
        </w:rPr>
        <w:tab/>
      </w:r>
      <w:r>
        <w:rPr>
          <w:rFonts w:ascii="Arial" w:cs="Arial" w:eastAsia="Arial" w:hAnsi="Arial"/>
          <w:sz w:val="16"/>
          <w:szCs w:val="16"/>
          <w:color w:val="auto"/>
        </w:rPr>
        <w:t>May 30 and November 30 of each year, beginning May 30, 2010</w:t>
      </w:r>
    </w:p>
    <w:p>
      <w:pPr>
        <w:spacing w:after="0" w:line="117"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Optional Redemption</w:t>
      </w:r>
      <w:r>
        <w:rPr>
          <w:sz w:val="20"/>
          <w:szCs w:val="20"/>
          <w:color w:val="auto"/>
        </w:rPr>
        <w:tab/>
      </w:r>
      <w:r>
        <w:rPr>
          <w:rFonts w:ascii="Arial" w:cs="Arial" w:eastAsia="Arial" w:hAnsi="Arial"/>
          <w:sz w:val="16"/>
          <w:szCs w:val="16"/>
          <w:color w:val="auto"/>
        </w:rPr>
        <w:t>We may elect to redeem and repay any or all of the notes at any time in minimum</w:t>
      </w:r>
    </w:p>
    <w:p>
      <w:pPr>
        <w:spacing w:after="0" w:line="23" w:lineRule="exact"/>
        <w:rPr>
          <w:sz w:val="20"/>
          <w:szCs w:val="20"/>
          <w:color w:val="auto"/>
        </w:rPr>
      </w:pPr>
    </w:p>
    <w:p>
      <w:pPr>
        <w:ind w:left="4600" w:right="60"/>
        <w:spacing w:after="0" w:line="292" w:lineRule="auto"/>
        <w:rPr>
          <w:sz w:val="20"/>
          <w:szCs w:val="20"/>
          <w:color w:val="auto"/>
        </w:rPr>
      </w:pPr>
      <w:r>
        <w:rPr>
          <w:rFonts w:ascii="Arial" w:cs="Arial" w:eastAsia="Arial" w:hAnsi="Arial"/>
          <w:sz w:val="16"/>
          <w:szCs w:val="16"/>
          <w:color w:val="auto"/>
        </w:rPr>
        <w:t>principal amounts of $2,000 or any integral multiple of $1,000 in excess thereof. We will pay an amount equal to the greater of 100% of the principal amount of the notes redeemed and repaid, or the sum of the present values of the remaining scheduled payments of principal and interest on the notes, as described on page S-15 of this prospectus supplement. We will also pay accrued interest to the redemption date.</w:t>
      </w:r>
    </w:p>
    <w:p>
      <w:pPr>
        <w:spacing w:after="0" w:line="5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Please read “Description of Notes — Optional Redemption.”</w:t>
      </w:r>
    </w:p>
    <w:p>
      <w:pPr>
        <w:spacing w:after="0" w:line="117"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Change of Control Offer</w:t>
      </w:r>
      <w:r>
        <w:rPr>
          <w:sz w:val="20"/>
          <w:szCs w:val="20"/>
          <w:color w:val="auto"/>
        </w:rPr>
        <w:tab/>
      </w:r>
      <w:r>
        <w:rPr>
          <w:rFonts w:ascii="Arial" w:cs="Arial" w:eastAsia="Arial" w:hAnsi="Arial"/>
          <w:sz w:val="16"/>
          <w:szCs w:val="16"/>
          <w:color w:val="auto"/>
        </w:rPr>
        <w:t>If a change of control triggering event as described on page S-17 occurs, holders of</w:t>
      </w:r>
    </w:p>
    <w:p>
      <w:pPr>
        <w:spacing w:after="0" w:line="23" w:lineRule="exact"/>
        <w:rPr>
          <w:sz w:val="20"/>
          <w:szCs w:val="20"/>
          <w:color w:val="auto"/>
        </w:rPr>
      </w:pPr>
    </w:p>
    <w:p>
      <w:pPr>
        <w:ind w:left="4600" w:right="80"/>
        <w:spacing w:after="0" w:line="277" w:lineRule="auto"/>
        <w:rPr>
          <w:sz w:val="20"/>
          <w:szCs w:val="20"/>
          <w:color w:val="auto"/>
        </w:rPr>
      </w:pPr>
      <w:r>
        <w:rPr>
          <w:rFonts w:ascii="Arial" w:cs="Arial" w:eastAsia="Arial" w:hAnsi="Arial"/>
          <w:sz w:val="17"/>
          <w:szCs w:val="17"/>
          <w:color w:val="auto"/>
        </w:rPr>
        <w:t>the notes may require us to purchase all or a portion of such holders’ notes at a price equal to 101% of the principal amount, plus accrued interest, if any, to the date of purchase. See “Description of Notes — Change of Control Offer.”</w:t>
      </w:r>
    </w:p>
    <w:p>
      <w:pPr>
        <w:spacing w:after="0" w:line="65"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7"/>
          <w:szCs w:val="17"/>
          <w:color w:val="auto"/>
        </w:rPr>
        <w:t>Ranking</w:t>
      </w:r>
      <w:r>
        <w:rPr>
          <w:sz w:val="20"/>
          <w:szCs w:val="20"/>
          <w:color w:val="auto"/>
        </w:rPr>
        <w:tab/>
      </w:r>
      <w:r>
        <w:rPr>
          <w:rFonts w:ascii="Arial" w:cs="Arial" w:eastAsia="Arial" w:hAnsi="Arial"/>
          <w:sz w:val="17"/>
          <w:szCs w:val="17"/>
          <w:color w:val="auto"/>
        </w:rPr>
        <w:t>The notes and the guarantees will constitute the senior unsecured debt of Waste</w:t>
      </w:r>
    </w:p>
    <w:p>
      <w:pPr>
        <w:spacing w:after="0" w:line="35" w:lineRule="exact"/>
        <w:rPr>
          <w:sz w:val="20"/>
          <w:szCs w:val="20"/>
          <w:color w:val="auto"/>
        </w:rPr>
      </w:pPr>
    </w:p>
    <w:p>
      <w:pPr>
        <w:ind w:left="4600" w:right="100"/>
        <w:spacing w:after="0" w:line="255" w:lineRule="auto"/>
        <w:rPr>
          <w:sz w:val="20"/>
          <w:szCs w:val="20"/>
          <w:color w:val="auto"/>
        </w:rPr>
      </w:pPr>
      <w:r>
        <w:rPr>
          <w:rFonts w:ascii="Arial" w:cs="Arial" w:eastAsia="Arial" w:hAnsi="Arial"/>
          <w:sz w:val="18"/>
          <w:szCs w:val="18"/>
          <w:color w:val="auto"/>
        </w:rPr>
        <w:t>Management, Inc. and WM Holdings, respectively, and will rank equally with all of our and its other existing and future senior indebtedness from time to time outstanding.</w:t>
      </w:r>
    </w:p>
    <w:p>
      <w:pPr>
        <w:spacing w:after="0" w:line="82"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7"/>
          <w:szCs w:val="17"/>
          <w:color w:val="auto"/>
        </w:rPr>
        <w:t>Covenants</w:t>
      </w:r>
      <w:r>
        <w:rPr>
          <w:sz w:val="20"/>
          <w:szCs w:val="20"/>
          <w:color w:val="auto"/>
        </w:rPr>
        <w:tab/>
      </w:r>
      <w:r>
        <w:rPr>
          <w:rFonts w:ascii="Arial" w:cs="Arial" w:eastAsia="Arial" w:hAnsi="Arial"/>
          <w:sz w:val="17"/>
          <w:szCs w:val="17"/>
          <w:color w:val="auto"/>
        </w:rPr>
        <w:t>We will issue the notes under an indenture containing covenants for your benefit.</w:t>
      </w:r>
    </w:p>
    <w:p>
      <w:pPr>
        <w:spacing w:after="0" w:line="3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These covenants restrict our ability, with certain exceptions, to:</w:t>
      </w:r>
    </w:p>
    <w:p>
      <w:pPr>
        <w:spacing w:after="0" w:line="10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 create, incur or assume debt secured by liens;</w:t>
      </w:r>
    </w:p>
    <w:p>
      <w:pPr>
        <w:spacing w:after="0" w:line="11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 engage in sale and leaseback transactions; and</w:t>
      </w:r>
    </w:p>
    <w:p>
      <w:pPr>
        <w:spacing w:after="0" w:line="11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 merge, consolidate or transfer all or substantially all of our assets.</w:t>
      </w:r>
    </w:p>
    <w:p>
      <w:pPr>
        <w:spacing w:after="0" w:line="117"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6"/>
          <w:szCs w:val="16"/>
          <w:color w:val="auto"/>
        </w:rPr>
        <w:t>We expect the net proceeds from the offering of the notes to be $590.9 million, after</w:t>
      </w:r>
    </w:p>
    <w:p>
      <w:pPr>
        <w:spacing w:after="0" w:line="23" w:lineRule="exact"/>
        <w:rPr>
          <w:sz w:val="20"/>
          <w:szCs w:val="20"/>
          <w:color w:val="auto"/>
        </w:rPr>
      </w:pPr>
    </w:p>
    <w:p>
      <w:pPr>
        <w:ind w:left="4600"/>
        <w:spacing w:after="0" w:line="290" w:lineRule="auto"/>
        <w:rPr>
          <w:sz w:val="20"/>
          <w:szCs w:val="20"/>
          <w:color w:val="auto"/>
        </w:rPr>
      </w:pPr>
      <w:r>
        <w:rPr>
          <w:rFonts w:ascii="Arial" w:cs="Arial" w:eastAsia="Arial" w:hAnsi="Arial"/>
          <w:sz w:val="16"/>
          <w:szCs w:val="16"/>
          <w:color w:val="auto"/>
        </w:rPr>
        <w:t>deducting underwriting discounts and commissions and estimated expenses of the offering that we will pay. A portion of the net proceeds will be used to fund an equity investment and other acquisitions and investments and all remaining proceeds will be used for general corporate purposes, including additions to working capital, capital expenditures and the funding of other potential acquisitions and investments in businesses. For more details, see “Use of Proceeds.”</w:t>
      </w:r>
    </w:p>
    <w:p>
      <w:pPr>
        <w:sectPr>
          <w:pgSz w:w="11900" w:h="16838" w:orient="portrait"/>
          <w:cols w:equalWidth="0" w:num="1">
            <w:col w:w="10740"/>
          </w:cols>
          <w:pgMar w:left="240" w:top="419"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9" w:right="91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Trustee</w:t>
      </w:r>
      <w:r>
        <w:rPr>
          <w:sz w:val="20"/>
          <w:szCs w:val="20"/>
          <w:color w:val="auto"/>
        </w:rPr>
        <w:tab/>
      </w:r>
      <w:r>
        <w:rPr>
          <w:rFonts w:ascii="Arial" w:cs="Arial" w:eastAsia="Arial" w:hAnsi="Arial"/>
          <w:sz w:val="18"/>
          <w:szCs w:val="18"/>
          <w:color w:val="auto"/>
        </w:rPr>
        <w:t>The Bank of New York Mellon Trust Company, N.A.</w:t>
      </w:r>
    </w:p>
    <w:p>
      <w:pPr>
        <w:spacing w:after="0" w:line="117"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Additional Issues</w:t>
      </w:r>
      <w:r>
        <w:rPr>
          <w:sz w:val="20"/>
          <w:szCs w:val="20"/>
          <w:color w:val="auto"/>
        </w:rPr>
        <w:tab/>
      </w:r>
      <w:r>
        <w:rPr>
          <w:rFonts w:ascii="Arial" w:cs="Arial" w:eastAsia="Arial" w:hAnsi="Arial"/>
          <w:sz w:val="16"/>
          <w:szCs w:val="16"/>
          <w:color w:val="auto"/>
        </w:rPr>
        <w:t>We may, without the consent of the holders, create and issue additional notes ranking</w:t>
      </w:r>
    </w:p>
    <w:p>
      <w:pPr>
        <w:spacing w:after="0" w:line="23" w:lineRule="exact"/>
        <w:rPr>
          <w:sz w:val="20"/>
          <w:szCs w:val="20"/>
          <w:color w:val="auto"/>
        </w:rPr>
      </w:pPr>
    </w:p>
    <w:p>
      <w:pPr>
        <w:ind w:left="4600" w:right="40"/>
        <w:spacing w:after="0" w:line="261" w:lineRule="auto"/>
        <w:rPr>
          <w:sz w:val="20"/>
          <w:szCs w:val="20"/>
          <w:color w:val="auto"/>
        </w:rPr>
      </w:pPr>
      <w:r>
        <w:rPr>
          <w:rFonts w:ascii="Arial" w:cs="Arial" w:eastAsia="Arial" w:hAnsi="Arial"/>
          <w:sz w:val="18"/>
          <w:szCs w:val="18"/>
          <w:color w:val="auto"/>
        </w:rPr>
        <w:t>equally and ratably with the notes in all respects, so that such additional notes shall be considered and form a single series with the notes.</w:t>
      </w:r>
    </w:p>
    <w:p>
      <w:pPr>
        <w:spacing w:after="0" w:line="30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Ratio of Earnings to Fixed Charges</w:t>
      </w:r>
    </w:p>
    <w:p>
      <w:pPr>
        <w:spacing w:after="0" w:line="13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The following table sets forth our ratio of earnings to fixed charges for each of the periods indicated:</w:t>
      </w:r>
    </w:p>
    <w:p>
      <w:pPr>
        <w:spacing w:after="0" w:line="13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1720" w:type="dxa"/>
            <w:vAlign w:val="bottom"/>
            <w:gridSpan w:val="2"/>
          </w:tcPr>
          <w:p>
            <w:pPr>
              <w:ind w:left="60"/>
              <w:spacing w:after="0"/>
              <w:rPr>
                <w:sz w:val="20"/>
                <w:szCs w:val="20"/>
                <w:color w:val="auto"/>
              </w:rPr>
            </w:pPr>
            <w:r>
              <w:rPr>
                <w:rFonts w:ascii="Arial" w:cs="Arial" w:eastAsia="Arial" w:hAnsi="Arial"/>
                <w:sz w:val="14"/>
                <w:szCs w:val="14"/>
                <w:b w:val="1"/>
                <w:bCs w:val="1"/>
                <w:color w:val="auto"/>
              </w:rPr>
              <w:t>Nine Months Ended</w:t>
            </w:r>
          </w:p>
        </w:tc>
        <w:tc>
          <w:tcPr>
            <w:tcW w:w="3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center"/>
              <w:ind w:right="380"/>
              <w:spacing w:after="0"/>
              <w:rPr>
                <w:sz w:val="20"/>
                <w:szCs w:val="20"/>
                <w:color w:val="auto"/>
              </w:rPr>
            </w:pPr>
            <w:r>
              <w:rPr>
                <w:rFonts w:ascii="Arial" w:cs="Arial" w:eastAsia="Arial" w:hAnsi="Arial"/>
                <w:sz w:val="14"/>
                <w:szCs w:val="14"/>
                <w:b w:val="1"/>
                <w:bCs w:val="1"/>
                <w:color w:val="auto"/>
                <w:w w:val="91"/>
              </w:rPr>
              <w:t>Years Ended December 31,</w:t>
            </w:r>
          </w:p>
        </w:tc>
        <w:tc>
          <w:tcPr>
            <w:tcW w:w="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760" w:type="dxa"/>
            <w:vAlign w:val="bottom"/>
          </w:tcPr>
          <w:p>
            <w:pPr>
              <w:spacing w:after="0"/>
              <w:rPr>
                <w:sz w:val="12"/>
                <w:szCs w:val="12"/>
                <w:color w:val="auto"/>
              </w:rPr>
            </w:pPr>
          </w:p>
        </w:tc>
        <w:tc>
          <w:tcPr>
            <w:tcW w:w="13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6"/>
              </w:rPr>
              <w:t>September 30, 2009</w:t>
            </w:r>
          </w:p>
        </w:tc>
        <w:tc>
          <w:tcPr>
            <w:tcW w:w="3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2007</w:t>
            </w:r>
          </w:p>
        </w:tc>
        <w:tc>
          <w:tcPr>
            <w:tcW w:w="38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2006</w:t>
            </w:r>
          </w:p>
        </w:tc>
        <w:tc>
          <w:tcPr>
            <w:tcW w:w="3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2005</w:t>
            </w:r>
          </w:p>
        </w:tc>
        <w:tc>
          <w:tcPr>
            <w:tcW w:w="3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2004</w:t>
            </w:r>
          </w:p>
        </w:tc>
        <w:tc>
          <w:tcPr>
            <w:tcW w:w="80" w:type="dxa"/>
            <w:vAlign w:val="bottom"/>
          </w:tcPr>
          <w:p>
            <w:pPr>
              <w:spacing w:after="0"/>
              <w:rPr>
                <w:sz w:val="12"/>
                <w:szCs w:val="12"/>
                <w:color w:val="auto"/>
              </w:rPr>
            </w:pPr>
          </w:p>
        </w:tc>
      </w:tr>
      <w:tr>
        <w:trPr>
          <w:trHeight w:val="264"/>
        </w:trPr>
        <w:tc>
          <w:tcPr>
            <w:tcW w:w="476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1720" w:type="dxa"/>
            <w:vAlign w:val="bottom"/>
            <w:gridSpan w:val="2"/>
          </w:tcPr>
          <w:p>
            <w:pPr>
              <w:ind w:left="1140"/>
              <w:spacing w:after="0"/>
              <w:rPr>
                <w:sz w:val="20"/>
                <w:szCs w:val="20"/>
                <w:color w:val="auto"/>
              </w:rPr>
            </w:pPr>
            <w:r>
              <w:rPr>
                <w:rFonts w:ascii="Arial" w:cs="Arial" w:eastAsia="Arial" w:hAnsi="Arial"/>
                <w:sz w:val="18"/>
                <w:szCs w:val="18"/>
                <w:color w:val="auto"/>
              </w:rPr>
              <w:t>4.1x</w:t>
            </w:r>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4.5x</w:t>
            </w: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4.0x</w:t>
            </w: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3.5x</w:t>
            </w: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3.2x</w:t>
            </w:r>
          </w:p>
        </w:tc>
        <w:tc>
          <w:tcPr>
            <w:tcW w:w="460" w:type="dxa"/>
            <w:vAlign w:val="bottom"/>
            <w:gridSpan w:val="2"/>
          </w:tcPr>
          <w:p>
            <w:pPr>
              <w:ind w:left="140"/>
              <w:spacing w:after="0"/>
              <w:rPr>
                <w:sz w:val="20"/>
                <w:szCs w:val="20"/>
                <w:color w:val="auto"/>
              </w:rPr>
            </w:pPr>
            <w:r>
              <w:rPr>
                <w:rFonts w:ascii="Arial" w:cs="Arial" w:eastAsia="Arial" w:hAnsi="Arial"/>
                <w:sz w:val="18"/>
                <w:szCs w:val="18"/>
                <w:color w:val="auto"/>
                <w:w w:val="88"/>
              </w:rPr>
              <w:t>3.5x</w:t>
            </w:r>
          </w:p>
        </w:tc>
      </w:tr>
      <w:tr>
        <w:trPr>
          <w:trHeight w:val="20"/>
        </w:trPr>
        <w:tc>
          <w:tcPr>
            <w:tcW w:w="47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1" w:lineRule="exact"/>
        <w:rPr>
          <w:sz w:val="20"/>
          <w:szCs w:val="20"/>
          <w:color w:val="auto"/>
        </w:rPr>
      </w:pPr>
    </w:p>
    <w:p>
      <w:pPr>
        <w:ind w:left="920" w:firstLine="397"/>
        <w:spacing w:after="0" w:line="279" w:lineRule="auto"/>
        <w:rPr>
          <w:sz w:val="20"/>
          <w:szCs w:val="20"/>
          <w:color w:val="auto"/>
        </w:rPr>
      </w:pPr>
      <w:r>
        <w:rPr>
          <w:rFonts w:ascii="Arial" w:cs="Arial" w:eastAsia="Arial" w:hAnsi="Arial"/>
          <w:sz w:val="17"/>
          <w:szCs w:val="17"/>
          <w:color w:val="auto"/>
        </w:rPr>
        <w:t>We have computed the ratio of earnings to fixed charges by dividing earnings available for fixed charges by fixed charges. For this purpose, earnings available for fixed charges consist of consolidated earnings before taxes, cumulative effects of changes in accounting principles, losses in equity investments and fixed charges. Fixed charges consist of total interest, whether expensed or capitalized, and the portion of our operating lease rental expense that represents an interest factor.</w:t>
      </w:r>
    </w:p>
    <w:p>
      <w:pPr>
        <w:sectPr>
          <w:pgSz w:w="11900" w:h="16838" w:orient="portrait"/>
          <w:cols w:equalWidth="0" w:num="1">
            <w:col w:w="10840"/>
          </w:cols>
          <w:pgMar w:left="240" w:top="419"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79"/>
        <w:spacing w:after="0"/>
        <w:rPr>
          <w:sz w:val="20"/>
          <w:szCs w:val="20"/>
          <w:color w:val="auto"/>
        </w:rPr>
      </w:pPr>
      <w:r>
        <w:rPr>
          <w:rFonts w:ascii="Arial" w:cs="Arial" w:eastAsia="Arial" w:hAnsi="Arial"/>
          <w:sz w:val="15"/>
          <w:szCs w:val="15"/>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RISK FACTORS</w:t>
      </w:r>
    </w:p>
    <w:p>
      <w:pPr>
        <w:spacing w:after="0" w:line="135"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i w:val="1"/>
          <w:iCs w:val="1"/>
          <w:color w:val="auto"/>
        </w:rPr>
        <w:t>You should carefully consider the risks described below, the other information set forth in this prospectus supplement, the accompanying prospectus, any free writing prospectus prepared by or on behalf of us and the documents incorporated by reference before making an investment decision in the notes. Additional risks and uncertainties not presently known to us, or that we currently deem immaterial, may also materially impair our business operations. The events discussed in the risk factors below may occur. If they do, our business, results of operations or financial condition could be materially adversely affected. In such case, the trading price of our securities, including the notes, could decline and you might lose all or part of your investment.</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Risks Related to the Notes</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We are a holding company and we depend upon cash distributions from our subsidiaries to service our debt.</w:t>
      </w:r>
    </w:p>
    <w:p>
      <w:pPr>
        <w:spacing w:after="0" w:line="131" w:lineRule="exact"/>
        <w:rPr>
          <w:sz w:val="20"/>
          <w:szCs w:val="20"/>
          <w:color w:val="auto"/>
        </w:rPr>
      </w:pPr>
    </w:p>
    <w:p>
      <w:pPr>
        <w:ind w:left="700" w:right="40" w:firstLine="397"/>
        <w:spacing w:after="0" w:line="290" w:lineRule="auto"/>
        <w:rPr>
          <w:sz w:val="20"/>
          <w:szCs w:val="20"/>
          <w:color w:val="auto"/>
        </w:rPr>
      </w:pPr>
      <w:r>
        <w:rPr>
          <w:rFonts w:ascii="Arial" w:cs="Arial" w:eastAsia="Arial" w:hAnsi="Arial"/>
          <w:sz w:val="16"/>
          <w:szCs w:val="16"/>
          <w:color w:val="auto"/>
        </w:rPr>
        <w:t>As a holding company, we conduct our operations through our operating subsidiaries, and our only significant assets are the capital stock of our subsidiaries. Accordingly, our ability to meet our cash obligations, including our obligations under the notes, depends in part upon the ability of our subsidiaries to make cash distributions to us. Any of our subsidiaries’ declaration of bankruptcy, liquidation or reorganization could materially adversely affect their ability to make cash distributions to us. The ability of our subsidiaries to make distributions to us is also, and will continue to be, restricted by, among other limitations, applicable provisions of the laws of national or state governments and contractual provisions. As of September 30, 2009, our operating subsidiaries had $3.21 billion of indebtedness, excluding inter-company loans. Any inability to pay amounts to us, whether by reason of financial difficulties or other restrictions, could have a material adverse effect on our ability to service and repay our debt, including the notes.</w:t>
      </w:r>
    </w:p>
    <w:p>
      <w:pPr>
        <w:spacing w:after="0" w:line="180" w:lineRule="exact"/>
        <w:rPr>
          <w:sz w:val="20"/>
          <w:szCs w:val="20"/>
          <w:color w:val="auto"/>
        </w:rPr>
      </w:pPr>
    </w:p>
    <w:p>
      <w:pPr>
        <w:ind w:left="900" w:right="380"/>
        <w:spacing w:after="0" w:line="277" w:lineRule="auto"/>
        <w:rPr>
          <w:sz w:val="20"/>
          <w:szCs w:val="20"/>
          <w:color w:val="auto"/>
        </w:rPr>
      </w:pPr>
      <w:r>
        <w:rPr>
          <w:rFonts w:ascii="Arial" w:cs="Arial" w:eastAsia="Arial" w:hAnsi="Arial"/>
          <w:sz w:val="18"/>
          <w:szCs w:val="18"/>
          <w:b w:val="1"/>
          <w:bCs w:val="1"/>
          <w:i w:val="1"/>
          <w:iCs w:val="1"/>
          <w:color w:val="auto"/>
        </w:rPr>
        <w:t>Our substantial indebtedness could impair our financial condition and our ability to fulfill our debt obligations, including our obligations under the notes.</w:t>
      </w:r>
    </w:p>
    <w:p>
      <w:pPr>
        <w:spacing w:after="0" w:line="76" w:lineRule="exact"/>
        <w:rPr>
          <w:sz w:val="20"/>
          <w:szCs w:val="20"/>
          <w:color w:val="auto"/>
        </w:rPr>
      </w:pPr>
    </w:p>
    <w:p>
      <w:pPr>
        <w:ind w:left="700" w:right="240" w:firstLine="397"/>
        <w:spacing w:after="0" w:line="259" w:lineRule="auto"/>
        <w:rPr>
          <w:sz w:val="20"/>
          <w:szCs w:val="20"/>
          <w:color w:val="auto"/>
        </w:rPr>
      </w:pPr>
      <w:r>
        <w:rPr>
          <w:rFonts w:ascii="Arial" w:cs="Arial" w:eastAsia="Arial" w:hAnsi="Arial"/>
          <w:sz w:val="18"/>
          <w:szCs w:val="18"/>
          <w:color w:val="auto"/>
        </w:rPr>
        <w:t>We have substantial indebtedness. At September 30, 2009, our ratio of total debt to total capitalization was 55.8% and our total consolidated indebtedness was $8.25 billion. In addition, as of September 30, 2009, we had approximately $1.6 billion letters of credit outstanding under our $2.4 billion revolving credit facility. Our level of indebtedness and the covenants contained in the agreements governing our debt could have important consequences, including:</w:t>
      </w:r>
    </w:p>
    <w:p>
      <w:pPr>
        <w:spacing w:after="0" w:line="92" w:lineRule="exact"/>
        <w:rPr>
          <w:sz w:val="20"/>
          <w:szCs w:val="20"/>
          <w:color w:val="auto"/>
        </w:rPr>
      </w:pPr>
    </w:p>
    <w:p>
      <w:pPr>
        <w:ind w:left="1300" w:right="20" w:hanging="202"/>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 with respect to the notes and our other indebtedness, which could in turn result in an event of default on such other indebtedness or the notes;</w:t>
      </w:r>
    </w:p>
    <w:p>
      <w:pPr>
        <w:spacing w:after="0" w:line="62" w:lineRule="exact"/>
        <w:rPr>
          <w:rFonts w:ascii="Arial" w:cs="Arial" w:eastAsia="Arial" w:hAnsi="Arial"/>
          <w:sz w:val="18"/>
          <w:szCs w:val="18"/>
          <w:color w:val="auto"/>
        </w:rPr>
      </w:pPr>
    </w:p>
    <w:p>
      <w:pPr>
        <w:ind w:left="1300" w:right="180" w:hanging="202"/>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impairing our ability to obtain additional financing in the future for working capital, capital expenditures, acquisitions, general corporate purposes or other purposes;</w:t>
      </w:r>
    </w:p>
    <w:p>
      <w:pPr>
        <w:spacing w:after="0" w:line="62" w:lineRule="exact"/>
        <w:rPr>
          <w:rFonts w:ascii="Arial" w:cs="Arial" w:eastAsia="Arial" w:hAnsi="Arial"/>
          <w:sz w:val="18"/>
          <w:szCs w:val="18"/>
          <w:color w:val="auto"/>
        </w:rPr>
      </w:pPr>
    </w:p>
    <w:p>
      <w:pPr>
        <w:ind w:left="1300" w:right="300" w:hanging="202"/>
        <w:spacing w:after="0" w:line="342" w:lineRule="auto"/>
        <w:tabs>
          <w:tab w:leader="none" w:pos="130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requiring us to dedicate a substantial portion of our cash flow from operations to debt service payments, thereby reducing the availability of cash for working capital, capital expenditures, acquisitions, general corporate purposes or other purposes;</w:t>
      </w:r>
    </w:p>
    <w:p>
      <w:pPr>
        <w:spacing w:after="0" w:line="15" w:lineRule="exact"/>
        <w:rPr>
          <w:rFonts w:ascii="Arial" w:cs="Arial" w:eastAsia="Arial" w:hAnsi="Arial"/>
          <w:sz w:val="16"/>
          <w:szCs w:val="16"/>
          <w:color w:val="auto"/>
        </w:rPr>
      </w:pPr>
    </w:p>
    <w:p>
      <w:pPr>
        <w:ind w:left="1300" w:hanging="20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proportionately less debt; and</w:t>
      </w:r>
    </w:p>
    <w:p>
      <w:pPr>
        <w:spacing w:after="0" w:line="117" w:lineRule="exact"/>
        <w:rPr>
          <w:rFonts w:ascii="Arial" w:cs="Arial" w:eastAsia="Arial" w:hAnsi="Arial"/>
          <w:sz w:val="18"/>
          <w:szCs w:val="18"/>
          <w:color w:val="auto"/>
        </w:rPr>
      </w:pPr>
    </w:p>
    <w:p>
      <w:pPr>
        <w:ind w:left="1300" w:right="340" w:hanging="202"/>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making us vulnerable to increases in interest rates, as 28% of our total debt was at variable interest rates as of September 30, 2009.</w:t>
      </w:r>
    </w:p>
    <w:p>
      <w:pPr>
        <w:spacing w:after="0" w:line="76"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We are not prohibited under the indenture governing the notes from incurring additional indebtedness. Although our $2.4 billion revolving credit facility requires us to maintain specified ratios of total debt to consolidated EBITDA and consolidated EBIT to interest expense (each as defined in our revolving credit facility), as of September 30, 2009 and after giving effect to the offering of the notes, we have the ability to</w:t>
      </w:r>
    </w:p>
    <w:p>
      <w:pPr>
        <w:spacing w:after="0" w:line="37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300"/>
        <w:spacing w:after="0" w:line="342" w:lineRule="auto"/>
        <w:rPr>
          <w:sz w:val="20"/>
          <w:szCs w:val="20"/>
          <w:color w:val="auto"/>
        </w:rPr>
      </w:pPr>
      <w:r>
        <w:rPr>
          <w:rFonts w:ascii="Arial" w:cs="Arial" w:eastAsia="Arial" w:hAnsi="Arial"/>
          <w:sz w:val="16"/>
          <w:szCs w:val="16"/>
          <w:color w:val="auto"/>
        </w:rPr>
        <w:t>incur substantial additional indebtedness while remaining in compliance with these ratios. Our incurrence of significant additional indebtedness would exacerbate the negative consequences mentioned above, and could adversely affect our ability to repay the notes.</w:t>
      </w:r>
    </w:p>
    <w:p>
      <w:pPr>
        <w:spacing w:after="0" w:line="137"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Fraudulent transfer statutes may limit your rights under the guarantee of the notes.</w:t>
      </w:r>
    </w:p>
    <w:p>
      <w:pPr>
        <w:spacing w:after="0" w:line="131"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Our obligations under the notes will be guaranteed by our wholly owned subsidiary, WM Holdings. The guarantee may be subject to review under various laws for the protection of creditors. It is possible that the creditors of WM Holdings may challenge the guarantee as a fraudulent transfer under relevant federal and state laws. Under certain circumstances, including a finding that WM Holdings was insolvent at the time its guarantee was issued, a court could hold that the obligations of WM Holdings under the guarantee may be voided or are subordinate to other obligations of WM Holdings, or that the amount for which WM Holdings is liable under its guarantee of the notes may be limited. Different jurisdictions define “insolvency” differently, and we cannot assure you as to what standard a court would apply in order to determine whether WM Holdings was insolvent. If a court determined that WM Holdings was insolvent on the date the guarantee of the notes was issued, or that the guarantee constituted a fraudulent transfer on another ground, the claims of creditors of WM Holdings would effectively have priority with respect to WM Holdings’ assets and earnings over the claims of the holders of the notes.</w:t>
      </w:r>
    </w:p>
    <w:p>
      <w:pPr>
        <w:spacing w:after="0" w:line="191" w:lineRule="exact"/>
        <w:rPr>
          <w:sz w:val="20"/>
          <w:szCs w:val="20"/>
          <w:color w:val="auto"/>
        </w:rPr>
      </w:pPr>
    </w:p>
    <w:p>
      <w:pPr>
        <w:ind w:left="900" w:right="460"/>
        <w:spacing w:after="0" w:line="277" w:lineRule="auto"/>
        <w:rPr>
          <w:sz w:val="20"/>
          <w:szCs w:val="20"/>
          <w:color w:val="auto"/>
        </w:rPr>
      </w:pPr>
      <w:r>
        <w:rPr>
          <w:rFonts w:ascii="Arial" w:cs="Arial" w:eastAsia="Arial" w:hAnsi="Arial"/>
          <w:sz w:val="18"/>
          <w:szCs w:val="18"/>
          <w:b w:val="1"/>
          <w:bCs w:val="1"/>
          <w:i w:val="1"/>
          <w:iCs w:val="1"/>
          <w:color w:val="auto"/>
        </w:rPr>
        <w:t>We may not have sufficient funds to purchase the notes upon a change of control triggering event and this covenant provides limited protection to investors.</w:t>
      </w:r>
    </w:p>
    <w:p>
      <w:pPr>
        <w:spacing w:after="0" w:line="76"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Holders of the notes may require us to purchase their notes upon a “change of control triggering event” as defined under “Description of Notes — Change of Control Offer.” We cannot assure you that we will have sufficient financial resources, or will be able to arrange sufficient financing, to pay the purchase price of the notes, particularly if a change of control event triggers a similar repurchase requirement for, or results in the acceleration of, our other then existing debt.</w:t>
      </w:r>
    </w:p>
    <w:p>
      <w:pPr>
        <w:spacing w:after="0" w:line="92" w:lineRule="exact"/>
        <w:rPr>
          <w:sz w:val="20"/>
          <w:szCs w:val="20"/>
          <w:color w:val="auto"/>
        </w:rPr>
      </w:pPr>
    </w:p>
    <w:p>
      <w:pPr>
        <w:ind w:left="700" w:right="100" w:firstLine="397"/>
        <w:spacing w:after="0" w:line="297" w:lineRule="auto"/>
        <w:rPr>
          <w:sz w:val="20"/>
          <w:szCs w:val="20"/>
          <w:color w:val="auto"/>
        </w:rPr>
      </w:pPr>
      <w:r>
        <w:rPr>
          <w:rFonts w:ascii="Arial" w:cs="Arial" w:eastAsia="Arial" w:hAnsi="Arial"/>
          <w:sz w:val="16"/>
          <w:szCs w:val="16"/>
          <w:color w:val="auto"/>
        </w:rPr>
        <w:t>The change of control offer covenant is limited to the transactions specified in “Description of Notes — Change of Control Offer.” We have no present intention to engage in a transaction involving a change of control triggering event, although it is possible that we could decide to do so in the future. We could, in the future, enter into certain transactions, including acquisitions, refinancings or other recapitalizations, that would not constitute a change of control triggering event under the notes, but that could increase the amount of indebtedness outstanding at such time or otherwise materially adversely affect our capital structure or credit ratings.</w:t>
      </w:r>
    </w:p>
    <w:p>
      <w:pPr>
        <w:spacing w:after="0" w:line="17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You may not be able to sell the notes.</w:t>
      </w:r>
    </w:p>
    <w:p>
      <w:pPr>
        <w:spacing w:after="0" w:line="131"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The notes will be a new issue of securities. There is no existing active trading market for the notes, and a market may never develop. We do not currently intend to apply for listing of the notes on any securities exchange or quotation of the notes on any dealer quotation system. If a market does not develop, you may be unable to resell the notes for a long time, if at all. If the notes are traded after their initial issuance, they may trade at a discount from their respective initial offering prices. Factors that could cause the notes to trade at a discount are:</w:t>
      </w:r>
    </w:p>
    <w:p>
      <w:pPr>
        <w:spacing w:after="0" w:line="94" w:lineRule="exact"/>
        <w:rPr>
          <w:sz w:val="20"/>
          <w:szCs w:val="20"/>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then prevailing interest rates;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decline in our credit worthiness based on our business, operating results or financial condition;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weakness in the markets for similar securities;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declining general economic conditions.</w:t>
      </w:r>
    </w:p>
    <w:p>
      <w:pPr>
        <w:spacing w:after="0" w:line="200" w:lineRule="exact"/>
        <w:rPr>
          <w:sz w:val="20"/>
          <w:szCs w:val="20"/>
          <w:color w:val="auto"/>
        </w:rPr>
      </w:pPr>
    </w:p>
    <w:p>
      <w:pPr>
        <w:spacing w:after="0" w:line="21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Risks Related to Our Business</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General economic conditions can adversely affect our revenues and our operating margins.</w:t>
      </w:r>
    </w:p>
    <w:p>
      <w:pPr>
        <w:spacing w:after="0" w:line="131" w:lineRule="exact"/>
        <w:rPr>
          <w:sz w:val="20"/>
          <w:szCs w:val="20"/>
          <w:color w:val="auto"/>
        </w:rPr>
      </w:pPr>
    </w:p>
    <w:p>
      <w:pPr>
        <w:ind w:left="700" w:right="120" w:firstLine="397"/>
        <w:spacing w:after="0" w:line="289" w:lineRule="auto"/>
        <w:rPr>
          <w:sz w:val="20"/>
          <w:szCs w:val="20"/>
          <w:color w:val="auto"/>
        </w:rPr>
      </w:pPr>
      <w:r>
        <w:rPr>
          <w:rFonts w:ascii="Arial" w:cs="Arial" w:eastAsia="Arial" w:hAnsi="Arial"/>
          <w:sz w:val="16"/>
          <w:szCs w:val="16"/>
          <w:color w:val="auto"/>
        </w:rPr>
        <w:t>Our business is affected by changes in national and general economic factors that are outside of our control, including consumer confidence, interest rates and access to capital markets. Although our services are of an essential nature, a weak economy generally results in decreases in volumes of waste generated, which decreases our revenues. Additionally, consumer uncertainty and the loss of consumer confidence may limit the number or amount of services requested by customers and our ability to increase customers’ pricing. During weak economic conditions we may also be adversely impacted by customers’ inability to pay us in a timely manner, if at all, due to their financial difficulties, which could include bankruptcies. Economic conditions over the last twelve months have negatively affected business and consumer spending generally. If our customers do not have access to capital, we do not expect that our volumes will improve or that we will increase new business. Additionally, if we are unable to access credit on favorable terms, our growth, development and capital spending plans may be adversely affected.</w:t>
      </w:r>
    </w:p>
    <w:p>
      <w:pPr>
        <w:spacing w:after="0" w:line="180" w:lineRule="exact"/>
        <w:rPr>
          <w:sz w:val="20"/>
          <w:szCs w:val="20"/>
          <w:color w:val="auto"/>
        </w:rPr>
      </w:pPr>
    </w:p>
    <w:p>
      <w:pPr>
        <w:ind w:left="900" w:right="640"/>
        <w:spacing w:after="0" w:line="277" w:lineRule="auto"/>
        <w:rPr>
          <w:sz w:val="20"/>
          <w:szCs w:val="20"/>
          <w:color w:val="auto"/>
        </w:rPr>
      </w:pPr>
      <w:r>
        <w:rPr>
          <w:rFonts w:ascii="Arial" w:cs="Arial" w:eastAsia="Arial" w:hAnsi="Arial"/>
          <w:sz w:val="18"/>
          <w:szCs w:val="18"/>
          <w:b w:val="1"/>
          <w:bCs w:val="1"/>
          <w:i w:val="1"/>
          <w:iCs w:val="1"/>
          <w:color w:val="auto"/>
        </w:rPr>
        <w:t>The waste industry is highly competitive, and if we cannot successfully compete in the marketplace, our business, financial condition and operating results may be materially adversely affected.</w:t>
      </w:r>
    </w:p>
    <w:p>
      <w:pPr>
        <w:spacing w:after="0" w:line="76"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We encounter intense competition from governmental, quasi-governmental and private sources in all aspects of our operations. In North America, the industry consists of two national waste management companies, regional companies and local companies of varying sizes and financial resources. We compete with these companies as well as with counties and municipalities that maintain their own waste collection and disposal operations. These counties and municipalities may have financial competitive advantages because tax revenues are available to them and tax-exempt financing is more readily available to them. Also, such governmental units may attempt to impose flow control or other restrictions that would give them a competitive advantage.</w:t>
      </w:r>
    </w:p>
    <w:p>
      <w:pPr>
        <w:spacing w:after="0" w:line="84"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In addition, competitors may reduce their prices to expand sales volume or to win competitively bid contracts. When this happens, we may roll-back prices or offer lower pricing to attract or retain our customers, resulting in a negative impact to our revenue growth from yield on base business.</w:t>
      </w:r>
    </w:p>
    <w:p>
      <w:pPr>
        <w:spacing w:after="0" w:line="195" w:lineRule="exact"/>
        <w:rPr>
          <w:sz w:val="20"/>
          <w:szCs w:val="20"/>
          <w:color w:val="auto"/>
        </w:rPr>
      </w:pPr>
    </w:p>
    <w:p>
      <w:pPr>
        <w:ind w:left="900" w:right="380"/>
        <w:spacing w:after="0" w:line="277" w:lineRule="auto"/>
        <w:rPr>
          <w:sz w:val="20"/>
          <w:szCs w:val="20"/>
          <w:color w:val="auto"/>
        </w:rPr>
      </w:pPr>
      <w:r>
        <w:rPr>
          <w:rFonts w:ascii="Arial" w:cs="Arial" w:eastAsia="Arial" w:hAnsi="Arial"/>
          <w:sz w:val="18"/>
          <w:szCs w:val="18"/>
          <w:b w:val="1"/>
          <w:bCs w:val="1"/>
          <w:i w:val="1"/>
          <w:iCs w:val="1"/>
          <w:color w:val="auto"/>
        </w:rPr>
        <w:t>If we do not successfully manage our costs, or do not successfully implement our plans and strategies to improve margins, our income from operations could be lower than expected.</w:t>
      </w:r>
    </w:p>
    <w:p>
      <w:pPr>
        <w:spacing w:after="0" w:line="76" w:lineRule="exact"/>
        <w:rPr>
          <w:sz w:val="20"/>
          <w:szCs w:val="20"/>
          <w:color w:val="auto"/>
        </w:rPr>
      </w:pPr>
    </w:p>
    <w:p>
      <w:pPr>
        <w:ind w:left="700" w:right="20" w:firstLine="397"/>
        <w:spacing w:after="0" w:line="271" w:lineRule="auto"/>
        <w:rPr>
          <w:sz w:val="20"/>
          <w:szCs w:val="20"/>
          <w:color w:val="auto"/>
        </w:rPr>
      </w:pPr>
      <w:r>
        <w:rPr>
          <w:rFonts w:ascii="Arial" w:cs="Arial" w:eastAsia="Arial" w:hAnsi="Arial"/>
          <w:sz w:val="17"/>
          <w:szCs w:val="17"/>
          <w:color w:val="auto"/>
        </w:rPr>
        <w:t>In recent years, we have implemented several profit improvement initiatives aimed at lowering our costs and enhancing our revenues. We have implemented price increases and environmental fees, both of which have increased our internal revenue growth, and we have continued our fuel surcharge program to offset fuel costs. The loss of volumes as a result of price increases may negatively affect our cash flows or results of operations. We continue to seek to divest under-performing and non-strategic assets if we cannot improve their profitability. We may not be able to successfully negotiate the divestiture of under-performing and non-strategic operations, which could result in asset impairments or the continued operation of low-margin businesses. If we are not able to fully or successfully implement our plans and strategies for any reason, many of which are out of our control, we may not see the expected improvements in our income from operations or our operating margins.</w:t>
      </w:r>
    </w:p>
    <w:p>
      <w:pPr>
        <w:spacing w:after="0" w:line="192" w:lineRule="exact"/>
        <w:rPr>
          <w:sz w:val="20"/>
          <w:szCs w:val="20"/>
          <w:color w:val="auto"/>
        </w:rPr>
      </w:pPr>
    </w:p>
    <w:p>
      <w:pPr>
        <w:ind w:left="900" w:right="200"/>
        <w:spacing w:after="0" w:line="277" w:lineRule="auto"/>
        <w:rPr>
          <w:sz w:val="20"/>
          <w:szCs w:val="20"/>
          <w:color w:val="auto"/>
        </w:rPr>
      </w:pPr>
      <w:r>
        <w:rPr>
          <w:rFonts w:ascii="Arial" w:cs="Arial" w:eastAsia="Arial" w:hAnsi="Arial"/>
          <w:sz w:val="18"/>
          <w:szCs w:val="18"/>
          <w:b w:val="1"/>
          <w:bCs w:val="1"/>
          <w:i w:val="1"/>
          <w:iCs w:val="1"/>
          <w:color w:val="auto"/>
        </w:rPr>
        <w:t>The seasonal nature of our business causes our quarterly results to fluctuate, and prior performance is not necessarily indicative of our future results.</w:t>
      </w:r>
    </w:p>
    <w:p>
      <w:pPr>
        <w:spacing w:after="0" w:line="76" w:lineRule="exact"/>
        <w:rPr>
          <w:sz w:val="20"/>
          <w:szCs w:val="20"/>
          <w:color w:val="auto"/>
        </w:rPr>
      </w:pPr>
    </w:p>
    <w:p>
      <w:pPr>
        <w:ind w:left="700" w:right="140" w:firstLine="397"/>
        <w:spacing w:after="0" w:line="273" w:lineRule="auto"/>
        <w:rPr>
          <w:sz w:val="20"/>
          <w:szCs w:val="20"/>
          <w:color w:val="auto"/>
        </w:rPr>
      </w:pPr>
      <w:r>
        <w:rPr>
          <w:rFonts w:ascii="Arial" w:cs="Arial" w:eastAsia="Arial" w:hAnsi="Arial"/>
          <w:sz w:val="17"/>
          <w:szCs w:val="17"/>
          <w:color w:val="auto"/>
        </w:rPr>
        <w:t>Our operating revenues tend to be somewhat higher in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Additionally, certain destructive weather conditions that tend to occur during the second half of the year, such as the hurricanes generally experienced by our Southern group, actually increase our revenues in the areas affected. However, for several reasons, including significant start-up costs, such revenue often generates earnings at comparatively lower</w:t>
      </w:r>
    </w:p>
    <w:p>
      <w:pPr>
        <w:spacing w:after="0" w:line="36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40"/>
        <w:spacing w:after="0" w:line="255" w:lineRule="auto"/>
        <w:rPr>
          <w:sz w:val="20"/>
          <w:szCs w:val="20"/>
          <w:color w:val="auto"/>
        </w:rPr>
      </w:pPr>
      <w:r>
        <w:rPr>
          <w:rFonts w:ascii="Arial" w:cs="Arial" w:eastAsia="Arial" w:hAnsi="Arial"/>
          <w:sz w:val="18"/>
          <w:szCs w:val="18"/>
          <w:color w:val="auto"/>
        </w:rPr>
        <w:t>margins. Certain weather conditions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 to-energy facilities. For these and other reasons, operating results in any interim period are not necessarily indicative of operating results for an entire year, and operating results for any historical period are not necessarily indicative of operating results for a future period.</w:t>
      </w:r>
    </w:p>
    <w:p>
      <w:pPr>
        <w:spacing w:after="0" w:line="207" w:lineRule="exact"/>
        <w:rPr>
          <w:sz w:val="20"/>
          <w:szCs w:val="20"/>
          <w:color w:val="auto"/>
        </w:rPr>
      </w:pPr>
    </w:p>
    <w:p>
      <w:pPr>
        <w:ind w:left="900" w:right="60"/>
        <w:spacing w:after="0" w:line="277" w:lineRule="auto"/>
        <w:rPr>
          <w:sz w:val="20"/>
          <w:szCs w:val="20"/>
          <w:color w:val="auto"/>
        </w:rPr>
      </w:pPr>
      <w:r>
        <w:rPr>
          <w:rFonts w:ascii="Arial" w:cs="Arial" w:eastAsia="Arial" w:hAnsi="Arial"/>
          <w:sz w:val="18"/>
          <w:szCs w:val="18"/>
          <w:b w:val="1"/>
          <w:bCs w:val="1"/>
          <w:i w:val="1"/>
          <w:iCs w:val="1"/>
          <w:color w:val="auto"/>
        </w:rPr>
        <w:t>We cannot predict with certainty the extent of future costs under environmental, health and safety laws, and cannot guarantee that they will not be material.</w:t>
      </w:r>
    </w:p>
    <w:p>
      <w:pPr>
        <w:spacing w:after="0" w:line="76" w:lineRule="exact"/>
        <w:rPr>
          <w:sz w:val="20"/>
          <w:szCs w:val="20"/>
          <w:color w:val="auto"/>
        </w:rPr>
      </w:pPr>
    </w:p>
    <w:p>
      <w:pPr>
        <w:ind w:left="700" w:right="140" w:firstLine="397"/>
        <w:spacing w:after="0" w:line="293" w:lineRule="auto"/>
        <w:rPr>
          <w:sz w:val="20"/>
          <w:szCs w:val="20"/>
          <w:color w:val="auto"/>
        </w:rPr>
      </w:pPr>
      <w:r>
        <w:rPr>
          <w:rFonts w:ascii="Arial" w:cs="Arial" w:eastAsia="Arial" w:hAnsi="Arial"/>
          <w:sz w:val="16"/>
          <w:szCs w:val="16"/>
          <w:color w:val="auto"/>
        </w:rPr>
        <w:t>We could be liable if our operations cause environmental damage to our properties or to the property of other landowners, particularly as a result of the contamination of air, drinking water or soil. Under current law, we could even be held liable for damage caused by conditions that existed before we acquired the assets or operations involved. Also, we could be liable if we arrange for the transportation, disposal or treatment of hazardous substances that cause environmental contamination, or if a predecessor owner made such arrangements and under applicable law we are treated as a successor to the prior owner. Any substantial liability for environmental damage could have a material adverse effect on our financial condition, results of operations and cash flows.</w:t>
      </w:r>
    </w:p>
    <w:p>
      <w:pPr>
        <w:spacing w:after="0" w:line="70" w:lineRule="exact"/>
        <w:rPr>
          <w:sz w:val="20"/>
          <w:szCs w:val="20"/>
          <w:color w:val="auto"/>
        </w:rPr>
      </w:pPr>
    </w:p>
    <w:p>
      <w:pPr>
        <w:ind w:left="700" w:right="640" w:firstLine="397"/>
        <w:spacing w:after="0" w:line="342" w:lineRule="auto"/>
        <w:rPr>
          <w:sz w:val="20"/>
          <w:szCs w:val="20"/>
          <w:color w:val="auto"/>
        </w:rPr>
      </w:pPr>
      <w:r>
        <w:rPr>
          <w:rFonts w:ascii="Arial" w:cs="Arial" w:eastAsia="Arial" w:hAnsi="Arial"/>
          <w:sz w:val="16"/>
          <w:szCs w:val="16"/>
          <w:color w:val="auto"/>
        </w:rPr>
        <w:t>In the ordinary course of our business, we have in the past, and may in the future, become involved in a variety of legal and administrative proceedings relating to land use and environmental laws and regulations. These include proceedings in which:</w:t>
      </w:r>
    </w:p>
    <w:p>
      <w:pPr>
        <w:spacing w:after="0" w:line="29" w:lineRule="exact"/>
        <w:rPr>
          <w:sz w:val="20"/>
          <w:szCs w:val="20"/>
          <w:color w:val="auto"/>
        </w:rPr>
      </w:pPr>
    </w:p>
    <w:p>
      <w:pPr>
        <w:ind w:left="1300" w:right="540" w:hanging="202"/>
        <w:spacing w:after="0" w:line="308" w:lineRule="auto"/>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agencies of federal, state, local or foreign governments seek to impose liability on us under applicable statutes, sometimes involving civil or criminal penalties for violations, or to revoke or deny renewal of a permit we need; and</w:t>
      </w:r>
    </w:p>
    <w:p>
      <w:pPr>
        <w:spacing w:after="0" w:line="38" w:lineRule="exact"/>
        <w:rPr>
          <w:rFonts w:ascii="Arial" w:cs="Arial" w:eastAsia="Arial" w:hAnsi="Arial"/>
          <w:sz w:val="17"/>
          <w:szCs w:val="17"/>
          <w:color w:val="auto"/>
        </w:rPr>
      </w:pPr>
    </w:p>
    <w:p>
      <w:pPr>
        <w:ind w:left="1300" w:hanging="202"/>
        <w:spacing w:after="0" w:line="264"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local communities and citizen groups, adjacent landowners or governmental agencies oppose the issuance of a permit or approval we need, allege violations of the permits under which we operate or laws or regulations to which we are subject, or seek to impose liability on us for environmental damage.</w:t>
      </w:r>
    </w:p>
    <w:p>
      <w:pPr>
        <w:spacing w:after="0" w:line="87" w:lineRule="exact"/>
        <w:rPr>
          <w:sz w:val="20"/>
          <w:szCs w:val="20"/>
          <w:color w:val="auto"/>
        </w:rPr>
      </w:pPr>
    </w:p>
    <w:p>
      <w:pPr>
        <w:jc w:val="both"/>
        <w:ind w:left="700" w:right="180"/>
        <w:spacing w:after="0" w:line="264" w:lineRule="auto"/>
        <w:rPr>
          <w:sz w:val="20"/>
          <w:szCs w:val="20"/>
          <w:color w:val="auto"/>
        </w:rPr>
      </w:pPr>
      <w:r>
        <w:rPr>
          <w:rFonts w:ascii="Arial" w:cs="Arial" w:eastAsia="Arial" w:hAnsi="Arial"/>
          <w:sz w:val="18"/>
          <w:szCs w:val="18"/>
          <w:color w:val="auto"/>
        </w:rPr>
        <w:t>We generally seek to work with the authorities or other persons involved in these proceedings to resolve any issues raised. If we are not successful, the adverse outcome of one or more of these proceedings could result in, among other things, material increases in our costs or liabilities as well as material charges for asset impairments.</w:t>
      </w:r>
    </w:p>
    <w:p>
      <w:pPr>
        <w:spacing w:after="0" w:line="195" w:lineRule="exact"/>
        <w:rPr>
          <w:sz w:val="20"/>
          <w:szCs w:val="20"/>
          <w:color w:val="auto"/>
        </w:rPr>
      </w:pPr>
    </w:p>
    <w:p>
      <w:pPr>
        <w:ind w:left="900" w:right="260"/>
        <w:spacing w:after="0" w:line="277" w:lineRule="auto"/>
        <w:rPr>
          <w:sz w:val="20"/>
          <w:szCs w:val="20"/>
          <w:color w:val="auto"/>
        </w:rPr>
      </w:pPr>
      <w:r>
        <w:rPr>
          <w:rFonts w:ascii="Arial" w:cs="Arial" w:eastAsia="Arial" w:hAnsi="Arial"/>
          <w:sz w:val="18"/>
          <w:szCs w:val="18"/>
          <w:b w:val="1"/>
          <w:bCs w:val="1"/>
          <w:i w:val="1"/>
          <w:iCs w:val="1"/>
          <w:color w:val="auto"/>
        </w:rPr>
        <w:t>The waste industry is subject to extensive government regulation, and existing or future regulations may restrict our operations, increase our costs of operations or require us to make additional capital expenditures.</w:t>
      </w:r>
    </w:p>
    <w:p>
      <w:pPr>
        <w:spacing w:after="0" w:line="76" w:lineRule="exact"/>
        <w:rPr>
          <w:sz w:val="20"/>
          <w:szCs w:val="20"/>
          <w:color w:val="auto"/>
        </w:rPr>
      </w:pPr>
    </w:p>
    <w:p>
      <w:pPr>
        <w:ind w:left="700" w:right="60" w:firstLine="397"/>
        <w:spacing w:after="0" w:line="279" w:lineRule="auto"/>
        <w:rPr>
          <w:sz w:val="20"/>
          <w:szCs w:val="20"/>
          <w:color w:val="auto"/>
        </w:rPr>
      </w:pPr>
      <w:r>
        <w:rPr>
          <w:rFonts w:ascii="Arial" w:cs="Arial" w:eastAsia="Arial" w:hAnsi="Arial"/>
          <w:sz w:val="17"/>
          <w:szCs w:val="17"/>
          <w:color w:val="auto"/>
        </w:rPr>
        <w:t>Stringent government regulations at the federal, state, provincial, and local level in the United States and Canada have a substantial impact on our business. A large number of complex laws, rules, orders and interpretations govern environmental protection, health, safety, land use, zoning, transportation and related matters. Among other things, they may restrict our operations and adversely affect our financial condition, results of operations and cash flows by imposing conditions such as:</w:t>
      </w:r>
    </w:p>
    <w:p>
      <w:pPr>
        <w:spacing w:after="0" w:line="77" w:lineRule="exact"/>
        <w:rPr>
          <w:sz w:val="20"/>
          <w:szCs w:val="20"/>
          <w:color w:val="auto"/>
        </w:rPr>
      </w:pPr>
    </w:p>
    <w:p>
      <w:pPr>
        <w:ind w:left="1300" w:hanging="202"/>
        <w:spacing w:after="0"/>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limitations on siting and constructing new waste disposal, transfer or processing facilities or expanding existing facilities;</w:t>
      </w:r>
    </w:p>
    <w:p>
      <w:pPr>
        <w:spacing w:after="0" w:line="128" w:lineRule="exact"/>
        <w:rPr>
          <w:rFonts w:ascii="Arial" w:cs="Arial" w:eastAsia="Arial" w:hAnsi="Arial"/>
          <w:sz w:val="17"/>
          <w:szCs w:val="17"/>
          <w:color w:val="auto"/>
        </w:rPr>
      </w:pPr>
    </w:p>
    <w:p>
      <w:pPr>
        <w:ind w:left="1300" w:hanging="20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limitations, regulations or levies on collection and disposal prices, rates and volumes;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limitations or bans on disposal or transportation of out-of-state waste or certain categories of waste;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mandates regarding the disposal of solid waste, including requirements to recycle rather than landfill certain waste streams.</w:t>
      </w:r>
    </w:p>
    <w:p>
      <w:pPr>
        <w:spacing w:after="0" w:line="200" w:lineRule="exact"/>
        <w:rPr>
          <w:sz w:val="20"/>
          <w:szCs w:val="20"/>
          <w:color w:val="auto"/>
        </w:rPr>
      </w:pPr>
    </w:p>
    <w:p>
      <w:pPr>
        <w:spacing w:after="0" w:line="22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Regulations affecting the siting, design and closure of landfills could require us to undertake investigatory or remedial activities, curtail operations or close landfills temporarily or permanently. Future changes in these regulations may require us to modify, supplement or replace equipment or facilities. The costs of complying with these regulations could be substantial.</w:t>
      </w:r>
    </w:p>
    <w:p>
      <w:pPr>
        <w:spacing w:after="0" w:line="87" w:lineRule="exact"/>
        <w:rPr>
          <w:sz w:val="20"/>
          <w:szCs w:val="20"/>
          <w:color w:val="auto"/>
        </w:rPr>
      </w:pPr>
    </w:p>
    <w:p>
      <w:pPr>
        <w:ind w:left="700" w:firstLine="397"/>
        <w:spacing w:after="0" w:line="286" w:lineRule="auto"/>
        <w:rPr>
          <w:sz w:val="20"/>
          <w:szCs w:val="20"/>
          <w:color w:val="auto"/>
        </w:rPr>
      </w:pPr>
      <w:r>
        <w:rPr>
          <w:rFonts w:ascii="Arial" w:cs="Arial" w:eastAsia="Arial" w:hAnsi="Arial"/>
          <w:sz w:val="17"/>
          <w:szCs w:val="17"/>
          <w:color w:val="auto"/>
        </w:rPr>
        <w:t>In order to develop, expand or operate a landfill or other waste management facility, we must have various facility permits and other governmental approvals, including those relating to zoning, environmental protection and land use. The permits and approvals are often difficult, time consuming and costly to obtain and could contain conditions that limit our operations.</w:t>
      </w:r>
    </w:p>
    <w:p>
      <w:pPr>
        <w:spacing w:after="0" w:line="179" w:lineRule="exact"/>
        <w:rPr>
          <w:sz w:val="20"/>
          <w:szCs w:val="20"/>
          <w:color w:val="auto"/>
        </w:rPr>
      </w:pPr>
    </w:p>
    <w:p>
      <w:pPr>
        <w:ind w:left="900" w:right="160"/>
        <w:spacing w:after="0" w:line="277" w:lineRule="auto"/>
        <w:rPr>
          <w:sz w:val="20"/>
          <w:szCs w:val="20"/>
          <w:color w:val="auto"/>
        </w:rPr>
      </w:pPr>
      <w:r>
        <w:rPr>
          <w:rFonts w:ascii="Arial" w:cs="Arial" w:eastAsia="Arial" w:hAnsi="Arial"/>
          <w:sz w:val="18"/>
          <w:szCs w:val="18"/>
          <w:b w:val="1"/>
          <w:bCs w:val="1"/>
          <w:i w:val="1"/>
          <w:iCs w:val="1"/>
          <w:color w:val="auto"/>
        </w:rPr>
        <w:t>The adoption of climate change legislation or regulations restricting emissions of “greenhouse gases” could increase our costs to operate.</w:t>
      </w:r>
    </w:p>
    <w:p>
      <w:pPr>
        <w:spacing w:after="0" w:line="76" w:lineRule="exact"/>
        <w:rPr>
          <w:sz w:val="20"/>
          <w:szCs w:val="20"/>
          <w:color w:val="auto"/>
        </w:rPr>
      </w:pPr>
    </w:p>
    <w:p>
      <w:pPr>
        <w:ind w:left="700" w:right="120" w:firstLine="397"/>
        <w:spacing w:after="0" w:line="289" w:lineRule="auto"/>
        <w:rPr>
          <w:sz w:val="20"/>
          <w:szCs w:val="20"/>
          <w:color w:val="auto"/>
        </w:rPr>
      </w:pPr>
      <w:r>
        <w:rPr>
          <w:rFonts w:ascii="Arial" w:cs="Arial" w:eastAsia="Arial" w:hAnsi="Arial"/>
          <w:sz w:val="16"/>
          <w:szCs w:val="16"/>
          <w:color w:val="auto"/>
        </w:rPr>
        <w:t>Environmental advocacy groups and regulatory agencies in the United States have been focusing considerable attention on the emissions of carbon dioxide, methane and other “greenhouse gases” and their potential role in climate change. The adoption of laws and regulations to implement controls of greenhouse gases, including the imposition of fees or taxes, could adversely affect our collection and disposal operations. Congress is currently working on legislation to control and reduce emissions of greenhouse gases in the United States, which includes establishing cap-and-trade programs. Additionally, the EPA recently announced proposed regulations to control emissions of greenhouse gases from stationary sources, including municipal solid waste landfills, and several states have already begun taking actions to reduce future emissions of greenhouse gases. Depending on the form of legislation and regulations that are ultimately enacted, our operating expenses could increase and some of our operations could be less profitable, as we may be required to take any number of actions, including the purchase of emission allowances or installation of additional pollution control technology.</w:t>
      </w:r>
    </w:p>
    <w:p>
      <w:pPr>
        <w:spacing w:after="0" w:line="18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Significant shortages in fuel supply or increases in fuel prices will increase our operating expenses.</w:t>
      </w:r>
    </w:p>
    <w:p>
      <w:pPr>
        <w:spacing w:after="0" w:line="131" w:lineRule="exact"/>
        <w:rPr>
          <w:sz w:val="20"/>
          <w:szCs w:val="20"/>
          <w:color w:val="auto"/>
        </w:rPr>
      </w:pPr>
    </w:p>
    <w:p>
      <w:pPr>
        <w:ind w:left="700" w:right="20" w:firstLine="397"/>
        <w:spacing w:after="0" w:line="287" w:lineRule="auto"/>
        <w:rPr>
          <w:sz w:val="20"/>
          <w:szCs w:val="20"/>
          <w:color w:val="auto"/>
        </w:rPr>
      </w:pPr>
      <w:r>
        <w:rPr>
          <w:rFonts w:ascii="Arial" w:cs="Arial" w:eastAsia="Arial" w:hAnsi="Arial"/>
          <w:sz w:val="16"/>
          <w:szCs w:val="16"/>
          <w:color w:val="auto"/>
        </w:rPr>
        <w:t>The price and supply of fuel are unpredictable, and can fluctuate significantly based on international, political and economic circumstances, as well as other factors outside our control, such as actions by the Organization of the Petroleum Exporting Countries, or OPEC, and other oil and gas producers, regional production patterns, weather conditions and environmental concerns. We saw average quarterly diesel fuel prices increase by 50% in the third quarter of 2008 as compared to the third quarter of 2007 and decrease by 40% in the third quarter of 2009 as compared to the third quarter 2008. We need fuel to run our collection and transfer trucks and equipment used in our landfill operations. Supply shortages could substantially increase our operating expenses. Additionally, as fuel prices increase, our direct operating expenses increase and many of our vendors raise their prices as a means to offset their own rising costs. We have in place a fuel surcharge program, designed to offset increased fuel expenses; however, we may not be able to pass through all of our increased costs and some customers’ contracts prohibit any pass through of the increased costs. We may initiate other programs or means to guard against the rising costs of fuel, although there can be no assurances that we will be able to do so or that such programs will be successful. Regardless of any offsetting surcharge programs, the increased operating costs will decrease our operating margins.</w:t>
      </w:r>
    </w:p>
    <w:p>
      <w:pPr>
        <w:spacing w:after="0" w:line="186" w:lineRule="exact"/>
        <w:rPr>
          <w:sz w:val="20"/>
          <w:szCs w:val="20"/>
          <w:color w:val="auto"/>
        </w:rPr>
      </w:pPr>
    </w:p>
    <w:p>
      <w:pPr>
        <w:ind w:left="900" w:right="240"/>
        <w:spacing w:after="0" w:line="381" w:lineRule="auto"/>
        <w:rPr>
          <w:sz w:val="20"/>
          <w:szCs w:val="20"/>
          <w:color w:val="auto"/>
        </w:rPr>
      </w:pPr>
      <w:r>
        <w:rPr>
          <w:rFonts w:ascii="Arial" w:cs="Arial" w:eastAsia="Arial" w:hAnsi="Arial"/>
          <w:sz w:val="15"/>
          <w:szCs w:val="15"/>
          <w:b w:val="1"/>
          <w:bCs w:val="1"/>
          <w:i w:val="1"/>
          <w:iCs w:val="1"/>
          <w:color w:val="auto"/>
        </w:rPr>
        <w:t>We have substantial financial assurance and insurance requirements, and increases in the costs of obtaining adequate financial assurance, or the inadequacy of our insurance coverages, could negatively impact our liquidity and increase our liabilities.</w:t>
      </w:r>
    </w:p>
    <w:p>
      <w:pPr>
        <w:spacing w:after="0" w:line="6" w:lineRule="exact"/>
        <w:rPr>
          <w:sz w:val="20"/>
          <w:szCs w:val="20"/>
          <w:color w:val="auto"/>
        </w:rPr>
      </w:pPr>
    </w:p>
    <w:p>
      <w:pPr>
        <w:ind w:left="700" w:right="60" w:firstLine="397"/>
        <w:spacing w:after="0" w:line="272" w:lineRule="auto"/>
        <w:rPr>
          <w:sz w:val="20"/>
          <w:szCs w:val="20"/>
          <w:color w:val="auto"/>
        </w:rPr>
      </w:pPr>
      <w:r>
        <w:rPr>
          <w:rFonts w:ascii="Arial" w:cs="Arial" w:eastAsia="Arial" w:hAnsi="Arial"/>
          <w:sz w:val="17"/>
          <w:szCs w:val="17"/>
          <w:color w:val="auto"/>
        </w:rPr>
        <w:t>The amount of insurance we are required to maintain for environmental liability is governed by statutory requirements. We believe that the cost for such insurance is high relative to the coverage it would provide, and therefore, our coverages are generally maintained at the minimum statutorily required levels. We face the risk of incurring additional costs for environmental damage if our insurance coverage is ultimately inadequate to cover those damages. We also carry a broad range of insurance coverages that are customary for a company our size. We use these programs to mitigate risk of loss, thereby allowing us to manage our self-insurance exposure associated with claims. The inability of our insurers to meet their commitments in a timely manner and the effect of significant claims or litigation against insurance companies may subject us to additional risks.</w:t>
      </w:r>
    </w:p>
    <w:p>
      <w:pPr>
        <w:spacing w:after="0" w:line="36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80"/>
        <w:spacing w:after="0" w:line="277" w:lineRule="auto"/>
        <w:rPr>
          <w:sz w:val="20"/>
          <w:szCs w:val="20"/>
          <w:color w:val="auto"/>
        </w:rPr>
      </w:pPr>
      <w:r>
        <w:rPr>
          <w:rFonts w:ascii="Arial" w:cs="Arial" w:eastAsia="Arial" w:hAnsi="Arial"/>
          <w:sz w:val="18"/>
          <w:szCs w:val="18"/>
          <w:color w:val="auto"/>
        </w:rPr>
        <w:t>To the extent our insurers were unable to meet their obligations, or our own obligations for claims were more than we estimated, there could be a material adverse effect to our financial results.</w:t>
      </w:r>
    </w:p>
    <w:p>
      <w:pPr>
        <w:spacing w:after="0" w:line="76"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In addition, to fulfill our financial assurance obligations with respect to environmental closure and post-closure obligations, we generally obtain letters of credit or surety bonds, rely on insurance, including captive insurance, fund trust and escrow accounts or rely upon parent company financial guarantees. We currently have in place all financial assurance instruments necessary for our operations. We do not anticipate any unmanageable difficulty in obtaining financial assurance instruments in the future, although general economic factors may adversely affect the cost of our current financial assurance instruments. Additionally, in the event we are unable to obtain sufficient surety bonding, letters of credit or third-party insurance coverage at reasonable cost, or one or more states cease to view captive insurance as adequate coverage, we would need to rely on other forms of financial assurance. It is possible that we could be forced to deposit cash to collateralize our obligations. Other forms of financial assurance could be more expensive to obtain, and any requirements to use cash to support our obligations would negatively impact our liquidity and capital resources and could affect our ability to meet our obligations as they become due.</w:t>
      </w:r>
    </w:p>
    <w:p>
      <w:pPr>
        <w:spacing w:after="0" w:line="191"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We may record material charges against our earnings due to any number of events that could cause impairments to our assets.</w:t>
      </w:r>
    </w:p>
    <w:p>
      <w:pPr>
        <w:spacing w:after="0" w:line="154" w:lineRule="exact"/>
        <w:rPr>
          <w:sz w:val="20"/>
          <w:szCs w:val="20"/>
          <w:color w:val="auto"/>
        </w:rPr>
      </w:pPr>
    </w:p>
    <w:p>
      <w:pPr>
        <w:ind w:left="700" w:right="180" w:firstLine="397"/>
        <w:spacing w:after="0" w:line="254" w:lineRule="auto"/>
        <w:rPr>
          <w:sz w:val="20"/>
          <w:szCs w:val="20"/>
          <w:color w:val="auto"/>
        </w:rPr>
      </w:pPr>
      <w:r>
        <w:rPr>
          <w:rFonts w:ascii="Arial" w:cs="Arial" w:eastAsia="Arial" w:hAnsi="Arial"/>
          <w:sz w:val="18"/>
          <w:szCs w:val="18"/>
          <w:color w:val="auto"/>
        </w:rPr>
        <w:t>In accordance with generally accepted accounting principles, we capitalize certain expenditures and advances relating to disposal site development, expansion projects, acquisitions, software development costs and other projects. Events that could, in some circumstances, lead to an impairment include, but are not limited to, shutting down a facility or operation or abandoning a development project or the denial of an expansion permit. If we determine a development or expansion project is impaired, we will charge against earnings any unamortized capitalized expenditures and advances relating to such facility or project reduced by any portion of the capitalized costs that we estimate will be recoverable, through sale or otherwise. We also carry a significant amount of goodwill on our Consolidated Balance Sheet, which is required to be assessed for impairment annually, and more frequently in the case of certain triggering events.</w:t>
      </w:r>
    </w:p>
    <w:p>
      <w:pPr>
        <w:spacing w:after="0" w:line="98"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color w:val="auto"/>
        </w:rPr>
        <w:t>We may be required to incur charges against earnings if we determine that events such as those described cause impairments. Any such charges could have a material adverse effect on our results of operations.</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Our revenues will fluctuate based on changes in commodity prices.</w:t>
      </w:r>
    </w:p>
    <w:p>
      <w:pPr>
        <w:spacing w:after="0" w:line="131" w:lineRule="exact"/>
        <w:rPr>
          <w:sz w:val="20"/>
          <w:szCs w:val="20"/>
          <w:color w:val="auto"/>
        </w:rPr>
      </w:pPr>
    </w:p>
    <w:p>
      <w:pPr>
        <w:ind w:left="700" w:right="20" w:firstLine="397"/>
        <w:spacing w:after="0" w:line="270" w:lineRule="auto"/>
        <w:rPr>
          <w:sz w:val="20"/>
          <w:szCs w:val="20"/>
          <w:color w:val="auto"/>
        </w:rPr>
      </w:pPr>
      <w:r>
        <w:rPr>
          <w:rFonts w:ascii="Arial" w:cs="Arial" w:eastAsia="Arial" w:hAnsi="Arial"/>
          <w:sz w:val="17"/>
          <w:szCs w:val="17"/>
          <w:color w:val="auto"/>
        </w:rPr>
        <w:t>Our recycling operations process for sale certain recyclable materials, including fibers, aluminum and glass, all of which are subject to significant market price fluctuations. The majority of the recyclables that we process for sale are paper fibers, including old corrugated cardboard, known as OCC, and old newsprint, or ONP. The fluctuations in the market prices or demand for these commodities can affect our operating income and cash flows. In the fourth quarter of 2008, the monthly market prices for OCC and ONP fell by 79% and 72%, respectively, from their high points within the year. The decline in market prices for commodities resulted in a year-over-year decrease in revenue of $482 million for the nine months ended September 30, 2009. Additionally, our recycling operations offer rebates to suppliers. Therefore, even if we experience higher revenues based on increased market prices for commodities, the rebates we pay will also increase and in some circumstances, the rebates may have floors even as market prices decrease, which could eliminate any expected profit margins.</w:t>
      </w:r>
    </w:p>
    <w:p>
      <w:pPr>
        <w:spacing w:after="0" w:line="87"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Additionally, there may be significant price fluctuations in the price of methane gas, electricity and other energy related products that are marketed and sold by our landfill gas recovery, waste-to-energy and independent power production plant operations. The marketing and sales of energy related products by our landfill gas and waste-to-energy operations have historically been pursuant to long-term sales agreements and market volatility has not caused our quarterly results to fluctuate significantly. However, many of our waste-to-energy longer-term agreements have recently expired and our revenues have been adversely affected as the electricity prices we charge without the benefit of long-term agreements are tied to natural gas prices. For the nine months ended September 30, 2009, we experienced a $58 million decline in revenues as</w:t>
      </w:r>
    </w:p>
    <w:p>
      <w:pPr>
        <w:spacing w:after="0" w:line="36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compared to the prior year period due to fluctuations in rates charged under our electricity sales, due to lower natural gas prices.</w:t>
      </w:r>
    </w:p>
    <w:p>
      <w:pPr>
        <w:spacing w:after="0" w:line="239" w:lineRule="exact"/>
        <w:rPr>
          <w:sz w:val="20"/>
          <w:szCs w:val="20"/>
          <w:color w:val="auto"/>
        </w:rPr>
      </w:pPr>
    </w:p>
    <w:p>
      <w:pPr>
        <w:ind w:left="900" w:right="540"/>
        <w:spacing w:after="0" w:line="277" w:lineRule="auto"/>
        <w:rPr>
          <w:sz w:val="20"/>
          <w:szCs w:val="20"/>
          <w:color w:val="auto"/>
        </w:rPr>
      </w:pPr>
      <w:r>
        <w:rPr>
          <w:rFonts w:ascii="Arial" w:cs="Arial" w:eastAsia="Arial" w:hAnsi="Arial"/>
          <w:sz w:val="18"/>
          <w:szCs w:val="18"/>
          <w:b w:val="1"/>
          <w:bCs w:val="1"/>
          <w:i w:val="1"/>
          <w:iCs w:val="1"/>
          <w:color w:val="auto"/>
        </w:rPr>
        <w:t>The development and acceptance of alternatives to landfill disposal and waste-to-energy facilities could reduce our ability to operate at full capacity.</w:t>
      </w:r>
    </w:p>
    <w:p>
      <w:pPr>
        <w:spacing w:after="0" w:line="76"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Our customers are increasingly using alternatives to landfill and waste-to-energy disposal, such as recycling and composting. In addition, some state and local governments mandate recycling and waste reduction at the source and prohibit the disposal of certain types of waste, such as yard waste, at landfills or waste-to-energy facilities. Although such mandates are a useful tool to protect our environment, these developments reduce the volume of waste going to landfills and waste-to-energy facilities in certain areas, which may affect our ability to operate our landfills and waste-to-energy facilities at full capacity, as well as the prices that we can charge for landfill disposal and waste-to-energy services.</w:t>
      </w:r>
    </w:p>
    <w:p>
      <w:pPr>
        <w:spacing w:after="0" w:line="207" w:lineRule="exact"/>
        <w:rPr>
          <w:sz w:val="20"/>
          <w:szCs w:val="20"/>
          <w:color w:val="auto"/>
        </w:rPr>
      </w:pPr>
    </w:p>
    <w:p>
      <w:pPr>
        <w:jc w:val="center"/>
        <w:ind w:right="-619"/>
        <w:spacing w:after="0"/>
        <w:rPr>
          <w:sz w:val="20"/>
          <w:szCs w:val="20"/>
          <w:color w:val="auto"/>
        </w:rPr>
      </w:pPr>
      <w:r>
        <w:rPr>
          <w:rFonts w:ascii="Arial" w:cs="Arial" w:eastAsia="Arial" w:hAnsi="Arial"/>
          <w:sz w:val="16"/>
          <w:szCs w:val="16"/>
          <w:b w:val="1"/>
          <w:bCs w:val="1"/>
          <w:i w:val="1"/>
          <w:iCs w:val="1"/>
          <w:color w:val="auto"/>
        </w:rPr>
        <w:t>Our operating expenses could increase as a result of labor unions organizing or changes in regulations related to labor unions.</w:t>
      </w:r>
    </w:p>
    <w:p>
      <w:pPr>
        <w:spacing w:after="0" w:line="154" w:lineRule="exact"/>
        <w:rPr>
          <w:sz w:val="20"/>
          <w:szCs w:val="20"/>
          <w:color w:val="auto"/>
        </w:rPr>
      </w:pPr>
    </w:p>
    <w:p>
      <w:pPr>
        <w:ind w:left="700" w:right="20" w:firstLine="397"/>
        <w:spacing w:after="0" w:line="287" w:lineRule="auto"/>
        <w:rPr>
          <w:sz w:val="20"/>
          <w:szCs w:val="20"/>
          <w:color w:val="auto"/>
        </w:rPr>
      </w:pPr>
      <w:r>
        <w:rPr>
          <w:rFonts w:ascii="Arial" w:cs="Arial" w:eastAsia="Arial" w:hAnsi="Arial"/>
          <w:sz w:val="16"/>
          <w:szCs w:val="16"/>
          <w:color w:val="auto"/>
        </w:rPr>
        <w:t>Labor unions constantly make attempts to organize our employees, and these efforts will likely continue in the future. Certain groups of our employees have already chosen to be represented by unions, and we have negotiated collective bargaining agreements with some of the groups. Additional groups of employees may seek union representation in the future, and, if successful, the negotiation of collective bargaining agreements could divert management attention and result in increased operating expenses and lower net income. Considerable attention has been focused on proposed legislation that could amend the National Labor Relations Act that would make it easier for unions to become recognized as the bargaining representatives for employees. Depending on the form of legislation, if any, that is ultimately enacted, it is reasonably possible that our operating expenses would increase as a result of the provisions of such legislation. If we are unable to negotiate acceptable collective bargaining agreements, or future legislation requires us to submit the terms of employment to binding arbitration in the event an agreement can not be reached in a timely manner, our operating expenses could increase significantly as a result of work stoppages, including strikes, or unfavorable terms in such agreements that result from arbitration. Any of these matters could adversely affect our financial condition, results of operations and cash flows.</w:t>
      </w:r>
    </w:p>
    <w:p>
      <w:pPr>
        <w:spacing w:after="0" w:line="186" w:lineRule="exact"/>
        <w:rPr>
          <w:sz w:val="20"/>
          <w:szCs w:val="20"/>
          <w:color w:val="auto"/>
        </w:rPr>
      </w:pPr>
    </w:p>
    <w:p>
      <w:pPr>
        <w:ind w:left="900" w:right="460"/>
        <w:spacing w:after="0" w:line="277" w:lineRule="auto"/>
        <w:rPr>
          <w:sz w:val="20"/>
          <w:szCs w:val="20"/>
          <w:color w:val="auto"/>
        </w:rPr>
      </w:pPr>
      <w:r>
        <w:rPr>
          <w:rFonts w:ascii="Arial" w:cs="Arial" w:eastAsia="Arial" w:hAnsi="Arial"/>
          <w:sz w:val="18"/>
          <w:szCs w:val="18"/>
          <w:b w:val="1"/>
          <w:bCs w:val="1"/>
          <w:i w:val="1"/>
          <w:iCs w:val="1"/>
          <w:color w:val="auto"/>
        </w:rPr>
        <w:t>Currently pending or future litigation or governmental proceedings could result in material adverse consequences, including judgments or settlements.</w:t>
      </w:r>
    </w:p>
    <w:p>
      <w:pPr>
        <w:spacing w:after="0" w:line="76"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We are involved in civil litigation in the ordinary course of our business and from time-to-time are involved in governmental proceedings relating to the conduct of our business. The timing of the final resolutions to these types of matters is often uncertain. Additionally, the possible outcomes or resolutions to these matters could include adverse judgments or settlements, either of which could require substantial payments, adversely affecting our liquidity.</w:t>
      </w:r>
    </w:p>
    <w:p>
      <w:pPr>
        <w:spacing w:after="0" w:line="200" w:lineRule="exact"/>
        <w:rPr>
          <w:sz w:val="20"/>
          <w:szCs w:val="20"/>
          <w:color w:val="auto"/>
        </w:rPr>
      </w:pPr>
    </w:p>
    <w:p>
      <w:pPr>
        <w:ind w:left="900" w:right="580"/>
        <w:spacing w:after="0" w:line="277" w:lineRule="auto"/>
        <w:rPr>
          <w:sz w:val="20"/>
          <w:szCs w:val="20"/>
          <w:color w:val="auto"/>
        </w:rPr>
      </w:pPr>
      <w:r>
        <w:rPr>
          <w:rFonts w:ascii="Arial" w:cs="Arial" w:eastAsia="Arial" w:hAnsi="Arial"/>
          <w:sz w:val="18"/>
          <w:szCs w:val="18"/>
          <w:b w:val="1"/>
          <w:bCs w:val="1"/>
          <w:i w:val="1"/>
          <w:iCs w:val="1"/>
          <w:color w:val="auto"/>
        </w:rPr>
        <w:t>We are increasingly dependent on technology in our operations and if our technology fails, our business could be adversely affected.</w:t>
      </w:r>
    </w:p>
    <w:p>
      <w:pPr>
        <w:spacing w:after="0" w:line="76" w:lineRule="exact"/>
        <w:rPr>
          <w:sz w:val="20"/>
          <w:szCs w:val="20"/>
          <w:color w:val="auto"/>
        </w:rPr>
      </w:pPr>
    </w:p>
    <w:p>
      <w:pPr>
        <w:ind w:left="700" w:right="180" w:firstLine="397"/>
        <w:spacing w:after="0" w:line="255" w:lineRule="auto"/>
        <w:rPr>
          <w:sz w:val="20"/>
          <w:szCs w:val="20"/>
          <w:color w:val="auto"/>
        </w:rPr>
      </w:pPr>
      <w:r>
        <w:rPr>
          <w:rFonts w:ascii="Arial" w:cs="Arial" w:eastAsia="Arial" w:hAnsi="Arial"/>
          <w:sz w:val="18"/>
          <w:szCs w:val="18"/>
          <w:color w:val="auto"/>
        </w:rPr>
        <w:t>We may experience problems with either the operation of our current information technology systems or the development and deployment of new information technology systems that could adversely affect, or even temporarily disrupt, all or a portion of our operations until resolved. We encountered problems with the revenue management application that we had been piloting throughout 2007, resulting in the termination of the pilot, which has impeded our ability to realize improved operating margins as a result of a new system. Inabilities and delays in implementing new systems can also affect our ability to realize projected or expected cost savings. Additionally, any systems failures could impede our ability to timely collect and report financial results in accordance with applicable laws and regulations.</w:t>
      </w:r>
    </w:p>
    <w:p>
      <w:pPr>
        <w:spacing w:after="0" w:line="37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00"/>
        <w:spacing w:after="0" w:line="277" w:lineRule="auto"/>
        <w:rPr>
          <w:sz w:val="20"/>
          <w:szCs w:val="20"/>
          <w:color w:val="auto"/>
        </w:rPr>
      </w:pPr>
      <w:r>
        <w:rPr>
          <w:rFonts w:ascii="Arial" w:cs="Arial" w:eastAsia="Arial" w:hAnsi="Arial"/>
          <w:sz w:val="18"/>
          <w:szCs w:val="18"/>
          <w:b w:val="1"/>
          <w:bCs w:val="1"/>
          <w:i w:val="1"/>
          <w:iCs w:val="1"/>
          <w:color w:val="auto"/>
        </w:rPr>
        <w:t>We may experience adverse impacts on our reported results of operations as a result of adopting new accounting standards or interpretations.</w:t>
      </w:r>
    </w:p>
    <w:p>
      <w:pPr>
        <w:spacing w:after="0" w:line="76" w:lineRule="exact"/>
        <w:rPr>
          <w:sz w:val="20"/>
          <w:szCs w:val="20"/>
          <w:color w:val="auto"/>
        </w:rPr>
      </w:pPr>
    </w:p>
    <w:p>
      <w:pPr>
        <w:ind w:left="700" w:right="40" w:firstLine="397"/>
        <w:spacing w:after="0" w:line="342" w:lineRule="auto"/>
        <w:rPr>
          <w:sz w:val="20"/>
          <w:szCs w:val="20"/>
          <w:color w:val="auto"/>
        </w:rPr>
      </w:pPr>
      <w:r>
        <w:rPr>
          <w:rFonts w:ascii="Arial" w:cs="Arial" w:eastAsia="Arial" w:hAnsi="Arial"/>
          <w:sz w:val="16"/>
          <w:szCs w:val="16"/>
          <w:color w:val="auto"/>
        </w:rPr>
        <w:t>Our implementation of and compliance with changes in accounting rules, including new accounting rules and interpretations, could adversely affect our reported operating results or cause unanticipated fluctuations in our reported operating results in future periods.</w:t>
      </w:r>
    </w:p>
    <w:p>
      <w:pPr>
        <w:spacing w:after="0" w:line="137"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Unforeseen circumstances could result in a need for additional capital.</w:t>
      </w:r>
    </w:p>
    <w:p>
      <w:pPr>
        <w:spacing w:after="0" w:line="131"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We currently expect to meet our anticipated cash needs for capital expenditures, scheduled debt repayments, acquisitions and other cash expenditures with our cash flows from operations and the proceeds from the offering of the notes. Recent economic conditions have reduced our cash flows from operations. If the impact on our cash flows from operations continues and is significant, we may need to reduce capital expenditures, acquisition activity, dividend declarations or share repurchases unless we are able to incur additional indebtedness to either pay for these activities or refinance our scheduled debt maturities. We may also use our revolving credit facility to meet our cash needs, to the extent available. As of September 30, 2009, we had $768 million of capacity under our revolving credit facility.</w:t>
      </w:r>
    </w:p>
    <w:p>
      <w:pPr>
        <w:spacing w:after="0" w:line="95" w:lineRule="exact"/>
        <w:rPr>
          <w:sz w:val="20"/>
          <w:szCs w:val="20"/>
          <w:color w:val="auto"/>
        </w:rPr>
      </w:pPr>
    </w:p>
    <w:p>
      <w:pPr>
        <w:ind w:left="700" w:right="140" w:firstLine="397"/>
        <w:spacing w:after="0" w:line="279" w:lineRule="auto"/>
        <w:rPr>
          <w:sz w:val="20"/>
          <w:szCs w:val="20"/>
          <w:color w:val="auto"/>
        </w:rPr>
      </w:pPr>
      <w:r>
        <w:rPr>
          <w:rFonts w:ascii="Arial" w:cs="Arial" w:eastAsia="Arial" w:hAnsi="Arial"/>
          <w:sz w:val="17"/>
          <w:szCs w:val="17"/>
          <w:color w:val="auto"/>
        </w:rPr>
        <w:t>In the event of a default under our credit facility, we could be required to immediately repay all outstanding borrowings and make cash deposits as collateral for all obligations the facility supports, which we may not be able to do. Additionally, any such default could cause a default under many of our other credit agreements and debt instruments. Without waivers from the lenders party to those agreements, any such default would have a material adverse effect on our ability to continue operations.</w:t>
      </w:r>
    </w:p>
    <w:p>
      <w:pPr>
        <w:spacing w:after="0" w:line="289"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USE OF PROCEEDS</w:t>
      </w:r>
    </w:p>
    <w:p>
      <w:pPr>
        <w:spacing w:after="0" w:line="135"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We expect the net proceeds from the offering of the notes to be $590.9 million, after deducting discounts and commissions to the underwriters and estimated expenses of the offering that we will pay. We intend to use a portion of the net proceeds to fund our purchase of a 40% equity investment in Shanghai Environment Group for approximately $140 million, which is subject to normal regulatory approval and is expected to be approved in early 2010. We are actively pursuing other acquisitions and investment opportunities in our waste-to-energy and solid waste businesses and expect to spend up to an additional $350 million over the next six months from the proceeds of this offering on such acquisitions and investments. All remaining proceeds will be used for general corporate purposes, including additions to working capital, capital expenditures and the funding of other potential acquisitions and investments in businesses. Pending application of the offering proceeds as described, we may temporarily invest the proceeds in short-term investments. To the extent that any of the acquisitions or investments described do not ultimately close, the related portion of the proceeds from the offering will be used for general corporate purposes, including additions to working capital, capital expenditures and the funding of other potential acquisitions and investments in businesses.</w:t>
      </w:r>
    </w:p>
    <w:p>
      <w:pPr>
        <w:spacing w:after="0" w:line="37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CAPITALIZATION</w:t>
      </w:r>
    </w:p>
    <w:p>
      <w:pPr>
        <w:spacing w:after="0" w:line="135" w:lineRule="exact"/>
        <w:rPr>
          <w:sz w:val="20"/>
          <w:szCs w:val="20"/>
          <w:color w:val="auto"/>
        </w:rPr>
      </w:pPr>
    </w:p>
    <w:p>
      <w:pPr>
        <w:jc w:val="both"/>
        <w:ind w:left="700" w:right="100" w:firstLine="397"/>
        <w:spacing w:after="0" w:line="286" w:lineRule="auto"/>
        <w:rPr>
          <w:sz w:val="20"/>
          <w:szCs w:val="20"/>
          <w:color w:val="auto"/>
        </w:rPr>
      </w:pPr>
      <w:r>
        <w:rPr>
          <w:rFonts w:ascii="Arial" w:cs="Arial" w:eastAsia="Arial" w:hAnsi="Arial"/>
          <w:sz w:val="17"/>
          <w:szCs w:val="17"/>
          <w:color w:val="auto"/>
        </w:rPr>
        <w:t>The following table sets forth our consolidated cash and cash equivalents and consolidated capitalization as of September 30, 2009 and as adjusted to give effect to the offering of the notes prior to the application of any portion of the net proceeds to fund the particular equity investment described under “Use of Proceeds” or any other uses described therein.</w:t>
      </w:r>
    </w:p>
    <w:p>
      <w:pPr>
        <w:spacing w:after="0" w:line="71" w:lineRule="exact"/>
        <w:rPr>
          <w:sz w:val="20"/>
          <w:szCs w:val="20"/>
          <w:color w:val="auto"/>
        </w:rPr>
      </w:pPr>
    </w:p>
    <w:p>
      <w:pPr>
        <w:ind w:left="700" w:right="840" w:firstLine="397"/>
        <w:spacing w:after="0" w:line="264" w:lineRule="auto"/>
        <w:rPr>
          <w:sz w:val="20"/>
          <w:szCs w:val="20"/>
          <w:color w:val="auto"/>
        </w:rPr>
      </w:pPr>
      <w:r>
        <w:rPr>
          <w:rFonts w:ascii="Arial" w:cs="Arial" w:eastAsia="Arial" w:hAnsi="Arial"/>
          <w:sz w:val="18"/>
          <w:szCs w:val="18"/>
          <w:color w:val="auto"/>
        </w:rPr>
        <w:t>It is important that you read the following information along with the consolidated financial statements and notes thereto incorporated by reference in this prospectus supplement and the accompanying prospectus. See “Where You Can Find More Information.”</w:t>
      </w:r>
    </w:p>
    <w:p>
      <w:pPr>
        <w:spacing w:after="0" w:line="92"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September 30, 2009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93"/>
              </w:rPr>
              <w:t>Actual</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As Adjusted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Equivalents(a)</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2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Debt:</w:t>
            </w: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gridSpan w:val="3"/>
            <w:vMerge w:val="continue"/>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facility(b)</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Canadian credit facility (weighted average interest rate of 2.0% at September 30, 2009)(c)</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notes and debentures —</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8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4"/>
              </w:rPr>
              <w:t>Maturing through 2032, interest rates ranging from 5.0% to 7.75% (weighted average interest rate of</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gridSpan w:val="2"/>
          </w:tcPr>
          <w:p>
            <w:pPr>
              <w:ind w:left="340"/>
              <w:spacing w:after="0"/>
              <w:rPr>
                <w:sz w:val="20"/>
                <w:szCs w:val="20"/>
                <w:color w:val="auto"/>
              </w:rPr>
            </w:pPr>
            <w:r>
              <w:rPr>
                <w:rFonts w:ascii="Arial" w:cs="Arial" w:eastAsia="Arial" w:hAnsi="Arial"/>
                <w:sz w:val="18"/>
                <w:szCs w:val="18"/>
                <w:color w:val="auto"/>
              </w:rPr>
              <w:t>6.9% at September 30, 2009)</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4,884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6.125% Senior Notes due 2039 offered hereby</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80" w:type="dxa"/>
            <w:vAlign w:val="bottom"/>
            <w:gridSpan w:val="2"/>
          </w:tcPr>
          <w:p>
            <w:pPr>
              <w:spacing w:after="0" w:line="201" w:lineRule="exact"/>
              <w:rPr>
                <w:sz w:val="20"/>
                <w:szCs w:val="20"/>
                <w:color w:val="auto"/>
              </w:rPr>
            </w:pPr>
            <w:r>
              <w:rPr>
                <w:rFonts w:ascii="Arial" w:cs="Arial" w:eastAsia="Arial" w:hAnsi="Arial"/>
                <w:sz w:val="18"/>
                <w:szCs w:val="18"/>
                <w:color w:val="auto"/>
                <w:w w:val="94"/>
              </w:rPr>
              <w:t>Tax-exempt bonds maturing through 2039, fixed and variable interest rates ranging from 0.2% to 7.4%</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gridSpan w:val="2"/>
          </w:tcPr>
          <w:p>
            <w:pPr>
              <w:ind w:left="160"/>
              <w:spacing w:after="0"/>
              <w:rPr>
                <w:sz w:val="20"/>
                <w:szCs w:val="20"/>
                <w:color w:val="auto"/>
              </w:rPr>
            </w:pPr>
            <w:r>
              <w:rPr>
                <w:rFonts w:ascii="Arial" w:cs="Arial" w:eastAsia="Arial" w:hAnsi="Arial"/>
                <w:sz w:val="18"/>
                <w:szCs w:val="18"/>
                <w:color w:val="auto"/>
              </w:rPr>
              <w:t>(weighted average interest rate of 3.6% at September 30, 2009)(d)</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2,649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Tax-exempt project bonds, principal payable in periodic installments, maturing through 2029, fixed and</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variable interest rates ranging from 0.3% to 9.3% (weighted average interest rate of 4.4% at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September 30, 2009)(e)</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Capital leases and other, maturing through 2050, interest rates up to 12%</w:t>
            </w: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Debt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8,246</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00" w:type="dxa"/>
            <w:vAlign w:val="bottom"/>
            <w:gridSpan w:val="3"/>
          </w:tcPr>
          <w:p>
            <w:pPr>
              <w:spacing w:after="0"/>
              <w:rPr>
                <w:sz w:val="20"/>
                <w:szCs w:val="20"/>
                <w:color w:val="auto"/>
              </w:rPr>
            </w:pPr>
            <w:r>
              <w:rPr>
                <w:rFonts w:ascii="Arial" w:cs="Arial" w:eastAsia="Arial" w:hAnsi="Arial"/>
                <w:sz w:val="18"/>
                <w:szCs w:val="18"/>
                <w:b w:val="1"/>
                <w:bCs w:val="1"/>
                <w:color w:val="auto"/>
              </w:rPr>
              <w:t>Waste Management, Inc. Stockholders’ Equity:</w:t>
            </w: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Common stock, $0.01 par value; 1,500,000,000 shares authorized; 630,282,461 shares issued</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16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4,534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Treasury stock at cost, 139,719,246 shares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(4,382)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gridSpan w:val="2"/>
          </w:tcPr>
          <w:p>
            <w:pPr>
              <w:ind w:left="160"/>
              <w:spacing w:after="0"/>
              <w:rPr>
                <w:sz w:val="20"/>
                <w:szCs w:val="20"/>
                <w:color w:val="auto"/>
              </w:rPr>
            </w:pPr>
            <w:r>
              <w:rPr>
                <w:rFonts w:ascii="Arial" w:cs="Arial" w:eastAsia="Arial" w:hAnsi="Arial"/>
                <w:sz w:val="18"/>
                <w:szCs w:val="18"/>
                <w:color w:val="auto"/>
              </w:rPr>
              <w:t>Total Waste Management, Inc. stockholders’ equity</w:t>
            </w: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6,216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gridSpan w:val="3"/>
          </w:tcPr>
          <w:p>
            <w:pPr>
              <w:spacing w:after="0"/>
              <w:rPr>
                <w:sz w:val="20"/>
                <w:szCs w:val="20"/>
                <w:color w:val="auto"/>
              </w:rPr>
            </w:pPr>
            <w:r>
              <w:rPr>
                <w:rFonts w:ascii="Arial" w:cs="Arial" w:eastAsia="Arial" w:hAnsi="Arial"/>
                <w:sz w:val="18"/>
                <w:szCs w:val="18"/>
                <w:b w:val="1"/>
                <w:bCs w:val="1"/>
                <w:color w:val="auto"/>
              </w:rPr>
              <w:t>Total equity</w:t>
            </w: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debt and equity</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14,767</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6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000" w:right="180" w:hanging="307"/>
        <w:spacing w:after="0" w:line="264"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Cash and Cash Equivalents, as adjusted, reflects an increase of the entire net proceeds from this offering, prior to the application of any portion of such proceeds to fund the particular equity investment described in “Use of Proceeds” or any other use described therein.</w:t>
      </w:r>
    </w:p>
    <w:p>
      <w:pPr>
        <w:spacing w:after="0" w:line="19" w:lineRule="exact"/>
        <w:rPr>
          <w:rFonts w:ascii="Arial" w:cs="Arial" w:eastAsia="Arial" w:hAnsi="Arial"/>
          <w:sz w:val="18"/>
          <w:szCs w:val="18"/>
          <w:color w:val="auto"/>
        </w:rPr>
      </w:pPr>
    </w:p>
    <w:p>
      <w:pPr>
        <w:ind w:left="1000" w:hanging="307"/>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party to a $2.4 billion revolving credit facility that matures on August 17, 2011.</w:t>
      </w:r>
    </w:p>
    <w:p>
      <w:pPr>
        <w:spacing w:after="0" w:line="200" w:lineRule="exact"/>
        <w:rPr>
          <w:sz w:val="20"/>
          <w:szCs w:val="20"/>
          <w:color w:val="auto"/>
        </w:rPr>
      </w:pPr>
    </w:p>
    <w:p>
      <w:pPr>
        <w:spacing w:after="0" w:line="20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right="540" w:hanging="307"/>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Waste Management of Canada Corporation, our wholly owned subsidiary, is party to a Cdn $340 million credit facility with a maturity of November 2012 that is guaranteed by Waste Management, Inc. and WM Holdings.</w:t>
      </w:r>
    </w:p>
    <w:p>
      <w:pPr>
        <w:spacing w:after="0" w:line="8" w:lineRule="exact"/>
        <w:rPr>
          <w:rFonts w:ascii="Arial" w:cs="Arial" w:eastAsia="Arial" w:hAnsi="Arial"/>
          <w:sz w:val="18"/>
          <w:szCs w:val="18"/>
          <w:color w:val="auto"/>
        </w:rPr>
      </w:pPr>
    </w:p>
    <w:p>
      <w:pPr>
        <w:ind w:left="1000" w:hanging="307"/>
        <w:spacing w:after="0" w:line="286" w:lineRule="auto"/>
        <w:tabs>
          <w:tab w:leader="none" w:pos="100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issue both fixed and floating rate tax-exempt bonds as a means of low-cost financing for capital expenditures. The proceeds from the issuances may only be used for the specific purpose for which the funds were raised, which is generally to finance expenditures for landfill construction and development, equipment, vehicles and facilities in support of our operations.</w:t>
      </w:r>
    </w:p>
    <w:p>
      <w:pPr>
        <w:spacing w:after="0" w:line="3" w:lineRule="exact"/>
        <w:rPr>
          <w:rFonts w:ascii="Arial" w:cs="Arial" w:eastAsia="Arial" w:hAnsi="Arial"/>
          <w:sz w:val="17"/>
          <w:szCs w:val="17"/>
          <w:color w:val="auto"/>
        </w:rPr>
      </w:pPr>
    </w:p>
    <w:p>
      <w:pPr>
        <w:ind w:left="1000" w:right="240" w:hanging="307"/>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Tax-exempt project bonds are used primarily by our Wheelabrator Group, which owns and operates waste-to-energy facilities and independent power production plants, to finance the development of the waste-to-energy facilities.</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DESCRIPTION OF NOTES</w:t>
      </w:r>
    </w:p>
    <w:p>
      <w:pPr>
        <w:spacing w:after="0" w:line="135"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The notes will be issued under and pursuant to an Indenture dated as of September 10, 1997, between us and The Bank of New York Mellon Trust Company, N.A. (the current successor to Texas Commerce Bank National Association), as Trustee. We will issue the notes pursuant to a resolution of our Board of Directors and accompanying officers’ certificate setting forth the specific terms applicable to the notes.</w:t>
      </w:r>
    </w:p>
    <w:p>
      <w:pPr>
        <w:spacing w:after="0" w:line="92" w:lineRule="exact"/>
        <w:rPr>
          <w:sz w:val="20"/>
          <w:szCs w:val="20"/>
          <w:color w:val="auto"/>
        </w:rPr>
      </w:pPr>
    </w:p>
    <w:p>
      <w:pPr>
        <w:ind w:left="700" w:firstLine="397"/>
        <w:spacing w:after="0" w:line="279" w:lineRule="auto"/>
        <w:rPr>
          <w:sz w:val="20"/>
          <w:szCs w:val="20"/>
          <w:color w:val="auto"/>
        </w:rPr>
      </w:pPr>
      <w:r>
        <w:rPr>
          <w:rFonts w:ascii="Arial" w:cs="Arial" w:eastAsia="Arial" w:hAnsi="Arial"/>
          <w:sz w:val="17"/>
          <w:szCs w:val="17"/>
          <w:color w:val="auto"/>
        </w:rPr>
        <w:t>This Description of Notes is intended to be an overview of the material provisions of the notes and is intended to supplement, and to the extent of any inconsistency replace, the description of the general terms and provisions of the debt securities set forth in the accompanying prospectus, to which we refer you. Since this Description of Notes is only a summary, you should refer to the Indenture and the notes, a form of which is available from us, for a complete description of our obligations and your rights.</w:t>
      </w:r>
    </w:p>
    <w:p>
      <w:pPr>
        <w:spacing w:after="0" w:line="7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The Notes. </w:t>
      </w:r>
      <w:r>
        <w:rPr>
          <w:rFonts w:ascii="Arial" w:cs="Arial" w:eastAsia="Arial" w:hAnsi="Arial"/>
          <w:sz w:val="18"/>
          <w:szCs w:val="18"/>
          <w:color w:val="auto"/>
        </w:rPr>
        <w:t>The notes:</w:t>
      </w:r>
    </w:p>
    <w:p>
      <w:pPr>
        <w:spacing w:after="0" w:line="131" w:lineRule="exact"/>
        <w:rPr>
          <w:sz w:val="20"/>
          <w:szCs w:val="20"/>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are our general unsecured, senior obligations;</w:t>
      </w:r>
    </w:p>
    <w:p>
      <w:pPr>
        <w:spacing w:after="0" w:line="117" w:lineRule="exact"/>
        <w:rPr>
          <w:rFonts w:ascii="Arial" w:cs="Arial" w:eastAsia="Arial" w:hAnsi="Arial"/>
          <w:sz w:val="18"/>
          <w:szCs w:val="18"/>
          <w:color w:val="auto"/>
        </w:rPr>
      </w:pPr>
    </w:p>
    <w:p>
      <w:pPr>
        <w:ind w:left="1300" w:right="60" w:hanging="202"/>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constitute a new series of debt securities issued under the Indenture and will be initially limited to an aggregate principal amount of $600 million;</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mature on November 30, 2039;</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are unconditionally guaranteed by our wholly owned subsidiary WM Holdings;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 not be entitled to the benefit of any sinking fund;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 be issued in minimum denominations of $2,000 and integral multiples of $1,000 in excess thereof; and</w:t>
      </w:r>
    </w:p>
    <w:p>
      <w:pPr>
        <w:spacing w:after="0" w:line="117" w:lineRule="exact"/>
        <w:rPr>
          <w:rFonts w:ascii="Arial" w:cs="Arial" w:eastAsia="Arial" w:hAnsi="Arial"/>
          <w:sz w:val="18"/>
          <w:szCs w:val="18"/>
          <w:color w:val="auto"/>
        </w:rPr>
      </w:pPr>
    </w:p>
    <w:p>
      <w:pPr>
        <w:jc w:val="both"/>
        <w:ind w:left="1300" w:right="100" w:hanging="202"/>
        <w:spacing w:after="0" w:line="26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 be issued only in book-entry form represented by global notes registered initially in the name of Cede &amp; Co., as nominee of The Depository Trust Company (“DTC”), or such other name as may be requested by an authorized representative of DTC, and deposited with the Trustee, as custodian for DTC.</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Interest. </w:t>
      </w:r>
      <w:r>
        <w:rPr>
          <w:rFonts w:ascii="Arial" w:cs="Arial" w:eastAsia="Arial" w:hAnsi="Arial"/>
          <w:sz w:val="18"/>
          <w:szCs w:val="18"/>
          <w:color w:val="auto"/>
        </w:rPr>
        <w:t>Interest will:</w:t>
      </w:r>
    </w:p>
    <w:p>
      <w:pPr>
        <w:spacing w:after="0" w:line="131" w:lineRule="exact"/>
        <w:rPr>
          <w:sz w:val="20"/>
          <w:szCs w:val="20"/>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accrue on the notes at the rate of 6.125% per annum;</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accrue from November 17, 2009 or the most recent interest payment date;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 payable in cash semi-annually in arrears on May 30 and November 30 of each year, beginning on May 30, 2010;</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be payable to holders of record on the May 15 and November 15 immediately preceding the related interest payment dates; and</w:t>
      </w:r>
    </w:p>
    <w:p>
      <w:pPr>
        <w:spacing w:after="0" w:line="140" w:lineRule="exact"/>
        <w:rPr>
          <w:rFonts w:ascii="Arial" w:cs="Arial" w:eastAsia="Arial" w:hAnsi="Arial"/>
          <w:sz w:val="16"/>
          <w:szCs w:val="16"/>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 computed on the basis of a 360-day year consisting of twelve 30-day months.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Payment and Transfer</w:t>
      </w:r>
    </w:p>
    <w:p>
      <w:pPr>
        <w:spacing w:after="0" w:line="135" w:lineRule="exact"/>
        <w:rPr>
          <w:sz w:val="20"/>
          <w:szCs w:val="20"/>
          <w:color w:val="auto"/>
        </w:rPr>
      </w:pPr>
    </w:p>
    <w:p>
      <w:pPr>
        <w:ind w:left="700" w:right="260" w:firstLine="397"/>
        <w:spacing w:after="0" w:line="257" w:lineRule="auto"/>
        <w:rPr>
          <w:sz w:val="20"/>
          <w:szCs w:val="20"/>
          <w:color w:val="auto"/>
        </w:rPr>
      </w:pPr>
      <w:r>
        <w:rPr>
          <w:rFonts w:ascii="Arial" w:cs="Arial" w:eastAsia="Arial" w:hAnsi="Arial"/>
          <w:sz w:val="18"/>
          <w:szCs w:val="18"/>
          <w:color w:val="auto"/>
        </w:rPr>
        <w:t>Beneficial interests in notes in global form will be shown on, and transfers of interests in notes in global form will be made only through, records maintained by DTC and its direct and indirect participants. Notes in definitive form, if any, may be registered, exchanged or transferred at the office or agency maintained by us for such purpose (which initially will be the corporate trust office of The Bank of New York Mellon, on behalf (for the benefit) of The Bank of New York Mellon Trust Company, N.A., located at 101 Barclay Street, Floor 21 West, New York, New York 10286).</w:t>
      </w:r>
    </w:p>
    <w:p>
      <w:pPr>
        <w:spacing w:after="0" w:line="94" w:lineRule="exact"/>
        <w:rPr>
          <w:sz w:val="20"/>
          <w:szCs w:val="20"/>
          <w:color w:val="auto"/>
        </w:rPr>
      </w:pPr>
    </w:p>
    <w:p>
      <w:pPr>
        <w:ind w:left="700" w:right="100" w:firstLine="397"/>
        <w:spacing w:after="0" w:line="302" w:lineRule="auto"/>
        <w:rPr>
          <w:sz w:val="20"/>
          <w:szCs w:val="20"/>
          <w:color w:val="auto"/>
        </w:rPr>
      </w:pPr>
      <w:r>
        <w:rPr>
          <w:rFonts w:ascii="Arial" w:cs="Arial" w:eastAsia="Arial" w:hAnsi="Arial"/>
          <w:sz w:val="16"/>
          <w:szCs w:val="16"/>
          <w:color w:val="auto"/>
        </w:rPr>
        <w:t>Payment of principal of, premium, if any, and interest on notes in global form registered in the name of or held by DTC or its nominee will be made in immediately available funds to DTC or its nominee, as the case may be, as the registered holder of such global note. If any of the notes are no longer represented by global notes, payment of interest on the notes in definitive form may, at our option, be made at the corporate trust office of The Bank of New York Mellon, on behalf (for the benefit) of The Bank of New York Mellon</w:t>
      </w:r>
    </w:p>
    <w:p>
      <w:pPr>
        <w:spacing w:after="0" w:line="3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380"/>
        <w:spacing w:after="0" w:line="277" w:lineRule="auto"/>
        <w:rPr>
          <w:sz w:val="20"/>
          <w:szCs w:val="20"/>
          <w:color w:val="auto"/>
        </w:rPr>
      </w:pPr>
      <w:r>
        <w:rPr>
          <w:rFonts w:ascii="Arial" w:cs="Arial" w:eastAsia="Arial" w:hAnsi="Arial"/>
          <w:sz w:val="18"/>
          <w:szCs w:val="18"/>
          <w:color w:val="auto"/>
        </w:rPr>
        <w:t>Trust Company, N.A., or by check mailed directly to registered holders at their registered addresses or by wire transfer to an account designated by a registered holder.</w:t>
      </w:r>
    </w:p>
    <w:p>
      <w:pPr>
        <w:spacing w:after="0" w:line="76"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No service charge will be made for any registration of transfer or exchange of notes, but we may require payment of a sum sufficient to cover any transfer tax or other governmental charge payable in connection therewith. We are not required to transfer or exchange any note selected for redemption for a period beginning 15 days before selection of notes to be redeemed and ending on the day of mailing of the notice of redemption.</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registered holder of a note will be treated as the owner of it for all purposes.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Optional Redemption</w:t>
      </w:r>
    </w:p>
    <w:p>
      <w:pPr>
        <w:spacing w:after="0" w:line="135"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The notes will be redeemable and repayable, at our option, at any time in whole, or from time to time in part, at a price equal to the greater of:</w:t>
      </w:r>
    </w:p>
    <w:p>
      <w:pPr>
        <w:spacing w:after="0" w:line="76" w:lineRule="exact"/>
        <w:rPr>
          <w:sz w:val="20"/>
          <w:szCs w:val="20"/>
          <w:color w:val="auto"/>
        </w:rPr>
      </w:pPr>
    </w:p>
    <w:p>
      <w:pPr>
        <w:ind w:left="1300" w:hanging="20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117" w:lineRule="exact"/>
        <w:rPr>
          <w:rFonts w:ascii="Arial" w:cs="Arial" w:eastAsia="Arial" w:hAnsi="Arial"/>
          <w:sz w:val="18"/>
          <w:szCs w:val="18"/>
          <w:color w:val="auto"/>
        </w:rPr>
      </w:pPr>
    </w:p>
    <w:p>
      <w:pPr>
        <w:ind w:left="1300" w:right="260" w:hanging="202"/>
        <w:spacing w:after="0" w:line="259"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(at the rate in effect on the date of calculation of the redemption price) on the notes to be redeemed (exclusive of interest accrued to the date of redemption) discounted to the date of redemption on a semi-annual basis (assuming a 360-day year consisting of twelve 30-day months) at the applicable Treasury Yield plus 30 basis points;</w:t>
      </w:r>
    </w:p>
    <w:p>
      <w:pPr>
        <w:spacing w:after="0" w:line="9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plus, in either case, accrued interest to the date of redemption.</w:t>
      </w:r>
    </w:p>
    <w:p>
      <w:pPr>
        <w:spacing w:after="0" w:line="131" w:lineRule="exact"/>
        <w:rPr>
          <w:sz w:val="20"/>
          <w:szCs w:val="20"/>
          <w:color w:val="auto"/>
        </w:rPr>
      </w:pPr>
    </w:p>
    <w:p>
      <w:pPr>
        <w:ind w:left="700" w:right="60" w:firstLine="397"/>
        <w:spacing w:after="0" w:line="271" w:lineRule="auto"/>
        <w:rPr>
          <w:sz w:val="20"/>
          <w:szCs w:val="20"/>
          <w:color w:val="auto"/>
        </w:rPr>
      </w:pPr>
      <w:r>
        <w:rPr>
          <w:rFonts w:ascii="Arial" w:cs="Arial" w:eastAsia="Arial" w:hAnsi="Arial"/>
          <w:sz w:val="17"/>
          <w:szCs w:val="17"/>
          <w:color w:val="auto"/>
        </w:rPr>
        <w:t>Notes called for redemption become due on the date fixed for redemption. Notices of redemption will be mailed at least 30 but not more than 60 days before the redemption date to each holder of record of the notes to be redeemed at its registered address. The notice of redemption for the notes will state, among other things, the amount of notes to be redeemed, the redemption date, the manner of determining the redemption price and the place(s) that payment will be made upon presentation and surrender of notes to be redeemed. Unless we default in payment of the redemption price, interest will cease to accrue on any notes that have been called for redemption at the redemption date. Notes called for redemption will be redeemed and repaid in principal amounts of $2,000 or any integral multiple of $1,000 in excess thereof. If less than all the notes are redeemed at any time, the Trustee will select the notes to be redeemed on a pro rata basis or by any other method the Trustee deems fair and appropriate.</w:t>
      </w:r>
    </w:p>
    <w:p>
      <w:pPr>
        <w:spacing w:after="0" w:line="84"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The factors that we generally consider in determining whether to redeem notes are (1) whether the current rates on new notes would be considerably less than the interest rates on the notes to be redeemed after consideration of any make-whole provision, (2) whether we have excess cash on hand and decide to reduce debt levels and (3) whether we are involved in a substantial merger or acquisition in which it becomes necessary to redeem the notes because of a debt restructuring agreement. However, given the substantial expense we would incur in redeeming the notes due to the calculation of the redemption price described above, we do not believe that we would redeem the notes in the ordinary course of our business. We are currently unaware of any circumstances under which we would redeem the notes.</w:t>
      </w:r>
    </w:p>
    <w:p>
      <w:pPr>
        <w:spacing w:after="0" w:line="9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For purposes of determining the optional redemption price, the following definitions are applicable:</w:t>
      </w:r>
    </w:p>
    <w:p>
      <w:pPr>
        <w:spacing w:after="0" w:line="131" w:lineRule="exact"/>
        <w:rPr>
          <w:sz w:val="20"/>
          <w:szCs w:val="20"/>
          <w:color w:val="auto"/>
        </w:rPr>
      </w:pPr>
    </w:p>
    <w:p>
      <w:pPr>
        <w:ind w:left="1080" w:right="20" w:firstLine="381"/>
        <w:spacing w:after="0" w:line="259" w:lineRule="auto"/>
        <w:rPr>
          <w:sz w:val="20"/>
          <w:szCs w:val="20"/>
          <w:color w:val="auto"/>
        </w:rPr>
      </w:pPr>
      <w:r>
        <w:rPr>
          <w:rFonts w:ascii="Arial" w:cs="Arial" w:eastAsia="Arial" w:hAnsi="Arial"/>
          <w:sz w:val="18"/>
          <w:szCs w:val="18"/>
          <w:i w:val="1"/>
          <w:iCs w:val="1"/>
          <w:color w:val="auto"/>
        </w:rPr>
        <w:t xml:space="preserve">“Treasury Yield” </w:t>
      </w:r>
      <w:r>
        <w:rPr>
          <w:rFonts w:ascii="Arial" w:cs="Arial" w:eastAsia="Arial" w:hAnsi="Arial"/>
          <w:sz w:val="18"/>
          <w:szCs w:val="18"/>
          <w:color w:val="auto"/>
        </w:rPr>
        <w:t>means, with respect to any redemption date applicable to the notes, the rate per annum equal to the semi-annual equivalent yield to maturity (computed as of the third business day immediately preceding the redemption date) of the Comparable Treasury Issue, assuming a price for the Comparable Treasury Issue (expressed as a percentage of its principal amount) equal to the applicable Comparable Treasury Price for the redemption date.</w:t>
      </w:r>
    </w:p>
    <w:p>
      <w:pPr>
        <w:spacing w:after="0" w:line="92" w:lineRule="exact"/>
        <w:rPr>
          <w:sz w:val="20"/>
          <w:szCs w:val="20"/>
          <w:color w:val="auto"/>
        </w:rPr>
      </w:pPr>
    </w:p>
    <w:p>
      <w:pPr>
        <w:ind w:left="1080" w:right="100" w:firstLine="381"/>
        <w:spacing w:after="0" w:line="259" w:lineRule="auto"/>
        <w:rPr>
          <w:sz w:val="20"/>
          <w:szCs w:val="20"/>
          <w:color w:val="auto"/>
        </w:rPr>
      </w:pPr>
      <w:r>
        <w:rPr>
          <w:rFonts w:ascii="Arial" w:cs="Arial" w:eastAsia="Arial" w:hAnsi="Arial"/>
          <w:sz w:val="18"/>
          <w:szCs w:val="18"/>
          <w:i w:val="1"/>
          <w:iCs w:val="1"/>
          <w:color w:val="auto"/>
        </w:rPr>
        <w:t xml:space="preserve">“Comparable Treasury Issue” </w:t>
      </w:r>
      <w:r>
        <w:rPr>
          <w:rFonts w:ascii="Arial" w:cs="Arial" w:eastAsia="Arial" w:hAnsi="Arial"/>
          <w:sz w:val="18"/>
          <w:szCs w:val="18"/>
          <w:color w:val="auto"/>
        </w:rPr>
        <w:t>means the United States Treasury security selected by an Independent Investment Banker as</w:t>
      </w:r>
      <w:r>
        <w:rPr>
          <w:rFonts w:ascii="Arial" w:cs="Arial" w:eastAsia="Arial" w:hAnsi="Arial"/>
          <w:sz w:val="18"/>
          <w:szCs w:val="18"/>
          <w:i w:val="1"/>
          <w:iCs w:val="1"/>
          <w:color w:val="auto"/>
        </w:rPr>
        <w:t xml:space="preserve"> </w:t>
      </w:r>
      <w:r>
        <w:rPr>
          <w:rFonts w:ascii="Arial" w:cs="Arial" w:eastAsia="Arial" w:hAnsi="Arial"/>
          <w:sz w:val="18"/>
          <w:szCs w:val="18"/>
          <w:color w:val="auto"/>
        </w:rPr>
        <w:t>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the notes.</w:t>
      </w:r>
    </w:p>
    <w:p>
      <w:pPr>
        <w:spacing w:after="0" w:line="92" w:lineRule="exact"/>
        <w:rPr>
          <w:sz w:val="20"/>
          <w:szCs w:val="20"/>
          <w:color w:val="auto"/>
        </w:rPr>
      </w:pPr>
    </w:p>
    <w:p>
      <w:pPr>
        <w:ind w:left="1080" w:right="320" w:firstLine="381"/>
        <w:spacing w:after="0" w:line="277" w:lineRule="auto"/>
        <w:rPr>
          <w:sz w:val="20"/>
          <w:szCs w:val="20"/>
          <w:color w:val="auto"/>
        </w:rPr>
      </w:pPr>
      <w:r>
        <w:rPr>
          <w:rFonts w:ascii="Arial" w:cs="Arial" w:eastAsia="Arial" w:hAnsi="Arial"/>
          <w:sz w:val="18"/>
          <w:szCs w:val="18"/>
          <w:i w:val="1"/>
          <w:iCs w:val="1"/>
          <w:color w:val="auto"/>
        </w:rPr>
        <w:t xml:space="preserve">“Independent Investment Banker” </w:t>
      </w:r>
      <w:r>
        <w:rPr>
          <w:rFonts w:ascii="Arial" w:cs="Arial" w:eastAsia="Arial" w:hAnsi="Arial"/>
          <w:sz w:val="18"/>
          <w:szCs w:val="18"/>
          <w:color w:val="auto"/>
        </w:rPr>
        <w:t>means any of BNP Paribas Securities Corp., J.P. Morgan Securities, Inc., Scotia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(USA) Inc. and Wells Fargo Securities, LLC (and their respective successors), or, if all of</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700"/>
        <w:spacing w:after="0" w:line="277" w:lineRule="auto"/>
        <w:rPr>
          <w:sz w:val="20"/>
          <w:szCs w:val="20"/>
          <w:color w:val="auto"/>
        </w:rPr>
      </w:pPr>
      <w:r>
        <w:rPr>
          <w:rFonts w:ascii="Arial" w:cs="Arial" w:eastAsia="Arial" w:hAnsi="Arial"/>
          <w:sz w:val="18"/>
          <w:szCs w:val="18"/>
          <w:color w:val="auto"/>
        </w:rPr>
        <w:t>such firms are unwilling or unable to select the applicable Comparable Treasury Issue, an independent investment banking institution of national standing appointed by the Trustee and reasonably acceptable to us.</w:t>
      </w:r>
    </w:p>
    <w:p>
      <w:pPr>
        <w:spacing w:after="0" w:line="76" w:lineRule="exact"/>
        <w:rPr>
          <w:sz w:val="20"/>
          <w:szCs w:val="20"/>
          <w:color w:val="auto"/>
        </w:rPr>
      </w:pPr>
    </w:p>
    <w:p>
      <w:pPr>
        <w:ind w:left="1080" w:right="40" w:firstLine="381"/>
        <w:spacing w:after="0" w:line="272" w:lineRule="auto"/>
        <w:rPr>
          <w:sz w:val="20"/>
          <w:szCs w:val="20"/>
          <w:color w:val="auto"/>
        </w:rPr>
      </w:pPr>
      <w:r>
        <w:rPr>
          <w:rFonts w:ascii="Arial" w:cs="Arial" w:eastAsia="Arial" w:hAnsi="Arial"/>
          <w:sz w:val="17"/>
          <w:szCs w:val="17"/>
          <w:i w:val="1"/>
          <w:iCs w:val="1"/>
          <w:color w:val="auto"/>
        </w:rPr>
        <w:t xml:space="preserve">“Comparable Treasury Price” </w:t>
      </w:r>
      <w:r>
        <w:rPr>
          <w:rFonts w:ascii="Arial" w:cs="Arial" w:eastAsia="Arial" w:hAnsi="Arial"/>
          <w:sz w:val="17"/>
          <w:szCs w:val="17"/>
          <w:color w:val="auto"/>
        </w:rPr>
        <w:t>means, with respect to any redemption date, (a) the bid price for the Comparable Treasury</w:t>
      </w:r>
      <w:r>
        <w:rPr>
          <w:rFonts w:ascii="Arial" w:cs="Arial" w:eastAsia="Arial" w:hAnsi="Arial"/>
          <w:sz w:val="17"/>
          <w:szCs w:val="17"/>
          <w:i w:val="1"/>
          <w:iCs w:val="1"/>
          <w:color w:val="auto"/>
        </w:rPr>
        <w:t xml:space="preserve"> </w:t>
      </w:r>
      <w:r>
        <w:rPr>
          <w:rFonts w:ascii="Arial" w:cs="Arial" w:eastAsia="Arial" w:hAnsi="Arial"/>
          <w:sz w:val="17"/>
          <w:szCs w:val="17"/>
          <w:color w:val="auto"/>
        </w:rPr>
        <w:t>Issue (expressed as a percentage of its principal amount) at 4:00 p.m., New York City time, on the third business day preceding the redemption date, as set forth on “Telerate Page 500” (or such other page as may replace Telerate Page 500), or (b) if such page (or any successor page) is not displayed or does not contain such bid prices at such time (i) the average of the Reference Treasury Dealer Quotations obtained by the Trustee for the redemption date, after excluding the highest and lowest of all Reference Treasury Dealer Quotations obtained, or (ii) if the Trustee obtains fewer than four such Reference Treasury Dealer Quotations, the average of all Reference Treasury Dealer Quotations obtained by the Trustee.</w:t>
      </w:r>
    </w:p>
    <w:p>
      <w:pPr>
        <w:spacing w:after="0" w:line="83" w:lineRule="exact"/>
        <w:rPr>
          <w:sz w:val="20"/>
          <w:szCs w:val="20"/>
          <w:color w:val="auto"/>
        </w:rPr>
      </w:pPr>
    </w:p>
    <w:p>
      <w:pPr>
        <w:ind w:left="1080" w:right="60" w:firstLine="381"/>
        <w:spacing w:after="0" w:line="257" w:lineRule="auto"/>
        <w:rPr>
          <w:sz w:val="20"/>
          <w:szCs w:val="20"/>
          <w:color w:val="auto"/>
        </w:rPr>
      </w:pPr>
      <w:r>
        <w:rPr>
          <w:rFonts w:ascii="Arial" w:cs="Arial" w:eastAsia="Arial" w:hAnsi="Arial"/>
          <w:sz w:val="18"/>
          <w:szCs w:val="18"/>
          <w:i w:val="1"/>
          <w:iCs w:val="1"/>
          <w:color w:val="auto"/>
        </w:rPr>
        <w:t xml:space="preserve">“Reference Treasury Dealer” </w:t>
      </w:r>
      <w:r>
        <w:rPr>
          <w:rFonts w:ascii="Arial" w:cs="Arial" w:eastAsia="Arial" w:hAnsi="Arial"/>
          <w:sz w:val="18"/>
          <w:szCs w:val="18"/>
          <w:color w:val="auto"/>
        </w:rPr>
        <w:t>means (i) each of BNP Paribas Securities Corp., J.P. Morgan Securities Inc., a Primary Treasury</w:t>
      </w:r>
      <w:r>
        <w:rPr>
          <w:rFonts w:ascii="Arial" w:cs="Arial" w:eastAsia="Arial" w:hAnsi="Arial"/>
          <w:sz w:val="18"/>
          <w:szCs w:val="18"/>
          <w:i w:val="1"/>
          <w:iCs w:val="1"/>
          <w:color w:val="auto"/>
        </w:rPr>
        <w:t xml:space="preserve"> </w:t>
      </w:r>
      <w:r>
        <w:rPr>
          <w:rFonts w:ascii="Arial" w:cs="Arial" w:eastAsia="Arial" w:hAnsi="Arial"/>
          <w:sz w:val="18"/>
          <w:szCs w:val="18"/>
          <w:color w:val="auto"/>
        </w:rPr>
        <w:t>Dealer (as defined below) selected by Scotia Capital (USA) Inc., and a Primary Treasury Dealer (as defined below) selected by Wells Fargo Securities, LLC, (and their respective successors), unless any of them ceases to be a primary U.S. government securities dealer in New York City (a “Primary Treasury Dealer”), in which case we will substitute therefor another Primary Treasury Dealer, and (ii) any other Primary Treasury Dealer selected by us.</w:t>
      </w:r>
    </w:p>
    <w:p>
      <w:pPr>
        <w:spacing w:after="0" w:line="94" w:lineRule="exact"/>
        <w:rPr>
          <w:sz w:val="20"/>
          <w:szCs w:val="20"/>
          <w:color w:val="auto"/>
        </w:rPr>
      </w:pPr>
    </w:p>
    <w:p>
      <w:pPr>
        <w:ind w:left="1080" w:firstLine="381"/>
        <w:spacing w:after="0" w:line="279" w:lineRule="auto"/>
        <w:rPr>
          <w:sz w:val="20"/>
          <w:szCs w:val="20"/>
          <w:color w:val="auto"/>
        </w:rPr>
      </w:pPr>
      <w:r>
        <w:rPr>
          <w:rFonts w:ascii="Arial" w:cs="Arial" w:eastAsia="Arial" w:hAnsi="Arial"/>
          <w:sz w:val="17"/>
          <w:szCs w:val="17"/>
          <w:i w:val="1"/>
          <w:iCs w:val="1"/>
          <w:color w:val="auto"/>
        </w:rPr>
        <w:t xml:space="preserve">“Reference Treasury Dealer Quotations” </w:t>
      </w:r>
      <w:r>
        <w:rPr>
          <w:rFonts w:ascii="Arial" w:cs="Arial" w:eastAsia="Arial" w:hAnsi="Arial"/>
          <w:sz w:val="17"/>
          <w:szCs w:val="17"/>
          <w:color w:val="auto"/>
        </w:rPr>
        <w:t>means, with respect to each Reference Treasury Dealer and any redemption date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notes, an average, as determined by the Trustee, of the bid and asked prices for the Comparable Treasury Issue for such notes (expressed in each case as a percentage of its principal amount) quoted in writing to the Trustee by the Reference Treasury Dealer at 5:00 p.m., New York City time, on the third business day preceding such redemption date.</w:t>
      </w:r>
    </w:p>
    <w:p>
      <w:pPr>
        <w:spacing w:after="0" w:line="77" w:lineRule="exact"/>
        <w:rPr>
          <w:sz w:val="20"/>
          <w:szCs w:val="20"/>
          <w:color w:val="auto"/>
        </w:rPr>
      </w:pPr>
    </w:p>
    <w:p>
      <w:pPr>
        <w:ind w:left="700" w:right="440" w:firstLine="397"/>
        <w:spacing w:after="0" w:line="277" w:lineRule="auto"/>
        <w:rPr>
          <w:sz w:val="20"/>
          <w:szCs w:val="20"/>
          <w:color w:val="auto"/>
        </w:rPr>
      </w:pPr>
      <w:r>
        <w:rPr>
          <w:rFonts w:ascii="Arial" w:cs="Arial" w:eastAsia="Arial" w:hAnsi="Arial"/>
          <w:sz w:val="18"/>
          <w:szCs w:val="18"/>
          <w:color w:val="auto"/>
        </w:rPr>
        <w:t>Except as set forth above, the notes will not be redeemable by us prior to maturity and will not be entitled to the benefit of any sinking fund.</w:t>
      </w:r>
    </w:p>
    <w:p>
      <w:pPr>
        <w:spacing w:after="0" w:line="1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Defeasance</w:t>
      </w:r>
    </w:p>
    <w:p>
      <w:pPr>
        <w:spacing w:after="0" w:line="94" w:lineRule="exact"/>
        <w:rPr>
          <w:sz w:val="20"/>
          <w:szCs w:val="20"/>
          <w:color w:val="auto"/>
        </w:rPr>
      </w:pPr>
    </w:p>
    <w:p>
      <w:pPr>
        <w:ind w:left="700" w:right="420" w:firstLine="397"/>
        <w:spacing w:after="0" w:line="277" w:lineRule="auto"/>
        <w:rPr>
          <w:sz w:val="20"/>
          <w:szCs w:val="20"/>
          <w:color w:val="auto"/>
        </w:rPr>
      </w:pPr>
      <w:r>
        <w:rPr>
          <w:rFonts w:ascii="Arial" w:cs="Arial" w:eastAsia="Arial" w:hAnsi="Arial"/>
          <w:sz w:val="18"/>
          <w:szCs w:val="18"/>
          <w:color w:val="auto"/>
        </w:rPr>
        <w:t>The notes will be subject to legal defeasance and to covenant defeasance as provided under “Description of Debt Securities — Provisions Applicable to Each Indenture — Defeasance” in the accompanying prospectus.</w:t>
      </w:r>
    </w:p>
    <w:p>
      <w:pPr>
        <w:spacing w:after="0" w:line="1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Satisfaction and Discharge</w:t>
      </w:r>
    </w:p>
    <w:p>
      <w:pPr>
        <w:spacing w:after="0" w:line="94" w:lineRule="exact"/>
        <w:rPr>
          <w:sz w:val="20"/>
          <w:szCs w:val="20"/>
          <w:color w:val="auto"/>
        </w:rPr>
      </w:pPr>
    </w:p>
    <w:p>
      <w:pPr>
        <w:jc w:val="both"/>
        <w:ind w:left="700" w:right="340" w:firstLine="397"/>
        <w:spacing w:after="0" w:line="264" w:lineRule="auto"/>
        <w:rPr>
          <w:sz w:val="20"/>
          <w:szCs w:val="20"/>
          <w:color w:val="auto"/>
        </w:rPr>
      </w:pPr>
      <w:r>
        <w:rPr>
          <w:rFonts w:ascii="Arial" w:cs="Arial" w:eastAsia="Arial" w:hAnsi="Arial"/>
          <w:sz w:val="18"/>
          <w:szCs w:val="18"/>
          <w:color w:val="auto"/>
        </w:rPr>
        <w:t>Upon our written request, the Indenture will be discharged and will cease to be of further effect (except as to surviving rights of registration of transfer or exchange of the notes and as otherwise expressly provided for in the Indenture) as to all outstanding notes, when:</w:t>
      </w:r>
    </w:p>
    <w:p>
      <w:pPr>
        <w:spacing w:after="0" w:line="60" w:lineRule="exact"/>
        <w:rPr>
          <w:sz w:val="20"/>
          <w:szCs w:val="20"/>
          <w:color w:val="auto"/>
        </w:rPr>
      </w:pPr>
    </w:p>
    <w:p>
      <w:pPr>
        <w:ind w:left="1720" w:hanging="249"/>
        <w:spacing w:after="0"/>
        <w:tabs>
          <w:tab w:leader="none" w:pos="1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480" w:right="120" w:firstLine="372"/>
        <w:spacing w:after="0" w:line="312" w:lineRule="auto"/>
        <w:tabs>
          <w:tab w:leader="none" w:pos="209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the notes theretofore authenticated and delivered (except lost, stolen or destroyed notes which have been replaced or paid and notes for whose payment money has theretofore been deposited in trust or segregated and held in trust by us and thereafter repaid to us or discharged from such trust) have been delivered to the Trustee for cancellation; or</w:t>
      </w:r>
    </w:p>
    <w:p>
      <w:pPr>
        <w:spacing w:after="0" w:line="11" w:lineRule="exact"/>
        <w:rPr>
          <w:rFonts w:ascii="Arial" w:cs="Arial" w:eastAsia="Arial" w:hAnsi="Arial"/>
          <w:sz w:val="16"/>
          <w:szCs w:val="16"/>
          <w:color w:val="auto"/>
        </w:rPr>
      </w:pPr>
    </w:p>
    <w:p>
      <w:pPr>
        <w:ind w:left="1480" w:right="100" w:firstLine="372"/>
        <w:spacing w:after="0" w:line="293" w:lineRule="auto"/>
        <w:tabs>
          <w:tab w:leader="none" w:pos="21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notes not theretofore delivered to the Trustee for cancellation (i) have become due and payable, (ii) will become due and payable at their stated maturity within one year or (iii) are to be called for redemption within one year under arrangements reasonably satisfactory to the Trustee and at our expense, and we have deposited or caused to be deposited with the Trustee trust funds in an amount sufficient to pay and discharge the entire indebtedness on the notes not theretofore delivered to the Trustee for cancellation, for principal of, premium, if any, and interest on, such notes to the date of such deposit (in the case of notes already due and payable) or to the date of stated maturity or redemption, as the case may be;</w:t>
      </w:r>
    </w:p>
    <w:p>
      <w:pPr>
        <w:spacing w:after="0" w:line="43" w:lineRule="exact"/>
        <w:rPr>
          <w:rFonts w:ascii="Arial" w:cs="Arial" w:eastAsia="Arial" w:hAnsi="Arial"/>
          <w:sz w:val="16"/>
          <w:szCs w:val="16"/>
          <w:color w:val="auto"/>
        </w:rPr>
      </w:pPr>
    </w:p>
    <w:p>
      <w:pPr>
        <w:ind w:left="1720" w:hanging="249"/>
        <w:spacing w:after="0"/>
        <w:tabs>
          <w:tab w:leader="none" w:pos="1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paid all other sums payable under the Indenture by us; and</w:t>
      </w:r>
    </w:p>
    <w:p>
      <w:pPr>
        <w:spacing w:after="0" w:line="90" w:lineRule="exact"/>
        <w:rPr>
          <w:rFonts w:ascii="Arial" w:cs="Arial" w:eastAsia="Arial" w:hAnsi="Arial"/>
          <w:sz w:val="18"/>
          <w:szCs w:val="18"/>
          <w:color w:val="auto"/>
        </w:rPr>
      </w:pPr>
    </w:p>
    <w:p>
      <w:pPr>
        <w:ind w:left="1080" w:right="440" w:firstLine="391"/>
        <w:spacing w:after="0" w:line="308" w:lineRule="auto"/>
        <w:tabs>
          <w:tab w:leader="none" w:pos="17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have delivered to the Trustee an officers’ certificate and an opinion of counsel stating that all conditions precedent under the Indenture relating to the satisfaction and discharge of the Indenture have been complied with.</w:t>
      </w:r>
    </w:p>
    <w:p>
      <w:pPr>
        <w:spacing w:after="0" w:line="32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Ranking</w:t>
      </w:r>
    </w:p>
    <w:p>
      <w:pPr>
        <w:spacing w:after="0" w:line="135" w:lineRule="exact"/>
        <w:rPr>
          <w:sz w:val="20"/>
          <w:szCs w:val="20"/>
          <w:color w:val="auto"/>
        </w:rPr>
      </w:pPr>
    </w:p>
    <w:p>
      <w:pPr>
        <w:ind w:left="700" w:right="240" w:firstLine="397"/>
        <w:spacing w:after="0" w:line="277" w:lineRule="auto"/>
        <w:rPr>
          <w:sz w:val="20"/>
          <w:szCs w:val="20"/>
          <w:color w:val="auto"/>
        </w:rPr>
      </w:pPr>
      <w:r>
        <w:rPr>
          <w:rFonts w:ascii="Arial" w:cs="Arial" w:eastAsia="Arial" w:hAnsi="Arial"/>
          <w:sz w:val="18"/>
          <w:szCs w:val="18"/>
          <w:color w:val="auto"/>
        </w:rPr>
        <w:t>The notes will be our unsecured and unsubordinated obligations, and will rank equally in contractual right of payment with all of our other existing and future senior indebtedness from time to time outstanding.</w:t>
      </w:r>
    </w:p>
    <w:p>
      <w:pPr>
        <w:spacing w:after="0" w:line="76" w:lineRule="exact"/>
        <w:rPr>
          <w:sz w:val="20"/>
          <w:szCs w:val="20"/>
          <w:color w:val="auto"/>
        </w:rPr>
      </w:pPr>
    </w:p>
    <w:p>
      <w:pPr>
        <w:ind w:left="700" w:right="60" w:firstLine="397"/>
        <w:spacing w:after="0" w:line="312" w:lineRule="auto"/>
        <w:rPr>
          <w:sz w:val="20"/>
          <w:szCs w:val="20"/>
          <w:color w:val="auto"/>
        </w:rPr>
      </w:pPr>
      <w:r>
        <w:rPr>
          <w:rFonts w:ascii="Arial" w:cs="Arial" w:eastAsia="Arial" w:hAnsi="Arial"/>
          <w:sz w:val="16"/>
          <w:szCs w:val="16"/>
          <w:color w:val="auto"/>
        </w:rPr>
        <w:t>The Indenture does not limit the amount of debt securities that we may issue. From time to time, we may issue additional notes under the Indenture in separate series, each up to the aggregate amount authorized for such series, or we may reopen an existing series of notes under the Indenture by issuing further notes of the same series with substantially the same terms. See “— Further Issuances.”</w:t>
      </w:r>
    </w:p>
    <w:p>
      <w:pPr>
        <w:spacing w:after="0" w:line="52" w:lineRule="exact"/>
        <w:rPr>
          <w:sz w:val="20"/>
          <w:szCs w:val="20"/>
          <w:color w:val="auto"/>
        </w:rPr>
      </w:pPr>
    </w:p>
    <w:p>
      <w:pPr>
        <w:ind w:left="700" w:firstLine="397"/>
        <w:spacing w:after="0" w:line="288" w:lineRule="auto"/>
        <w:rPr>
          <w:sz w:val="20"/>
          <w:szCs w:val="20"/>
          <w:color w:val="auto"/>
        </w:rPr>
      </w:pPr>
      <w:r>
        <w:rPr>
          <w:rFonts w:ascii="Arial" w:cs="Arial" w:eastAsia="Arial" w:hAnsi="Arial"/>
          <w:sz w:val="16"/>
          <w:szCs w:val="16"/>
          <w:color w:val="auto"/>
        </w:rPr>
        <w:t>We currently conduct substantially all our operations through our operating subsidiaries, and those subsidiaries generate substantially all our operating income and cash flow. As a result, distributions or advances from our operating subsidiaries are the principal source of funds necessary to meet our debt service obligations. Contractual provisions or laws, as well as our operating subsidiaries’ financial condition and operating requirements, may limit our ability to obtain cash from our subsidiaries that we require to pay our debt service obligations, including payments on the notes. The notes will be structurally subordinated to all obligations of our operating subsidiaries, including claims of trade payables. This means that holders of the notes will have a junior position to the claims of creditors of our operating subsidiaries on their assets and earnings. The notes will also be effectively subordinated to any secured debt we may incur, to the extent of the value of the assets securing that debt. The Indenture does not limit the amount of debt our subsidiaries can incur, and it permits us to incur some secured debt. For a description of the limitations on our ability to incur secured debt, see “Description of Debt Securities — Provisions Applicable Solely to Senior Debt Securities” in the accompanying prospectus.</w:t>
      </w:r>
    </w:p>
    <w:p>
      <w:pPr>
        <w:spacing w:after="0" w:line="75" w:lineRule="exact"/>
        <w:rPr>
          <w:sz w:val="20"/>
          <w:szCs w:val="20"/>
          <w:color w:val="auto"/>
        </w:rPr>
      </w:pPr>
    </w:p>
    <w:p>
      <w:pPr>
        <w:ind w:left="700" w:right="400" w:firstLine="397"/>
        <w:spacing w:after="0" w:line="308" w:lineRule="auto"/>
        <w:rPr>
          <w:sz w:val="20"/>
          <w:szCs w:val="20"/>
          <w:color w:val="auto"/>
        </w:rPr>
      </w:pPr>
      <w:r>
        <w:rPr>
          <w:rFonts w:ascii="Arial" w:cs="Arial" w:eastAsia="Arial" w:hAnsi="Arial"/>
          <w:sz w:val="17"/>
          <w:szCs w:val="17"/>
          <w:color w:val="auto"/>
        </w:rPr>
        <w:t>As of September 30, 2009, our operating subsidiaries had $3.21 billion of indebtedness and WM Holdings had $637 million of indebtedness (excluding guarantees of $4.2 billion of our senior debt), in each case excluding intercompany loans.</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Guarantee</w:t>
      </w:r>
    </w:p>
    <w:p>
      <w:pPr>
        <w:spacing w:after="0" w:line="135" w:lineRule="exact"/>
        <w:rPr>
          <w:sz w:val="20"/>
          <w:szCs w:val="20"/>
          <w:color w:val="auto"/>
        </w:rPr>
      </w:pPr>
    </w:p>
    <w:p>
      <w:pPr>
        <w:ind w:left="700" w:right="20" w:firstLine="397"/>
        <w:spacing w:after="0" w:line="302" w:lineRule="auto"/>
        <w:rPr>
          <w:sz w:val="20"/>
          <w:szCs w:val="20"/>
          <w:color w:val="auto"/>
        </w:rPr>
      </w:pPr>
      <w:r>
        <w:rPr>
          <w:rFonts w:ascii="Arial" w:cs="Arial" w:eastAsia="Arial" w:hAnsi="Arial"/>
          <w:sz w:val="16"/>
          <w:szCs w:val="16"/>
          <w:color w:val="auto"/>
        </w:rPr>
        <w:t>WM Holdings will unconditionally guarantee our obligations under the notes. The guarantee will be a general, unsecured obligation of WM Holdings and will rank equally in contractual right of payment with all existing and future senior indebtedness of WM Holdings from time to time outstanding. In an attempt to limit the applicability of fraudulent transfer laws, the guarantee limits the amount of the guarantee to the amount that will result in the guarantee not constituting a fraudulent transfer or improper corporate distribution.</w:t>
      </w:r>
    </w:p>
    <w:p>
      <w:pPr>
        <w:spacing w:after="0" w:line="60"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The guarantee of the notes shall be binding on WM Holdings, its successors and assigns, and shall continue in full force and effect for the benefit of holders of the notes until the earliest to occur of:</w:t>
      </w:r>
    </w:p>
    <w:p>
      <w:pPr>
        <w:spacing w:after="0" w:line="76" w:lineRule="exact"/>
        <w:rPr>
          <w:sz w:val="20"/>
          <w:szCs w:val="20"/>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consolidation or merger of WM Holdings into Waste Management or its successor;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consolidation or merger of Waste Management or its successor into WM Holdings;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payment in full of all interest and principal due on the notes; or</w:t>
      </w:r>
    </w:p>
    <w:p>
      <w:pPr>
        <w:spacing w:after="0" w:line="117" w:lineRule="exact"/>
        <w:rPr>
          <w:rFonts w:ascii="Arial" w:cs="Arial" w:eastAsia="Arial" w:hAnsi="Arial"/>
          <w:sz w:val="18"/>
          <w:szCs w:val="18"/>
          <w:color w:val="auto"/>
        </w:rPr>
      </w:pPr>
    </w:p>
    <w:p>
      <w:pPr>
        <w:ind w:left="1300" w:hanging="202"/>
        <w:spacing w:after="0" w:line="26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release of the guarantees by WM Holdings of obligations of Waste Management under its credit facilities (or any replacement or new principal credit facility). Our credit facilities currently state that WM Holdings’ guarantees under the facilities can only be released with the written consent of each of the lenders that is a party thereto.</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Change of Control Offer</w:t>
      </w:r>
    </w:p>
    <w:p>
      <w:pPr>
        <w:spacing w:after="0" w:line="135" w:lineRule="exact"/>
        <w:rPr>
          <w:sz w:val="20"/>
          <w:szCs w:val="20"/>
          <w:color w:val="auto"/>
        </w:rPr>
      </w:pPr>
    </w:p>
    <w:p>
      <w:pPr>
        <w:ind w:left="700" w:right="100" w:firstLine="397"/>
        <w:spacing w:after="0" w:line="297" w:lineRule="auto"/>
        <w:rPr>
          <w:sz w:val="20"/>
          <w:szCs w:val="20"/>
          <w:color w:val="auto"/>
        </w:rPr>
      </w:pPr>
      <w:r>
        <w:rPr>
          <w:rFonts w:ascii="Arial" w:cs="Arial" w:eastAsia="Arial" w:hAnsi="Arial"/>
          <w:sz w:val="16"/>
          <w:szCs w:val="16"/>
          <w:color w:val="auto"/>
        </w:rPr>
        <w:t>If a change of control triggering event occurs, unless we have exercised our option to redeem the notes as described above, we will be required to make an offer (a “change of control offer”) to each holder of the notes to repurchase all or any part (equal to $2,000 or an integral multiple of $1,000 in excess thereof) of that holder’s notes on the terms set forth in such notes. In a change of control offer, we will be required to offer payment in cash equal to 101% of the aggregate principal amount of notes repurchased (a “change of control payment”), plus accrued and unpaid interest, if any, on the notes repurchased to the date of repurchase, subject</w:t>
      </w:r>
    </w:p>
    <w:p>
      <w:pPr>
        <w:spacing w:after="0" w:line="34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 the right of holders of record on the applicable record date to receive interest due on the next interest payment date.</w:t>
      </w:r>
    </w:p>
    <w:p>
      <w:pPr>
        <w:spacing w:after="0" w:line="131" w:lineRule="exact"/>
        <w:rPr>
          <w:sz w:val="20"/>
          <w:szCs w:val="20"/>
          <w:color w:val="auto"/>
        </w:rPr>
      </w:pPr>
    </w:p>
    <w:p>
      <w:pPr>
        <w:ind w:left="700" w:right="160" w:firstLine="397"/>
        <w:spacing w:after="0" w:line="272" w:lineRule="auto"/>
        <w:rPr>
          <w:sz w:val="20"/>
          <w:szCs w:val="20"/>
          <w:color w:val="auto"/>
        </w:rPr>
      </w:pPr>
      <w:r>
        <w:rPr>
          <w:rFonts w:ascii="Arial" w:cs="Arial" w:eastAsia="Arial" w:hAnsi="Arial"/>
          <w:sz w:val="17"/>
          <w:szCs w:val="17"/>
          <w:color w:val="auto"/>
        </w:rPr>
        <w:t>Within 30 days following any change of control triggering event or, at our option, prior to any change of control, but after public announcement of the transaction that constitutes or may constitute the change of control, a notice will be mailed to holders of the notes describing the transaction that constitutes or may constitute the change of control triggering event and offering to repurchase such notes on the date specified in the applicable notice, which date will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8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Upon the change of control payment date, we will, to the extent lawful:</w:t>
      </w:r>
    </w:p>
    <w:p>
      <w:pPr>
        <w:spacing w:after="0" w:line="131" w:lineRule="exact"/>
        <w:rPr>
          <w:sz w:val="20"/>
          <w:szCs w:val="20"/>
          <w:color w:val="auto"/>
        </w:rPr>
      </w:pPr>
    </w:p>
    <w:p>
      <w:pPr>
        <w:ind w:left="1300" w:hanging="202"/>
        <w:spacing w:after="0"/>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accept for payment all notes or portions of notes properly tendered and not withdrawn pursuant to the change of control offer;</w:t>
      </w:r>
    </w:p>
    <w:p>
      <w:pPr>
        <w:spacing w:after="0" w:line="140" w:lineRule="exact"/>
        <w:rPr>
          <w:rFonts w:ascii="Arial" w:cs="Arial" w:eastAsia="Arial" w:hAnsi="Arial"/>
          <w:sz w:val="16"/>
          <w:szCs w:val="16"/>
          <w:color w:val="auto"/>
        </w:rPr>
      </w:pPr>
    </w:p>
    <w:p>
      <w:pPr>
        <w:ind w:left="1300" w:right="520" w:hanging="202"/>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w:t>
      </w:r>
    </w:p>
    <w:p>
      <w:pPr>
        <w:spacing w:after="0" w:line="62" w:lineRule="exact"/>
        <w:rPr>
          <w:rFonts w:ascii="Arial" w:cs="Arial" w:eastAsia="Arial" w:hAnsi="Arial"/>
          <w:sz w:val="18"/>
          <w:szCs w:val="18"/>
          <w:color w:val="auto"/>
        </w:rPr>
      </w:pPr>
    </w:p>
    <w:p>
      <w:pPr>
        <w:ind w:left="1300" w:right="600" w:hanging="202"/>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repurchased.</w:t>
      </w:r>
    </w:p>
    <w:p>
      <w:pPr>
        <w:spacing w:after="0" w:line="76"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We will not be required to make a change of control offer upon the occurrence of a change of control triggering event if a third party makes such an offer in the manner, at the times and otherwise in compliance with the requirements for an offer made by us and the third party repurchases all notes properly tendered and not withdrawn under its offer. In addition, we will not repurchase any notes if there has occurred and is continuing on the change of control payment date an event of default under the Indenture, other than a default in the payment of the change of control payment upon a change of control triggering event.</w:t>
      </w:r>
    </w:p>
    <w:p>
      <w:pPr>
        <w:spacing w:after="0" w:line="78" w:lineRule="exact"/>
        <w:rPr>
          <w:sz w:val="20"/>
          <w:szCs w:val="20"/>
          <w:color w:val="auto"/>
        </w:rPr>
      </w:pPr>
    </w:p>
    <w:p>
      <w:pPr>
        <w:ind w:left="700" w:right="140" w:firstLine="397"/>
        <w:spacing w:after="0" w:line="255" w:lineRule="auto"/>
        <w:rPr>
          <w:sz w:val="20"/>
          <w:szCs w:val="20"/>
          <w:color w:val="auto"/>
        </w:rPr>
      </w:pPr>
      <w:r>
        <w:rPr>
          <w:rFonts w:ascii="Arial" w:cs="Arial" w:eastAsia="Arial" w:hAnsi="Arial"/>
          <w:sz w:val="18"/>
          <w:szCs w:val="18"/>
          <w:color w:val="auto"/>
        </w:rPr>
        <w:t>We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For purposes of the change of control offer provisions of the notes, the following terms will be applicable:</w:t>
      </w:r>
    </w:p>
    <w:p>
      <w:pPr>
        <w:spacing w:after="0" w:line="131" w:lineRule="exact"/>
        <w:rPr>
          <w:sz w:val="20"/>
          <w:szCs w:val="20"/>
          <w:color w:val="auto"/>
        </w:rPr>
      </w:pPr>
    </w:p>
    <w:p>
      <w:pPr>
        <w:ind w:left="1080" w:right="20" w:firstLine="381"/>
        <w:spacing w:after="0" w:line="286" w:lineRule="auto"/>
        <w:rPr>
          <w:sz w:val="20"/>
          <w:szCs w:val="20"/>
          <w:color w:val="auto"/>
        </w:rPr>
      </w:pPr>
      <w:r>
        <w:rPr>
          <w:rFonts w:ascii="Arial" w:cs="Arial" w:eastAsia="Arial" w:hAnsi="Arial"/>
          <w:sz w:val="16"/>
          <w:szCs w:val="16"/>
          <w:i w:val="1"/>
          <w:iCs w:val="1"/>
          <w:color w:val="auto"/>
        </w:rPr>
        <w:t xml:space="preserve">“change of control” </w:t>
      </w:r>
      <w:r>
        <w:rPr>
          <w:rFonts w:ascii="Arial" w:cs="Arial" w:eastAsia="Arial" w:hAnsi="Arial"/>
          <w:sz w:val="16"/>
          <w:szCs w:val="16"/>
          <w:color w:val="auto"/>
        </w:rPr>
        <w:t>means the occurrence of any of the following: (1) the direct or indirect sale, lease, transfer, conveyance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disposition (other than by way of merger or consolidation), in one or more series of related transactions, of all or substantially all of our assets and the assets of our subsidiaries, taken as a whole, to any person, other than our company or one of our subsidiaries; (2) the consummation of any transaction (including, without limitation, any merger or consolidation) the result of which is that any person becomes the beneficial owner (as defined in Rules 13d-3 and 13d-5 under the Exchange Act), directly or indirectly, of more than 50% of our outstanding voting stock or other voting stock into which our voting stock is reclassified, consolidated, exchanged or changed, measured by voting power rather than number of shares; (3) we consolidate with, or merge with or into, any person, or any person consolidates with, or merges with or into, us, in any such event pursuant to a transaction in which any of our outstanding voting stock or the voting stock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(4) the first day on which a majority of the members of our Board</w:t>
      </w:r>
    </w:p>
    <w:p>
      <w:pPr>
        <w:spacing w:after="0" w:line="36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of Directors are not continuing directors; or (5) the adoption of a plan relating to our liquidation or dissolution.</w:t>
      </w:r>
    </w:p>
    <w:p>
      <w:pPr>
        <w:spacing w:after="0" w:line="131" w:lineRule="exact"/>
        <w:rPr>
          <w:sz w:val="20"/>
          <w:szCs w:val="20"/>
          <w:color w:val="auto"/>
        </w:rPr>
      </w:pPr>
    </w:p>
    <w:p>
      <w:pPr>
        <w:ind w:left="1080" w:firstLine="381"/>
        <w:spacing w:after="0" w:line="255" w:lineRule="auto"/>
        <w:rPr>
          <w:sz w:val="20"/>
          <w:szCs w:val="20"/>
          <w:color w:val="auto"/>
        </w:rPr>
      </w:pPr>
      <w:r>
        <w:rPr>
          <w:rFonts w:ascii="Arial" w:cs="Arial" w:eastAsia="Arial" w:hAnsi="Arial"/>
          <w:sz w:val="18"/>
          <w:szCs w:val="18"/>
          <w:color w:val="auto"/>
        </w:rPr>
        <w:t>Notwithstanding the preceding, a transaction will not be deemed to involve a change of control under clause (2) above if (i) we become a direct or indirect wholly owned subsidiary of a holding company and (ii)(A) the direct or indirect holders of the voting stock of such holding company immediately following that transaction are substantially the same as the holders of our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95" w:lineRule="exact"/>
        <w:rPr>
          <w:sz w:val="20"/>
          <w:szCs w:val="20"/>
          <w:color w:val="auto"/>
        </w:rPr>
      </w:pPr>
    </w:p>
    <w:p>
      <w:pPr>
        <w:ind w:left="1480"/>
        <w:spacing w:after="0"/>
        <w:rPr>
          <w:sz w:val="20"/>
          <w:szCs w:val="20"/>
          <w:color w:val="auto"/>
        </w:rPr>
      </w:pPr>
      <w:r>
        <w:rPr>
          <w:rFonts w:ascii="Arial" w:cs="Arial" w:eastAsia="Arial" w:hAnsi="Arial"/>
          <w:sz w:val="18"/>
          <w:szCs w:val="18"/>
          <w:i w:val="1"/>
          <w:iCs w:val="1"/>
          <w:color w:val="auto"/>
        </w:rPr>
        <w:t xml:space="preserve">“change of control triggering event” </w:t>
      </w:r>
      <w:r>
        <w:rPr>
          <w:rFonts w:ascii="Arial" w:cs="Arial" w:eastAsia="Arial" w:hAnsi="Arial"/>
          <w:sz w:val="18"/>
          <w:szCs w:val="18"/>
          <w:color w:val="auto"/>
        </w:rPr>
        <w:t>means the occurrence of both a change of control and a rating event.</w:t>
      </w:r>
    </w:p>
    <w:p>
      <w:pPr>
        <w:spacing w:after="0" w:line="131" w:lineRule="exact"/>
        <w:rPr>
          <w:sz w:val="20"/>
          <w:szCs w:val="20"/>
          <w:color w:val="auto"/>
        </w:rPr>
      </w:pPr>
    </w:p>
    <w:p>
      <w:pPr>
        <w:ind w:left="1080" w:right="20" w:firstLine="381"/>
        <w:spacing w:after="0" w:line="276" w:lineRule="auto"/>
        <w:rPr>
          <w:sz w:val="20"/>
          <w:szCs w:val="20"/>
          <w:color w:val="auto"/>
        </w:rPr>
      </w:pPr>
      <w:r>
        <w:rPr>
          <w:rFonts w:ascii="Arial" w:cs="Arial" w:eastAsia="Arial" w:hAnsi="Arial"/>
          <w:sz w:val="17"/>
          <w:szCs w:val="17"/>
          <w:i w:val="1"/>
          <w:iCs w:val="1"/>
          <w:color w:val="auto"/>
        </w:rPr>
        <w:t xml:space="preserve">“continuing directors” </w:t>
      </w:r>
      <w:r>
        <w:rPr>
          <w:rFonts w:ascii="Arial" w:cs="Arial" w:eastAsia="Arial" w:hAnsi="Arial"/>
          <w:sz w:val="17"/>
          <w:szCs w:val="17"/>
          <w:color w:val="auto"/>
        </w:rPr>
        <w:t>means, as of any date of determination, any member of our Board of Directors who (1) was a member</w:t>
      </w:r>
      <w:r>
        <w:rPr>
          <w:rFonts w:ascii="Arial" w:cs="Arial" w:eastAsia="Arial" w:hAnsi="Arial"/>
          <w:sz w:val="17"/>
          <w:szCs w:val="17"/>
          <w:i w:val="1"/>
          <w:iCs w:val="1"/>
          <w:color w:val="auto"/>
        </w:rPr>
        <w:t xml:space="preserve"> </w:t>
      </w:r>
      <w:r>
        <w:rPr>
          <w:rFonts w:ascii="Arial" w:cs="Arial" w:eastAsia="Arial" w:hAnsi="Arial"/>
          <w:sz w:val="17"/>
          <w:szCs w:val="17"/>
          <w:color w:val="auto"/>
        </w:rPr>
        <w:t>of such Board of Directors on the date the notes were issued or (2) was nominated for election, elected or appointed to such Board of Directors with the approval of a majority of the continuing directors who were members of such Board of Directors at the time of such nomination, election or appointment (either by a specific vote or by approval of our proxy statement in which such member was named as a nominee for election as a director, without objection to such nomination).</w:t>
      </w:r>
    </w:p>
    <w:p>
      <w:pPr>
        <w:spacing w:after="0" w:line="78" w:lineRule="exact"/>
        <w:rPr>
          <w:sz w:val="20"/>
          <w:szCs w:val="20"/>
          <w:color w:val="auto"/>
        </w:rPr>
      </w:pPr>
    </w:p>
    <w:p>
      <w:pPr>
        <w:ind w:left="1480"/>
        <w:spacing w:after="0"/>
        <w:rPr>
          <w:sz w:val="20"/>
          <w:szCs w:val="20"/>
          <w:color w:val="auto"/>
        </w:rPr>
      </w:pPr>
      <w:r>
        <w:rPr>
          <w:rFonts w:ascii="Arial" w:cs="Arial" w:eastAsia="Arial" w:hAnsi="Arial"/>
          <w:sz w:val="18"/>
          <w:szCs w:val="18"/>
          <w:i w:val="1"/>
          <w:iCs w:val="1"/>
          <w:color w:val="auto"/>
        </w:rPr>
        <w:t xml:space="preserve">“Fitch” </w:t>
      </w:r>
      <w:r>
        <w:rPr>
          <w:rFonts w:ascii="Arial" w:cs="Arial" w:eastAsia="Arial" w:hAnsi="Arial"/>
          <w:sz w:val="18"/>
          <w:szCs w:val="18"/>
          <w:color w:val="auto"/>
        </w:rPr>
        <w:t>means Fitch Inc. and its successors.</w:t>
      </w:r>
    </w:p>
    <w:p>
      <w:pPr>
        <w:spacing w:after="0" w:line="131" w:lineRule="exact"/>
        <w:rPr>
          <w:sz w:val="20"/>
          <w:szCs w:val="20"/>
          <w:color w:val="auto"/>
        </w:rPr>
      </w:pPr>
    </w:p>
    <w:p>
      <w:pPr>
        <w:jc w:val="both"/>
        <w:ind w:left="1080" w:right="140" w:firstLine="381"/>
        <w:spacing w:after="0" w:line="264" w:lineRule="auto"/>
        <w:rPr>
          <w:sz w:val="20"/>
          <w:szCs w:val="20"/>
          <w:color w:val="auto"/>
        </w:rPr>
      </w:pPr>
      <w:r>
        <w:rPr>
          <w:rFonts w:ascii="Arial" w:cs="Arial" w:eastAsia="Arial" w:hAnsi="Arial"/>
          <w:sz w:val="18"/>
          <w:szCs w:val="18"/>
          <w:i w:val="1"/>
          <w:iCs w:val="1"/>
          <w:color w:val="auto"/>
        </w:rPr>
        <w:t xml:space="preserve">“investment grade rating” </w:t>
      </w:r>
      <w:r>
        <w:rPr>
          <w:rFonts w:ascii="Arial" w:cs="Arial" w:eastAsia="Arial" w:hAnsi="Arial"/>
          <w:sz w:val="18"/>
          <w:szCs w:val="18"/>
          <w:color w:val="auto"/>
        </w:rPr>
        <w:t>means a rating equal to or higher than BBB- (or the equivalent) by Fitch, Baa3 (or the equivalent)</w:t>
      </w:r>
      <w:r>
        <w:rPr>
          <w:rFonts w:ascii="Arial" w:cs="Arial" w:eastAsia="Arial" w:hAnsi="Arial"/>
          <w:sz w:val="18"/>
          <w:szCs w:val="18"/>
          <w:i w:val="1"/>
          <w:iCs w:val="1"/>
          <w:color w:val="auto"/>
        </w:rPr>
        <w:t xml:space="preserve"> </w:t>
      </w:r>
      <w:r>
        <w:rPr>
          <w:rFonts w:ascii="Arial" w:cs="Arial" w:eastAsia="Arial" w:hAnsi="Arial"/>
          <w:sz w:val="18"/>
          <w:szCs w:val="18"/>
          <w:color w:val="auto"/>
        </w:rPr>
        <w:t>by Moody’s and BBB- (or the equivalent) by S&amp;P, and the equivalent investment grade credit rating from any replacement rating agency or rating agencies selected by us.</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8"/>
          <w:szCs w:val="18"/>
          <w:i w:val="1"/>
          <w:iCs w:val="1"/>
          <w:color w:val="auto"/>
        </w:rPr>
        <w:t xml:space="preserve">“Moody’s” </w:t>
      </w:r>
      <w:r>
        <w:rPr>
          <w:rFonts w:ascii="Arial" w:cs="Arial" w:eastAsia="Arial" w:hAnsi="Arial"/>
          <w:sz w:val="18"/>
          <w:szCs w:val="18"/>
          <w:color w:val="auto"/>
        </w:rPr>
        <w:t>means Moody’s Investors Service, Inc. and its successors.</w:t>
      </w:r>
    </w:p>
    <w:p>
      <w:pPr>
        <w:spacing w:after="0" w:line="131" w:lineRule="exact"/>
        <w:rPr>
          <w:sz w:val="20"/>
          <w:szCs w:val="20"/>
          <w:color w:val="auto"/>
        </w:rPr>
      </w:pPr>
    </w:p>
    <w:p>
      <w:pPr>
        <w:ind w:left="1080" w:right="40" w:firstLine="381"/>
        <w:spacing w:after="0" w:line="302" w:lineRule="auto"/>
        <w:rPr>
          <w:sz w:val="20"/>
          <w:szCs w:val="20"/>
          <w:color w:val="auto"/>
        </w:rPr>
      </w:pPr>
      <w:r>
        <w:rPr>
          <w:rFonts w:ascii="Arial" w:cs="Arial" w:eastAsia="Arial" w:hAnsi="Arial"/>
          <w:sz w:val="16"/>
          <w:szCs w:val="16"/>
          <w:i w:val="1"/>
          <w:iCs w:val="1"/>
          <w:color w:val="auto"/>
        </w:rPr>
        <w:t xml:space="preserve">“rating agencies” </w:t>
      </w:r>
      <w:r>
        <w:rPr>
          <w:rFonts w:ascii="Arial" w:cs="Arial" w:eastAsia="Arial" w:hAnsi="Arial"/>
          <w:sz w:val="16"/>
          <w:szCs w:val="16"/>
          <w:color w:val="auto"/>
        </w:rPr>
        <w:t>means (1) each of Fitch, Moody’s and S&amp;P and (2) if any of Fitch, Moody’s or S&amp;P ceases to rate the notes</w:t>
      </w:r>
      <w:r>
        <w:rPr>
          <w:rFonts w:ascii="Arial" w:cs="Arial" w:eastAsia="Arial" w:hAnsi="Arial"/>
          <w:sz w:val="16"/>
          <w:szCs w:val="16"/>
          <w:i w:val="1"/>
          <w:iCs w:val="1"/>
          <w:color w:val="auto"/>
        </w:rPr>
        <w:t xml:space="preserve"> </w:t>
      </w:r>
      <w:r>
        <w:rPr>
          <w:rFonts w:ascii="Arial" w:cs="Arial" w:eastAsia="Arial" w:hAnsi="Arial"/>
          <w:sz w:val="16"/>
          <w:szCs w:val="16"/>
          <w:color w:val="auto"/>
        </w:rPr>
        <w:t>or fails to make a rating of the notes publicly available for reasons outside of our control, a “nationally recognized statistical rating organization” within the meaning of Rule 15c3-1(c)(2)(vi)(F) under the Exchange Act selected by us (as certified by a resolution of our Board of Directors) as a replacement agency for Fitch, Moody’s or S&amp;P, or all of them, as the case may be.</w:t>
      </w:r>
    </w:p>
    <w:p>
      <w:pPr>
        <w:spacing w:after="0" w:line="60" w:lineRule="exact"/>
        <w:rPr>
          <w:sz w:val="20"/>
          <w:szCs w:val="20"/>
          <w:color w:val="auto"/>
        </w:rPr>
      </w:pPr>
    </w:p>
    <w:p>
      <w:pPr>
        <w:ind w:left="1080" w:right="280" w:firstLine="381"/>
        <w:spacing w:after="0" w:line="297" w:lineRule="auto"/>
        <w:rPr>
          <w:sz w:val="20"/>
          <w:szCs w:val="20"/>
          <w:color w:val="auto"/>
        </w:rPr>
      </w:pPr>
      <w:r>
        <w:rPr>
          <w:rFonts w:ascii="Arial" w:cs="Arial" w:eastAsia="Arial" w:hAnsi="Arial"/>
          <w:sz w:val="16"/>
          <w:szCs w:val="16"/>
          <w:i w:val="1"/>
          <w:iCs w:val="1"/>
          <w:color w:val="auto"/>
        </w:rPr>
        <w:t xml:space="preserve">“rating event” </w:t>
      </w:r>
      <w:r>
        <w:rPr>
          <w:rFonts w:ascii="Arial" w:cs="Arial" w:eastAsia="Arial" w:hAnsi="Arial"/>
          <w:sz w:val="16"/>
          <w:szCs w:val="16"/>
          <w:color w:val="auto"/>
        </w:rPr>
        <w:t>means the rating on the notes is lowered by at least two of the three rating agencies and the notes are rated</w:t>
      </w:r>
      <w:r>
        <w:rPr>
          <w:rFonts w:ascii="Arial" w:cs="Arial" w:eastAsia="Arial" w:hAnsi="Arial"/>
          <w:sz w:val="16"/>
          <w:szCs w:val="16"/>
          <w:i w:val="1"/>
          <w:iCs w:val="1"/>
          <w:color w:val="auto"/>
        </w:rPr>
        <w:t xml:space="preserve"> </w:t>
      </w:r>
      <w:r>
        <w:rPr>
          <w:rFonts w:ascii="Arial" w:cs="Arial" w:eastAsia="Arial" w:hAnsi="Arial"/>
          <w:sz w:val="16"/>
          <w:szCs w:val="16"/>
          <w:color w:val="auto"/>
        </w:rPr>
        <w:t>below an investment grade rating by at least two of the three rating agencies, in any case on any day during the period (which period will be extended so long as the rating of the notes is under publicly announced consideration for a possible downgrade by any of the rating agencies) commencing 60 days prior to the first public notice of the occurrence of a change of control or our intention to effect a change of control and ending 60 days following consummation of such change of control.</w:t>
      </w:r>
    </w:p>
    <w:p>
      <w:pPr>
        <w:spacing w:after="0" w:line="64" w:lineRule="exact"/>
        <w:rPr>
          <w:sz w:val="20"/>
          <w:szCs w:val="20"/>
          <w:color w:val="auto"/>
        </w:rPr>
      </w:pPr>
    </w:p>
    <w:p>
      <w:pPr>
        <w:ind w:left="1480"/>
        <w:spacing w:after="0"/>
        <w:rPr>
          <w:sz w:val="20"/>
          <w:szCs w:val="20"/>
          <w:color w:val="auto"/>
        </w:rPr>
      </w:pPr>
      <w:r>
        <w:rPr>
          <w:rFonts w:ascii="Arial" w:cs="Arial" w:eastAsia="Arial" w:hAnsi="Arial"/>
          <w:sz w:val="17"/>
          <w:szCs w:val="17"/>
          <w:i w:val="1"/>
          <w:iCs w:val="1"/>
          <w:color w:val="auto"/>
        </w:rPr>
        <w:t xml:space="preserve">“S&amp;P” </w:t>
      </w:r>
      <w:r>
        <w:rPr>
          <w:rFonts w:ascii="Arial" w:cs="Arial" w:eastAsia="Arial" w:hAnsi="Arial"/>
          <w:sz w:val="17"/>
          <w:szCs w:val="17"/>
          <w:color w:val="auto"/>
        </w:rPr>
        <w:t>means Standard &amp; Poor’s Ratings Services, a division of The McGraw-Hill Companies, Inc., and its successors.</w:t>
      </w:r>
    </w:p>
    <w:p>
      <w:pPr>
        <w:spacing w:after="0" w:line="142" w:lineRule="exact"/>
        <w:rPr>
          <w:sz w:val="20"/>
          <w:szCs w:val="20"/>
          <w:color w:val="auto"/>
        </w:rPr>
      </w:pPr>
    </w:p>
    <w:p>
      <w:pPr>
        <w:ind w:left="1080" w:right="80" w:firstLine="381"/>
        <w:spacing w:after="0" w:line="264" w:lineRule="auto"/>
        <w:rPr>
          <w:sz w:val="20"/>
          <w:szCs w:val="20"/>
          <w:color w:val="auto"/>
        </w:rPr>
      </w:pPr>
      <w:r>
        <w:rPr>
          <w:rFonts w:ascii="Arial" w:cs="Arial" w:eastAsia="Arial" w:hAnsi="Arial"/>
          <w:sz w:val="18"/>
          <w:szCs w:val="18"/>
          <w:i w:val="1"/>
          <w:iCs w:val="1"/>
          <w:color w:val="auto"/>
        </w:rPr>
        <w:t xml:space="preserve">“voting stock” </w:t>
      </w:r>
      <w:r>
        <w:rPr>
          <w:rFonts w:ascii="Arial" w:cs="Arial" w:eastAsia="Arial" w:hAnsi="Arial"/>
          <w:sz w:val="18"/>
          <w:szCs w:val="18"/>
          <w:color w:val="auto"/>
        </w:rPr>
        <w:t>means, with respect to any specified “person” (as that term is used in Section 13(d)(3) of the Exchange Act) as</w:t>
      </w:r>
      <w:r>
        <w:rPr>
          <w:rFonts w:ascii="Arial" w:cs="Arial" w:eastAsia="Arial" w:hAnsi="Arial"/>
          <w:sz w:val="18"/>
          <w:szCs w:val="18"/>
          <w:i w:val="1"/>
          <w:iCs w:val="1"/>
          <w:color w:val="auto"/>
        </w:rPr>
        <w:t xml:space="preserve"> </w:t>
      </w:r>
      <w:r>
        <w:rPr>
          <w:rFonts w:ascii="Arial" w:cs="Arial" w:eastAsia="Arial" w:hAnsi="Arial"/>
          <w:sz w:val="18"/>
          <w:szCs w:val="18"/>
          <w:color w:val="auto"/>
        </w:rPr>
        <w:t>of any date, the capital stock of such person that is at the time entitled to vote generally in the election of the board of directors of such person.</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Certain Covenants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Certain covenants in the Indenture limit our ability and the ability of our subsidiaries to:</w:t>
      </w:r>
    </w:p>
    <w:p>
      <w:pPr>
        <w:spacing w:after="0" w:line="131" w:lineRule="exact"/>
        <w:rPr>
          <w:sz w:val="20"/>
          <w:szCs w:val="20"/>
          <w:color w:val="auto"/>
        </w:rPr>
      </w:pPr>
    </w:p>
    <w:p>
      <w:pPr>
        <w:ind w:left="1300" w:hanging="20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create, incur or assume debt secured by liens;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sale and leaseback transactions;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merge, consolidate or transfer all or substantially all of our assets.</w:t>
      </w:r>
    </w:p>
    <w:p>
      <w:pPr>
        <w:spacing w:after="0" w:line="200" w:lineRule="exact"/>
        <w:rPr>
          <w:sz w:val="20"/>
          <w:szCs w:val="20"/>
          <w:color w:val="auto"/>
        </w:rPr>
      </w:pPr>
    </w:p>
    <w:p>
      <w:pPr>
        <w:spacing w:after="0" w:line="21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For a description of these covenants, see “Description of Debt Securities — Provisions Applicable to Each Indenture — Consolidation, Merger and Sale of Assets” and “— Provisions Applicable Solely to Senior Debt Securities — Restrictive Covenants” in the accompanying prospectus.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Further Issuances</w:t>
      </w:r>
    </w:p>
    <w:p>
      <w:pPr>
        <w:spacing w:after="0" w:line="135"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We may from time to time, without notice or the consent of the registered holders of the notes, create and issue further notes ranking equally and ratably with the notes in all respects (or in all respects except for the payment of interest accruing prior to the issue date of such further notes), so that such further notes shall be consolidated and form a single series with the notes and shall have the same terms as to status, redemption or otherwise as the notes. We may at any time purchase notes in the open market or otherwise at any price.</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Book-Entry Systems</w:t>
      </w:r>
    </w:p>
    <w:p>
      <w:pPr>
        <w:spacing w:after="0" w:line="135" w:lineRule="exact"/>
        <w:rPr>
          <w:sz w:val="20"/>
          <w:szCs w:val="20"/>
          <w:color w:val="auto"/>
        </w:rPr>
      </w:pPr>
    </w:p>
    <w:p>
      <w:pPr>
        <w:ind w:left="700" w:firstLine="397"/>
        <w:spacing w:after="0" w:line="288" w:lineRule="auto"/>
        <w:rPr>
          <w:sz w:val="20"/>
          <w:szCs w:val="20"/>
          <w:color w:val="auto"/>
        </w:rPr>
      </w:pPr>
      <w:r>
        <w:rPr>
          <w:rFonts w:ascii="Arial" w:cs="Arial" w:eastAsia="Arial" w:hAnsi="Arial"/>
          <w:sz w:val="16"/>
          <w:szCs w:val="16"/>
          <w:color w:val="auto"/>
        </w:rPr>
        <w:t>We will issue the notes in the form of one or more fully registered global notes, without coupons, each of which we refer to as a “global note.” Each such global note will be registered in the name of a depositary or a nominee of a depositary and held through one or more international and domestic clearing systems, principally the book-entry systems operated by The Depository Trust Company, or DTC, in the United States and by Euroclear Bank S.A./N.V., or the Euroclear Operator, as an operator of the Euroclear System, or Euroclear, and Clearstream Banking S.A., or Clearstream, in Europe. Unless and until definitive notes are issued, all references to actions by holders of notes issued in global form refer to actions taken by DTC, Euroclear or Clearstream, as the case may be, upon instructions from their respective participants, and all references to payments and notices to the holders refer to payments and notices to DTC, its nominee, Euroclear or Clearstream, as the case may be, as the registered holder of the offered notes. Electronic notes and payment transfer, processing, depositary and custodial links have been established among these systems and others, either directly or indirectly, which enable global notes to be issued, held and transferred among these clearing systems through these links.</w:t>
      </w:r>
    </w:p>
    <w:p>
      <w:pPr>
        <w:spacing w:after="0" w:line="75"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w:t>
      </w:r>
    </w:p>
    <w:p>
      <w:pPr>
        <w:spacing w:after="0" w:line="99"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color w:val="auto"/>
        </w:rPr>
        <w:t>The notes in the form of one or more global notes will be registered in the name of DTC or a nominee of DTC. Where appropriate, links will be established among DTC, Euroclear and Clearstream to facilitate the initial issuance of any notes sold outside of the United States and cross-market transfers of the notes associated with secondary market trading. While the following information concerning DTC, Euroclear and Clearstream and their respective book-entry systems has been obtained from sources that we believe to be reliable, we take no responsibility for the accuracy of that information.</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DTC</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DTC has advised us and the underwriters as follows:</w:t>
      </w:r>
    </w:p>
    <w:p>
      <w:pPr>
        <w:spacing w:after="0" w:line="131" w:lineRule="exact"/>
        <w:rPr>
          <w:sz w:val="20"/>
          <w:szCs w:val="20"/>
          <w:color w:val="auto"/>
        </w:rPr>
      </w:pPr>
    </w:p>
    <w:p>
      <w:pPr>
        <w:ind w:left="1300" w:hanging="202"/>
        <w:spacing w:after="0" w:line="259"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Securities Exchange Act of 1934, as amended.</w:t>
      </w:r>
    </w:p>
    <w:p>
      <w:pPr>
        <w:spacing w:after="0" w:line="78" w:lineRule="exact"/>
        <w:rPr>
          <w:rFonts w:ascii="Arial" w:cs="Arial" w:eastAsia="Arial" w:hAnsi="Arial"/>
          <w:sz w:val="18"/>
          <w:szCs w:val="18"/>
          <w:color w:val="auto"/>
        </w:rPr>
      </w:pPr>
    </w:p>
    <w:p>
      <w:pPr>
        <w:ind w:left="1300" w:right="20" w:hanging="202"/>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DTC holds securities for its participating organizations, referred to as “direct DTC participants,” and facilitates the clearance and settlement of securities transactions, such as transfers and pledges, in</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00" w:right="720"/>
        <w:spacing w:after="0" w:line="277" w:lineRule="auto"/>
        <w:rPr>
          <w:sz w:val="20"/>
          <w:szCs w:val="20"/>
          <w:color w:val="auto"/>
        </w:rPr>
      </w:pPr>
      <w:r>
        <w:rPr>
          <w:rFonts w:ascii="Arial" w:cs="Arial" w:eastAsia="Arial" w:hAnsi="Arial"/>
          <w:sz w:val="18"/>
          <w:szCs w:val="18"/>
          <w:color w:val="auto"/>
        </w:rPr>
        <w:t>deposited securities, through electronic computerized book-entry changes in direct DTC participants’ accounts, thereby eliminating the need for physical movement of securities certificates.</w:t>
      </w:r>
    </w:p>
    <w:p>
      <w:pPr>
        <w:spacing w:after="0" w:line="76" w:lineRule="exact"/>
        <w:rPr>
          <w:sz w:val="20"/>
          <w:szCs w:val="20"/>
          <w:color w:val="auto"/>
        </w:rPr>
      </w:pPr>
    </w:p>
    <w:p>
      <w:pPr>
        <w:ind w:left="1300" w:right="20" w:hanging="202"/>
        <w:spacing w:after="0" w:line="279"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Direct DTC participants include both U.S. and non-U.S. securities brokers and dealers, banks, trust companies, clearing corporations and certain other organizations. Indirect access to the DTC system is also available to others, referred to as “indirect DTC participants,” for example, securities brokers and dealers, banks, trust companies and clearing corporations, that clear through or maintain a custodial relationship with a direct DTC participant, either directly or indirectly.</w:t>
      </w:r>
    </w:p>
    <w:p>
      <w:pPr>
        <w:spacing w:after="0" w:line="63" w:lineRule="exact"/>
        <w:rPr>
          <w:rFonts w:ascii="Arial" w:cs="Arial" w:eastAsia="Arial" w:hAnsi="Arial"/>
          <w:sz w:val="17"/>
          <w:szCs w:val="17"/>
          <w:color w:val="auto"/>
        </w:rPr>
      </w:pPr>
    </w:p>
    <w:p>
      <w:pPr>
        <w:ind w:left="1300" w:right="240" w:hanging="202"/>
        <w:spacing w:after="0" w:line="308"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DTC is owned by The Depository Trust &amp; Clearing Corporation, which is owned by a number of its direct participants and by The New York Stock Exchange, Inc., NYSE Alternext US LLC and the Financial Industry Regulatory Authority, Inc.</w:t>
      </w:r>
    </w:p>
    <w:p>
      <w:pPr>
        <w:spacing w:after="0" w:line="38" w:lineRule="exact"/>
        <w:rPr>
          <w:rFonts w:ascii="Arial" w:cs="Arial" w:eastAsia="Arial" w:hAnsi="Arial"/>
          <w:sz w:val="17"/>
          <w:szCs w:val="17"/>
          <w:color w:val="auto"/>
        </w:rPr>
      </w:pPr>
    </w:p>
    <w:p>
      <w:pPr>
        <w:ind w:left="1300" w:hanging="202"/>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rules applicable to DTC and its direct and indirect participants are on file with the Securities and Exchange Commission.</w:t>
      </w:r>
    </w:p>
    <w:p>
      <w:pPr>
        <w:spacing w:after="0" w:line="154" w:lineRule="exact"/>
        <w:rPr>
          <w:sz w:val="20"/>
          <w:szCs w:val="20"/>
          <w:color w:val="auto"/>
        </w:rPr>
      </w:pPr>
    </w:p>
    <w:p>
      <w:pPr>
        <w:ind w:left="700" w:right="40" w:firstLine="397"/>
        <w:spacing w:after="0" w:line="271" w:lineRule="auto"/>
        <w:rPr>
          <w:sz w:val="20"/>
          <w:szCs w:val="20"/>
          <w:color w:val="auto"/>
        </w:rPr>
      </w:pPr>
      <w:r>
        <w:rPr>
          <w:rFonts w:ascii="Arial" w:cs="Arial" w:eastAsia="Arial" w:hAnsi="Arial"/>
          <w:sz w:val="17"/>
          <w:szCs w:val="17"/>
          <w:color w:val="auto"/>
        </w:rPr>
        <w:t>Purchases of notes under the DTC system must be made by or through direct DTC participants, which will receive a credit for the notes in DTC’s records. The ownership interest of each actual purchaser of notes is in turn to be recorded on the direct and indirect DTC participants’ records. Beneficial owners of the notes will not receive written confirmation from DTC of their purchase, but beneficial owners are expected to receive written confirmations providing details of the transaction, as well as periodic statements of their holdings, from the direct or indirect DTC participant through which the beneficial owner entered into the transaction. Transfers of ownership interests in the notes are to be accomplished by entries made on the books of direct and indirect DTC participants acting on behalf of beneficial owners. Beneficial owners will not receive certificates representing their ownership interests in the notes, except in the event that use of the book-entry system for the notes is discontinued.</w:t>
      </w:r>
    </w:p>
    <w:p>
      <w:pPr>
        <w:spacing w:after="0" w:line="84" w:lineRule="exact"/>
        <w:rPr>
          <w:sz w:val="20"/>
          <w:szCs w:val="20"/>
          <w:color w:val="auto"/>
        </w:rPr>
      </w:pPr>
    </w:p>
    <w:p>
      <w:pPr>
        <w:ind w:left="700" w:right="180" w:firstLine="397"/>
        <w:spacing w:after="0" w:line="273" w:lineRule="auto"/>
        <w:rPr>
          <w:sz w:val="20"/>
          <w:szCs w:val="20"/>
          <w:color w:val="auto"/>
        </w:rPr>
      </w:pPr>
      <w:r>
        <w:rPr>
          <w:rFonts w:ascii="Arial" w:cs="Arial" w:eastAsia="Arial" w:hAnsi="Arial"/>
          <w:sz w:val="17"/>
          <w:szCs w:val="17"/>
          <w:color w:val="auto"/>
        </w:rPr>
        <w:t>To facilitate subsequent transfers, all notes deposited by direct DTC participants are registered in the name of DTC’s partnership nominee, Cede &amp; Co., or such other name as may be requested by an authorized representative of DTC. The deposit of notes with DTC and their registration in the name of Cede &amp; Co. or such other nominee do not effect any change in beneficial ownership. DTC has no knowledge of the actual beneficial owners of the notes; DTC’s records reflect only the identity of the direct DTC participants to whose accounts such notes are credited, which may or may not be the beneficial owners. The direct and indirect DTC participants will remain responsible for keeping account of their holdings on behalf of their customers.</w:t>
      </w:r>
    </w:p>
    <w:p>
      <w:pPr>
        <w:spacing w:after="0" w:line="84"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Conveyance of notices and other communications by DTC to direct DTC participants, by direct DTC participants to indirect DTC participants, and by direct DTC participants and indirect DTC participants to beneficial owners will be governed by arrangements among them, subject to any statutory or regulatory requirements as may be in effect from time to time.</w:t>
      </w:r>
    </w:p>
    <w:p>
      <w:pPr>
        <w:spacing w:after="0" w:line="87" w:lineRule="exact"/>
        <w:rPr>
          <w:sz w:val="20"/>
          <w:szCs w:val="20"/>
          <w:color w:val="auto"/>
        </w:rPr>
      </w:pPr>
    </w:p>
    <w:p>
      <w:pPr>
        <w:jc w:val="both"/>
        <w:ind w:left="700" w:right="180" w:firstLine="397"/>
        <w:spacing w:after="0" w:line="264" w:lineRule="auto"/>
        <w:rPr>
          <w:sz w:val="20"/>
          <w:szCs w:val="20"/>
          <w:color w:val="auto"/>
        </w:rPr>
      </w:pPr>
      <w:r>
        <w:rPr>
          <w:rFonts w:ascii="Arial" w:cs="Arial" w:eastAsia="Arial" w:hAnsi="Arial"/>
          <w:sz w:val="18"/>
          <w:szCs w:val="18"/>
          <w:color w:val="auto"/>
        </w:rPr>
        <w:t>The laws of some jurisdictions may require that certain persons take physical delivery in definitive form of securities which they own. Consequently, those persons may be prohibited from purchasing beneficial interests in the global notes from any beneficial owner or otherwise.</w:t>
      </w:r>
    </w:p>
    <w:p>
      <w:pPr>
        <w:spacing w:after="0" w:line="87" w:lineRule="exact"/>
        <w:rPr>
          <w:sz w:val="20"/>
          <w:szCs w:val="20"/>
          <w:color w:val="auto"/>
        </w:rPr>
      </w:pPr>
    </w:p>
    <w:p>
      <w:pPr>
        <w:ind w:left="700" w:right="140" w:firstLine="397"/>
        <w:spacing w:after="0" w:line="279" w:lineRule="auto"/>
        <w:rPr>
          <w:sz w:val="20"/>
          <w:szCs w:val="20"/>
          <w:color w:val="auto"/>
        </w:rPr>
      </w:pPr>
      <w:r>
        <w:rPr>
          <w:rFonts w:ascii="Arial" w:cs="Arial" w:eastAsia="Arial" w:hAnsi="Arial"/>
          <w:sz w:val="17"/>
          <w:szCs w:val="17"/>
          <w:color w:val="auto"/>
        </w:rPr>
        <w:t>So long as DTC’s nominee is the registered owner of the global notes, such nominee for all purposes will be considered the sole owner or holder of the notes for all purposes under the Indenture. Except as provided below, beneficial owners will not be entitled to have any of the notes registered in their names, will not receive or be entitled to receive physical delivery of the notes in definitive form and will not be considered the owners or holders thereof under the Indenture.</w:t>
      </w:r>
    </w:p>
    <w:p>
      <w:pPr>
        <w:spacing w:after="0" w:line="77"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Neither DTC nor Cede &amp; Co. (nor any other DTC nominee) will consent or vote with respect to the notes. Under its usual procedures, DTC mails an omnibus proxy to the issuer as soon as possible after the record date. The omnibus proxy assigns Cede &amp; Co.’s consenting or voting rights to those direct DTC participants to whose accounts the notes are credited on the record date (identified in a listing attached to the omnibus proxy).</w:t>
      </w:r>
    </w:p>
    <w:p>
      <w:pPr>
        <w:spacing w:after="0" w:line="92" w:lineRule="exact"/>
        <w:rPr>
          <w:sz w:val="20"/>
          <w:szCs w:val="20"/>
          <w:color w:val="auto"/>
        </w:rPr>
      </w:pPr>
    </w:p>
    <w:p>
      <w:pPr>
        <w:ind w:left="700" w:right="660" w:firstLine="397"/>
        <w:spacing w:after="0" w:line="277" w:lineRule="auto"/>
        <w:rPr>
          <w:sz w:val="20"/>
          <w:szCs w:val="20"/>
          <w:color w:val="auto"/>
        </w:rPr>
      </w:pPr>
      <w:r>
        <w:rPr>
          <w:rFonts w:ascii="Arial" w:cs="Arial" w:eastAsia="Arial" w:hAnsi="Arial"/>
          <w:sz w:val="18"/>
          <w:szCs w:val="18"/>
          <w:color w:val="auto"/>
        </w:rPr>
        <w:t>All payments on the global notes will be made to Cede &amp; Co., or such other nominee as may be requested by an authorized representative of DTC. DTC’s practice is to credit direct DTC participants’</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71" w:lineRule="auto"/>
        <w:rPr>
          <w:sz w:val="20"/>
          <w:szCs w:val="20"/>
          <w:color w:val="auto"/>
        </w:rPr>
      </w:pPr>
      <w:r>
        <w:rPr>
          <w:rFonts w:ascii="Arial" w:cs="Arial" w:eastAsia="Arial" w:hAnsi="Arial"/>
          <w:sz w:val="17"/>
          <w:szCs w:val="17"/>
          <w:color w:val="auto"/>
        </w:rPr>
        <w:t>accounts upon DTC’s receipt of funds and corresponding detail information from trustees or issuers on payment dates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the Trustee or us, subject to any statutory or regulatory requirements as may be in effect from time to time. Payment of principal and interest to Cede &amp; Co. (or such other nominee as may be requested by an authorized representative of DTC) shall be the responsibility of the Trustee or us, disbursement of such payments to direct DTC participants shall be the responsibility of DTC, and disbursement of such payments to the beneficial owners shall be the responsibility of direct and indirect DTC participants.</w:t>
      </w:r>
    </w:p>
    <w:p>
      <w:pPr>
        <w:spacing w:after="0" w:line="84"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DTC may discontinue providing its service as securities depositary with respect to the notes at any time by giving reasonable notice to us or the Trustee. In addition, we may decide to discontinue use of the system of book-entry transfers through DTC (or a successor securities depositary). Under those circumstances, in the event that a successor securities depositary is not obtained, note certificates in fully registered form are required to be printed and delivered to beneficial owners of the global notes representing such notes.</w:t>
      </w:r>
    </w:p>
    <w:p>
      <w:pPr>
        <w:spacing w:after="0" w:line="60"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Neither Waste Management, the Trustee nor the underwriters will have any responsibility or obligation to direct DTC participants, or the persons for whom they act as nominees, with respect to the accuracy of the records of DTC, its nominee or any direct DTC participant with respect to any ownership interest in the notes, or payments to, or the providing of notice to direct DTC participants or beneficial owners.</w:t>
      </w:r>
    </w:p>
    <w:p>
      <w:pPr>
        <w:spacing w:after="0" w:line="92" w:lineRule="exact"/>
        <w:rPr>
          <w:sz w:val="20"/>
          <w:szCs w:val="20"/>
          <w:color w:val="auto"/>
        </w:rPr>
      </w:pPr>
    </w:p>
    <w:p>
      <w:pPr>
        <w:ind w:left="700" w:right="440" w:firstLine="397"/>
        <w:spacing w:after="0" w:line="342" w:lineRule="auto"/>
        <w:rPr>
          <w:sz w:val="20"/>
          <w:szCs w:val="20"/>
          <w:color w:val="auto"/>
        </w:rPr>
      </w:pPr>
      <w:r>
        <w:rPr>
          <w:rFonts w:ascii="Arial" w:cs="Arial" w:eastAsia="Arial" w:hAnsi="Arial"/>
          <w:sz w:val="16"/>
          <w:szCs w:val="16"/>
          <w:color w:val="auto"/>
        </w:rPr>
        <w:t>So long as the notes are in DTC’s book-entry system, secondary market trading activity in the notes will settle in immediately available funds. We will make all applicable payments on the notes issued as global notes in immediately available funds.</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Euroclear</w:t>
      </w:r>
    </w:p>
    <w:p>
      <w:pPr>
        <w:spacing w:after="0" w:line="135"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Euroclear was created in 1968 to hold securities for participants of Euroclear and to clear and settle transactions between Euroclear participants through simultaneous electronic book-entry delivery against payment, thus eliminating the need for physical movement of certificates and risk from lack of simultaneous transfers of securities and cash. Euroclear provides various other services, including securities lending and borrowing and interfaces with domestic markets in several countries generally similar to the arrangements for cross-market transfers with DTC.</w:t>
      </w:r>
    </w:p>
    <w:p>
      <w:pPr>
        <w:spacing w:after="0" w:line="94"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Euroclear is operated by the Euroclear Operator under a contract with Euroclear Clearance Systems, S.C., a Belgian cooperative, or the “cooperative.” The Euroclear Operator conducts all operations,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the underwriters of the securities offered by this prospectus supplement or one or more of their affiliates. Indirect access to Euroclear is also available to other firms that clear through or maintain a custodial relationship with a Euroclear participant, either directly or indirectly. Euroclear is an indirect DTC participant.</w:t>
      </w:r>
    </w:p>
    <w:p>
      <w:pPr>
        <w:spacing w:after="0" w:line="83"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The Euroclear Operator is a Belgian bank, which is regulated and examined by the Belgian Banking Commission and the National Bank of Belgium.</w:t>
      </w:r>
    </w:p>
    <w:p>
      <w:pPr>
        <w:spacing w:after="0" w:line="76"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The Terms and Conditions Governing Use of Euroclear, the related Operating Procedures of Euroclear and applicable Belgian law govern securities clearance accounts and cash accounts with the Euroclear Operator. Specifically, these terms and conditions govern transfers of securities and cash within Euroclear, withdrawal of securities and cash from Euroclear and receipts of payments with respect to securities in Euroclear.</w:t>
      </w:r>
    </w:p>
    <w:p>
      <w:pPr>
        <w:spacing w:after="0" w:line="92" w:lineRule="exact"/>
        <w:rPr>
          <w:sz w:val="20"/>
          <w:szCs w:val="20"/>
          <w:color w:val="auto"/>
        </w:rPr>
      </w:pPr>
    </w:p>
    <w:p>
      <w:pPr>
        <w:ind w:left="700" w:right="320" w:firstLine="397"/>
        <w:spacing w:after="0" w:line="277" w:lineRule="auto"/>
        <w:rPr>
          <w:sz w:val="20"/>
          <w:szCs w:val="20"/>
          <w:color w:val="auto"/>
        </w:rPr>
      </w:pPr>
      <w:r>
        <w:rPr>
          <w:rFonts w:ascii="Arial" w:cs="Arial" w:eastAsia="Arial" w:hAnsi="Arial"/>
          <w:sz w:val="18"/>
          <w:szCs w:val="18"/>
          <w:color w:val="auto"/>
        </w:rPr>
        <w:t>All securities in Euroclear are held on a fungible basis without attribution of specific certificates to specific securities clearance accounts. The Euroclear Operator acts under the terms and conditions only on</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behalf of Euroclear participants and has no record of or relationship with persons holding securities through Euroclear participants.</w:t>
      </w:r>
    </w:p>
    <w:p>
      <w:pPr>
        <w:spacing w:after="0" w:line="142" w:lineRule="exact"/>
        <w:rPr>
          <w:sz w:val="20"/>
          <w:szCs w:val="20"/>
          <w:color w:val="auto"/>
        </w:rPr>
      </w:pPr>
    </w:p>
    <w:p>
      <w:pPr>
        <w:ind w:left="700" w:right="400" w:firstLine="397"/>
        <w:spacing w:after="0" w:line="342" w:lineRule="auto"/>
        <w:rPr>
          <w:sz w:val="20"/>
          <w:szCs w:val="20"/>
          <w:color w:val="auto"/>
        </w:rPr>
      </w:pPr>
      <w:r>
        <w:rPr>
          <w:rFonts w:ascii="Arial" w:cs="Arial" w:eastAsia="Arial" w:hAnsi="Arial"/>
          <w:sz w:val="16"/>
          <w:szCs w:val="16"/>
          <w:color w:val="auto"/>
        </w:rPr>
        <w:t>Distributions with respect to the notes held beneficially through Euroclear will be credited to the cash accounts of Euroclear participants in accordance with Euroclear’s terms and conditions, to the extent received by the Euroclear Operator and by Euroclear.</w:t>
      </w:r>
    </w:p>
    <w:p>
      <w:pPr>
        <w:spacing w:after="0" w:line="29"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Euroclear will record the ownership interests of its participants in much the same way as does DTC. If DTC is the depositary for the notes, it will record the total ownership of the notes of the U.S. agent of Euroclear as a participant in DTC. When the notes are to be transferred from the account of a direct DTC participant to the account of a Euroclear participant, the purchaser must send instructions to Euroclear through an Euroclear participant at least one day prior to settlement. Euroclear will instruct its U.S. agent to receive the notes against payment. After settlement, Euroclear will credit its participant’s account with the interest in the notes purchased. Credit for the notes will appear on the next day (European time).</w:t>
      </w:r>
    </w:p>
    <w:p>
      <w:pPr>
        <w:spacing w:after="0" w:line="84" w:lineRule="exact"/>
        <w:rPr>
          <w:sz w:val="20"/>
          <w:szCs w:val="20"/>
          <w:color w:val="auto"/>
        </w:rPr>
      </w:pPr>
    </w:p>
    <w:p>
      <w:pPr>
        <w:ind w:left="700" w:right="140" w:firstLine="397"/>
        <w:spacing w:after="0" w:line="279" w:lineRule="auto"/>
        <w:rPr>
          <w:sz w:val="20"/>
          <w:szCs w:val="20"/>
          <w:color w:val="auto"/>
        </w:rPr>
      </w:pPr>
      <w:r>
        <w:rPr>
          <w:rFonts w:ascii="Arial" w:cs="Arial" w:eastAsia="Arial" w:hAnsi="Arial"/>
          <w:sz w:val="17"/>
          <w:szCs w:val="17"/>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Euroclear participants. The sale proceeds will be available to the DTC seller on the settlement date. As a result, to the direct DTC participant, a cross-market transaction will settle no differently than a trade between two direct DTC participants.</w:t>
      </w:r>
    </w:p>
    <w:p>
      <w:pPr>
        <w:spacing w:after="0" w:line="77"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When a Euroclear participant wishes to transfer the notes to a direct DTC participant, the seller will be required to send instructions to Euroclear through an Euroclear participant at least one business day prior to settlement. In these cases, Euroclear will instruct its U.S. agent to transfer these notes against payment for them. The payment will then be reflected in the account of the Euroclear participant the following day, with the proceeds back-valued to the value date, which would be the preceding day, when settlement occurs in New York. If settlement is not completed on the intended value date, that is, the trade fails, proceeds credited to the Euroclear participant’s account will instead be valued as of the actual settlement date.</w:t>
      </w:r>
    </w:p>
    <w:p>
      <w:pPr>
        <w:spacing w:after="0" w:line="84" w:lineRule="exact"/>
        <w:rPr>
          <w:sz w:val="20"/>
          <w:szCs w:val="20"/>
          <w:color w:val="auto"/>
        </w:rPr>
      </w:pPr>
    </w:p>
    <w:p>
      <w:pPr>
        <w:ind w:left="700" w:right="180" w:firstLine="397"/>
        <w:spacing w:after="0" w:line="302" w:lineRule="auto"/>
        <w:rPr>
          <w:sz w:val="20"/>
          <w:szCs w:val="20"/>
          <w:color w:val="auto"/>
        </w:rPr>
      </w:pPr>
      <w:r>
        <w:rPr>
          <w:rFonts w:ascii="Arial" w:cs="Arial" w:eastAsia="Arial" w:hAnsi="Arial"/>
          <w:sz w:val="16"/>
          <w:szCs w:val="16"/>
          <w:color w:val="auto"/>
        </w:rPr>
        <w:t>You should be aware that you will only be able to make and receive deliveries, payments and other communications involving the notes through Euroclear on the days when Euroclear is open for business. Euroclear may not be open for business on days when banks, brokers and other institutions are open for business in the United States. In addition, because of time zone differences, problems may occur when completing transactions involving Euroclear on the same business day as in the United States.</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Clearstream</w:t>
      </w:r>
    </w:p>
    <w:p>
      <w:pPr>
        <w:spacing w:after="0" w:line="135" w:lineRule="exact"/>
        <w:rPr>
          <w:sz w:val="20"/>
          <w:szCs w:val="20"/>
          <w:color w:val="auto"/>
        </w:rPr>
      </w:pPr>
    </w:p>
    <w:p>
      <w:pPr>
        <w:ind w:left="700" w:right="20" w:firstLine="397"/>
        <w:spacing w:after="0" w:line="271" w:lineRule="auto"/>
        <w:rPr>
          <w:sz w:val="20"/>
          <w:szCs w:val="20"/>
          <w:color w:val="auto"/>
        </w:rPr>
      </w:pPr>
      <w:r>
        <w:rPr>
          <w:rFonts w:ascii="Arial" w:cs="Arial" w:eastAsia="Arial" w:hAnsi="Arial"/>
          <w:sz w:val="17"/>
          <w:szCs w:val="17"/>
          <w:color w:val="auto"/>
        </w:rPr>
        <w:t>Clearstream was incorporated as a limited liability company under Luxembourg law. Clearstream is owned by Cedel International, société anonyme, and Deutsche Börse AG. The shareholders of these two entities are banks, securities dealers and financial institutions. Clearstream holds securities for its customers and facilitates the clearance and settlement of securities transactions between Clearstream customers through electronic book-entry changes in accounts of Clearstream customers, thus eliminating the need for physical movement of certificates. Clearstream provides to its customers, among other things, services for safekeeping, administration, clearance and settlement of internationally traded securities, securities lending and borrowing and collateral management. Clearstream interfaces with domestic markets in a number of countries. Clearstream has established an electronic bridge with the Euroclear Operator to facilitate settlement of trades between Clearstream and Euroclear.</w:t>
      </w:r>
    </w:p>
    <w:p>
      <w:pPr>
        <w:spacing w:after="0" w:line="84" w:lineRule="exact"/>
        <w:rPr>
          <w:sz w:val="20"/>
          <w:szCs w:val="20"/>
          <w:color w:val="auto"/>
        </w:rPr>
      </w:pPr>
    </w:p>
    <w:p>
      <w:pPr>
        <w:ind w:left="700" w:right="120" w:firstLine="397"/>
        <w:spacing w:after="0" w:line="273" w:lineRule="auto"/>
        <w:rPr>
          <w:sz w:val="20"/>
          <w:szCs w:val="20"/>
          <w:color w:val="auto"/>
        </w:rPr>
      </w:pPr>
      <w:r>
        <w:rPr>
          <w:rFonts w:ascii="Arial" w:cs="Arial" w:eastAsia="Arial" w:hAnsi="Arial"/>
          <w:sz w:val="17"/>
          <w:szCs w:val="17"/>
          <w:color w:val="auto"/>
        </w:rPr>
        <w:t>As a registered bank in Luxembourg, Clearstream is subject to regulation by the Luxembourg Commission for the Supervision of the Financial Sector. Clearstream participants are recognized financial institutions around the world, including underwriters, securities brokers and dealers, banks, trust companies and clearing corporations. In the United States, Clearstream participants are limited to securities brokers and dealers and banks, and may include the underwriters of the securities offered by means of this prospectus supplement or one or more of their affiliates. Other institutions that maintain a custodial relationship with a Clearstream participant may obtain indirect access to Clearstream. Clearstream is an indirect DTC participant.</w:t>
      </w:r>
    </w:p>
    <w:p>
      <w:pPr>
        <w:spacing w:after="0" w:line="36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20" w:firstLine="397"/>
        <w:spacing w:after="0" w:line="277" w:lineRule="auto"/>
        <w:rPr>
          <w:sz w:val="20"/>
          <w:szCs w:val="20"/>
          <w:color w:val="auto"/>
        </w:rPr>
      </w:pPr>
      <w:r>
        <w:rPr>
          <w:rFonts w:ascii="Arial" w:cs="Arial" w:eastAsia="Arial" w:hAnsi="Arial"/>
          <w:sz w:val="18"/>
          <w:szCs w:val="18"/>
          <w:color w:val="auto"/>
        </w:rPr>
        <w:t>Distributions with respect to the notes held beneficially through Clearstream will be credited to cash accounts of Clearstream participants in accordance with its rules and procedures, to the extent received by Clearstream.</w:t>
      </w:r>
    </w:p>
    <w:p>
      <w:pPr>
        <w:spacing w:after="0" w:line="76"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Clearstream will record the ownership interests of its participants in much the same way as does DTC. If DTC is the depositary for the notes, it will record the total ownership of the notes of the U.S. agent of Clearstream as a participant in DTC. When the notes are to be transferred from the account of a direct DTC participant to the account of a Clearstream participant, the purchaser must send instructions to Clearstream through a Clearstream participant at least one day prior to settlement. Clearstream will instruct its U.S. agent to receive the notes against payment. After settlement, Clearstream will credit its participant’s account with the interest in the notes. Credit for the notes will appear on the next day (European time).</w:t>
      </w:r>
    </w:p>
    <w:p>
      <w:pPr>
        <w:spacing w:after="0" w:line="84" w:lineRule="exact"/>
        <w:rPr>
          <w:sz w:val="20"/>
          <w:szCs w:val="20"/>
          <w:color w:val="auto"/>
        </w:rPr>
      </w:pPr>
    </w:p>
    <w:p>
      <w:pPr>
        <w:ind w:left="700" w:right="40" w:firstLine="397"/>
        <w:spacing w:after="0" w:line="279" w:lineRule="auto"/>
        <w:rPr>
          <w:sz w:val="20"/>
          <w:szCs w:val="20"/>
          <w:color w:val="auto"/>
        </w:rPr>
      </w:pPr>
      <w:r>
        <w:rPr>
          <w:rFonts w:ascii="Arial" w:cs="Arial" w:eastAsia="Arial" w:hAnsi="Arial"/>
          <w:sz w:val="17"/>
          <w:szCs w:val="17"/>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Clearstream participants. The sale proceeds will be available to the DTC seller on the settlement date. As a result, to the direct DTC participant, a cross-market transaction will settle no differently than a trade between two direct DTC participants.</w:t>
      </w:r>
    </w:p>
    <w:p>
      <w:pPr>
        <w:spacing w:after="0" w:line="77" w:lineRule="exact"/>
        <w:rPr>
          <w:sz w:val="20"/>
          <w:szCs w:val="20"/>
          <w:color w:val="auto"/>
        </w:rPr>
      </w:pPr>
    </w:p>
    <w:p>
      <w:pPr>
        <w:ind w:left="700" w:right="40" w:firstLine="397"/>
        <w:spacing w:after="0" w:line="273" w:lineRule="auto"/>
        <w:rPr>
          <w:sz w:val="20"/>
          <w:szCs w:val="20"/>
          <w:color w:val="auto"/>
        </w:rPr>
      </w:pPr>
      <w:r>
        <w:rPr>
          <w:rFonts w:ascii="Arial" w:cs="Arial" w:eastAsia="Arial" w:hAnsi="Arial"/>
          <w:sz w:val="17"/>
          <w:szCs w:val="17"/>
          <w:color w:val="auto"/>
        </w:rPr>
        <w:t>When a Clearstream participant wishes to transfer the notes to a direct DTC participant, the seller will be required to send instructions to Clearstream through a Clearstream participant at least one business day prior to settlement. In these cases, Clearstream will instruct its U.S. agent to transfer these notes against payment for them. The payment will then be reflected in the account of the Clearstream participant the following day, with the proceeds back-valued to the value date, which would be the preceding day, when settlement occurs in New York. If settlement is not completed on the intended value date, that is, the trade fails, proceeds credited to the Clearstream participant’s account will instead be valued as of the actual settlement date.</w:t>
      </w:r>
    </w:p>
    <w:p>
      <w:pPr>
        <w:spacing w:after="0" w:line="84" w:lineRule="exact"/>
        <w:rPr>
          <w:sz w:val="20"/>
          <w:szCs w:val="20"/>
          <w:color w:val="auto"/>
        </w:rPr>
      </w:pPr>
    </w:p>
    <w:p>
      <w:pPr>
        <w:jc w:val="both"/>
        <w:ind w:left="700" w:right="80" w:firstLine="397"/>
        <w:spacing w:after="0" w:line="302" w:lineRule="auto"/>
        <w:rPr>
          <w:sz w:val="20"/>
          <w:szCs w:val="20"/>
          <w:color w:val="auto"/>
        </w:rPr>
      </w:pPr>
      <w:r>
        <w:rPr>
          <w:rFonts w:ascii="Arial" w:cs="Arial" w:eastAsia="Arial" w:hAnsi="Arial"/>
          <w:sz w:val="16"/>
          <w:szCs w:val="16"/>
          <w:color w:val="auto"/>
        </w:rPr>
        <w:t>You should be aware that you will only be able to make and receive deliveries, payments and other communications involving the notes through Clearstream on the days when Clearstream is open for business. Clearstream may not be open for business on days when banks, brokers and other institutions are open for business in the United States. In addition, because of time zone differences, problems may occur when completing transactions involving Clearstream on the same business day as in the United States.</w:t>
      </w:r>
    </w:p>
    <w:p>
      <w:pPr>
        <w:spacing w:after="0" w:line="3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UNDERWRITING</w:t>
      </w:r>
    </w:p>
    <w:p>
      <w:pPr>
        <w:spacing w:after="0" w:line="135" w:lineRule="exact"/>
        <w:rPr>
          <w:sz w:val="20"/>
          <w:szCs w:val="20"/>
          <w:color w:val="auto"/>
        </w:rPr>
      </w:pPr>
    </w:p>
    <w:p>
      <w:pPr>
        <w:ind w:left="700" w:right="80" w:firstLine="397"/>
        <w:spacing w:after="0" w:line="308" w:lineRule="auto"/>
        <w:rPr>
          <w:sz w:val="20"/>
          <w:szCs w:val="20"/>
          <w:color w:val="auto"/>
        </w:rPr>
      </w:pPr>
      <w:r>
        <w:rPr>
          <w:rFonts w:ascii="Arial" w:cs="Arial" w:eastAsia="Arial" w:hAnsi="Arial"/>
          <w:sz w:val="17"/>
          <w:szCs w:val="17"/>
          <w:color w:val="auto"/>
        </w:rPr>
        <w:t>BNP Paribas Securities Corp., J.P. Morgan Securities Inc., Scotia Capital (USA) Inc. and Wells Fargo Securities, LLC are acting as joint book-running and joint lead managers of the offering and as representatives of the underwriters named below.</w:t>
      </w:r>
    </w:p>
    <w:p>
      <w:pPr>
        <w:spacing w:after="0" w:line="52"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Subject to the terms and conditions stated in the underwriting agreement dated the date of this prospectus supplement, the underwriters named below have severally agreed to purchase, and we have agreed to sell to the underwriters, the principal amount of the notes set forth opposite the respective underwriters’ names.</w:t>
      </w:r>
    </w:p>
    <w:p>
      <w:pPr>
        <w:spacing w:after="0" w:line="7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62"/>
        </w:trPr>
        <w:tc>
          <w:tcPr>
            <w:tcW w:w="5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Underwriters</w:t>
            </w:r>
          </w:p>
        </w:tc>
        <w:tc>
          <w:tcPr>
            <w:tcW w:w="3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1"/>
        </w:trPr>
        <w:tc>
          <w:tcPr>
            <w:tcW w:w="5740" w:type="dxa"/>
            <w:vAlign w:val="bottom"/>
            <w:gridSpan w:val="3"/>
            <w:vMerge w:val="continue"/>
          </w:tcPr>
          <w:p>
            <w:pPr>
              <w:spacing w:after="0"/>
              <w:rPr>
                <w:sz w:val="14"/>
                <w:szCs w:val="14"/>
                <w:color w:val="auto"/>
              </w:rPr>
            </w:pPr>
          </w:p>
        </w:tc>
        <w:tc>
          <w:tcPr>
            <w:tcW w:w="3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Notes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5660" w:type="dxa"/>
            <w:vAlign w:val="bottom"/>
          </w:tcPr>
          <w:p>
            <w:pPr>
              <w:spacing w:after="0"/>
              <w:rPr>
                <w:sz w:val="4"/>
                <w:szCs w:val="4"/>
                <w:color w:val="auto"/>
              </w:rPr>
            </w:pPr>
          </w:p>
        </w:tc>
        <w:tc>
          <w:tcPr>
            <w:tcW w:w="300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3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120,000,000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J.P. Morgan Securities Inc.</w:t>
            </w:r>
          </w:p>
        </w:tc>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120,000,000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Scotia Capital (USA) Inc.</w:t>
            </w:r>
          </w:p>
        </w:tc>
        <w:tc>
          <w:tcPr>
            <w:tcW w:w="3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120,000,000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120,000,000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Calyon Securities (USA) Inc.</w:t>
            </w:r>
          </w:p>
        </w:tc>
        <w:tc>
          <w:tcPr>
            <w:tcW w:w="3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Comerica Securities, Inc.</w:t>
            </w:r>
          </w:p>
        </w:tc>
        <w:tc>
          <w:tcPr>
            <w:tcW w:w="3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Daiwa Securities America Inc.</w:t>
            </w:r>
          </w:p>
        </w:tc>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Goldman, Sachs &amp; Co.</w:t>
            </w:r>
          </w:p>
        </w:tc>
        <w:tc>
          <w:tcPr>
            <w:tcW w:w="3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Mitsubishi UFJ Securities (USA), Inc.</w:t>
            </w:r>
          </w:p>
        </w:tc>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Mizuho Securities USA Inc.</w:t>
            </w:r>
          </w:p>
        </w:tc>
        <w:tc>
          <w:tcPr>
            <w:tcW w:w="3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Morgan Keegan &amp; Company, Inc.</w:t>
            </w:r>
          </w:p>
        </w:tc>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SunTrust Robinson Humphrey, Inc.</w:t>
            </w:r>
          </w:p>
        </w:tc>
        <w:tc>
          <w:tcPr>
            <w:tcW w:w="3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U.S. Bancorp Investments, Inc.</w:t>
            </w:r>
          </w:p>
        </w:tc>
        <w:tc>
          <w:tcPr>
            <w:tcW w:w="30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600,000,000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280" w:firstLine="397"/>
        <w:spacing w:after="0" w:line="264" w:lineRule="auto"/>
        <w:rPr>
          <w:sz w:val="20"/>
          <w:szCs w:val="20"/>
          <w:color w:val="auto"/>
        </w:rPr>
      </w:pPr>
      <w:r>
        <w:rPr>
          <w:rFonts w:ascii="Arial" w:cs="Arial" w:eastAsia="Arial" w:hAnsi="Arial"/>
          <w:sz w:val="18"/>
          <w:szCs w:val="18"/>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87" w:lineRule="exact"/>
        <w:rPr>
          <w:sz w:val="20"/>
          <w:szCs w:val="20"/>
          <w:color w:val="auto"/>
        </w:rPr>
      </w:pPr>
    </w:p>
    <w:p>
      <w:pPr>
        <w:ind w:left="700" w:right="200" w:firstLine="397"/>
        <w:spacing w:after="0" w:line="257" w:lineRule="auto"/>
        <w:rPr>
          <w:sz w:val="20"/>
          <w:szCs w:val="20"/>
          <w:color w:val="auto"/>
        </w:rPr>
      </w:pPr>
      <w:r>
        <w:rPr>
          <w:rFonts w:ascii="Arial" w:cs="Arial" w:eastAsia="Arial" w:hAnsi="Arial"/>
          <w:sz w:val="18"/>
          <w:szCs w:val="18"/>
          <w:color w:val="auto"/>
        </w:rPr>
        <w:t>The underwriters propose to offer the notes directly to the public at the public offering price set forth on the cover page of this prospectus supplement and may offer the notes to dealers at the public offering price less a concession not to exceed 0.50% of the principal amount of the notes. The underwriters may allow, and dealers may reallow, a concession not to exceed 0.25% of the principal amount of the notes on sales to other dealers. After the initial offering of the notes to the public, the representatives may change the public offering price and concessions applicable to the notes.</w:t>
      </w:r>
    </w:p>
    <w:p>
      <w:pPr>
        <w:spacing w:after="0" w:line="94" w:lineRule="exact"/>
        <w:rPr>
          <w:sz w:val="20"/>
          <w:szCs w:val="20"/>
          <w:color w:val="auto"/>
        </w:rPr>
      </w:pPr>
    </w:p>
    <w:p>
      <w:pPr>
        <w:ind w:left="700" w:right="40" w:firstLine="397"/>
        <w:spacing w:after="0" w:line="293" w:lineRule="auto"/>
        <w:rPr>
          <w:sz w:val="20"/>
          <w:szCs w:val="20"/>
          <w:color w:val="auto"/>
        </w:rPr>
      </w:pPr>
      <w:r>
        <w:rPr>
          <w:rFonts w:ascii="Arial" w:cs="Arial" w:eastAsia="Arial" w:hAnsi="Arial"/>
          <w:sz w:val="16"/>
          <w:szCs w:val="16"/>
          <w:color w:val="auto"/>
        </w:rPr>
        <w:t>In connection with the offering, the representatives, on behalf of the underwriters, may purchase and sell notes in the open market. These transactions may include over-allotment, syndicate covering transactions and stabilizing transactions. Over-allotment involves syndicate sales of notes in excess of the principal amount of notes to be purchased by the underwriters in the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the offering is in progress.</w:t>
      </w:r>
    </w:p>
    <w:p>
      <w:pPr>
        <w:spacing w:after="0" w:line="70" w:lineRule="exact"/>
        <w:rPr>
          <w:sz w:val="20"/>
          <w:szCs w:val="20"/>
          <w:color w:val="auto"/>
        </w:rPr>
      </w:pPr>
    </w:p>
    <w:p>
      <w:pPr>
        <w:ind w:left="700" w:right="440" w:firstLine="397"/>
        <w:spacing w:after="0" w:line="264" w:lineRule="auto"/>
        <w:rPr>
          <w:sz w:val="20"/>
          <w:szCs w:val="20"/>
          <w:color w:val="auto"/>
        </w:rPr>
      </w:pPr>
      <w:r>
        <w:rPr>
          <w:rFonts w:ascii="Arial" w:cs="Arial" w:eastAsia="Arial" w:hAnsi="Arial"/>
          <w:sz w:val="18"/>
          <w:szCs w:val="18"/>
          <w:color w:val="auto"/>
        </w:rPr>
        <w:t>The underwriters also may impose a penalty bid.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87"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Any of these activities may have the effect of preventing or retarding a decline in the market price of the notes. They may also cause the price of the notes to be higher than the price that otherwise would exist in the open market in the absence of these transactions. The underwriters may conduct these transactions in the</w:t>
      </w:r>
    </w:p>
    <w:p>
      <w:pPr>
        <w:spacing w:after="0" w:line="3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over-the-counter market or otherwise. If the underwriters commence any of these transactions, they may discontinue them at any time.</w:t>
      </w:r>
    </w:p>
    <w:p>
      <w:pPr>
        <w:spacing w:after="0" w:line="15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estimate that our total expenses for this offering will be $650,000.</w:t>
      </w:r>
    </w:p>
    <w:p>
      <w:pPr>
        <w:spacing w:after="0" w:line="131" w:lineRule="exact"/>
        <w:rPr>
          <w:sz w:val="20"/>
          <w:szCs w:val="20"/>
          <w:color w:val="auto"/>
        </w:rPr>
      </w:pPr>
    </w:p>
    <w:p>
      <w:pPr>
        <w:ind w:left="700" w:right="460" w:firstLine="397"/>
        <w:spacing w:after="0" w:line="342" w:lineRule="auto"/>
        <w:rPr>
          <w:sz w:val="20"/>
          <w:szCs w:val="20"/>
          <w:color w:val="auto"/>
        </w:rPr>
      </w:pPr>
      <w:r>
        <w:rPr>
          <w:rFonts w:ascii="Arial" w:cs="Arial" w:eastAsia="Arial" w:hAnsi="Arial"/>
          <w:sz w:val="16"/>
          <w:szCs w:val="16"/>
          <w:color w:val="auto"/>
        </w:rPr>
        <w:t>We have agreed that we will not offer to sell any of our debt securities (other than the notes, bank borrowings and commercial paper) for a period of 30 days after the date of this prospectus supplement without the prior written consent of the representatives.</w:t>
      </w:r>
    </w:p>
    <w:p>
      <w:pPr>
        <w:spacing w:after="0" w:line="29"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or to contribute to payments the underwriters may be required to make because of any of those liabilities.</w:t>
      </w:r>
    </w:p>
    <w:p>
      <w:pPr>
        <w:spacing w:after="0" w:line="76" w:lineRule="exact"/>
        <w:rPr>
          <w:sz w:val="20"/>
          <w:szCs w:val="20"/>
          <w:color w:val="auto"/>
        </w:rPr>
      </w:pPr>
    </w:p>
    <w:p>
      <w:pPr>
        <w:ind w:left="700" w:right="20" w:firstLine="397"/>
        <w:spacing w:after="0" w:line="285"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Directive (each, a “Relevant Member State”), each underwriter has represented and agreed that, with effect from and including the date on which the Prospectus Directive is implemented in the Relevant Member State (the “Relevant Implementation Date”), it has not made and will not make an offer of notes to the public in that Relevant Member State prior to the publication of a prospectus in relation to the notes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notes to the public in that Relevant Member State at any time: (a) to legal entities which are authorized or regulated to operate in the financial markets or, if not so authorized or regulated, whose corporate purpose is solely to invest in securities; (b) to any legal entity which has two or more of (1) an average of at least 250 employees during the last financial year, (2) a total balance sheet of more than €43,000,000 and (3) an annual net turnover of more than €50,000,000, as shown in its last annual or consolidated accounts; (c) to fewer than 100 natural or legal persons (other than qualified investors as defined in the Prospective Directive) subject to obtaining the prior consent of the manager for any such offer; or (d) in any other circumstances which do not require the publication by us of a prospectus pursuant to Article 3 of the Prospectus Directive. For the purposes of this provision, the term “offer of notes to the public” in relation to any notes in any Relevant Member State means the communication in any form and by any means of sufficient information of the terms of the offer and the notes to be offered so as to enable an investor to decide to purchase or subscribe for notes, as the same may be varied in that Relevant Member State by any measure implementing the Prospectus Directive in that Relevant Member State and the term “Prospectus Directive” means Directive 2003/71/EC and includes any relevant implementing measure in each Relevant Member State.</w:t>
      </w:r>
    </w:p>
    <w:p>
      <w:pPr>
        <w:spacing w:after="0" w:line="78" w:lineRule="exact"/>
        <w:rPr>
          <w:sz w:val="20"/>
          <w:szCs w:val="20"/>
          <w:color w:val="auto"/>
        </w:rPr>
      </w:pPr>
    </w:p>
    <w:p>
      <w:pPr>
        <w:ind w:left="700" w:right="20" w:firstLine="397"/>
        <w:spacing w:after="0" w:line="297" w:lineRule="auto"/>
        <w:rPr>
          <w:sz w:val="20"/>
          <w:szCs w:val="20"/>
          <w:color w:val="auto"/>
        </w:rPr>
      </w:pPr>
      <w:r>
        <w:rPr>
          <w:rFonts w:ascii="Arial" w:cs="Arial" w:eastAsia="Arial" w:hAnsi="Arial"/>
          <w:sz w:val="16"/>
          <w:szCs w:val="16"/>
          <w:color w:val="auto"/>
        </w:rPr>
        <w:t>Each underwriter has also agreed that: (i) it has complied and will comply with all applicable provisions of the Financial Services and Markets Act 2000, as amended (“FSMA”), with respect to anything done by it in relation to the notes in, from or otherwise involving the United Kingdom; and (ii) it has only communicated, or caused to be communicated, and will only communicate, or cause to be communicated, an invitation or inducement to engage in investment activity (within the meaning of Section 21 of the FSMA) received by it in connection with the issue or sale of the notes in circumstances in which Section 21(1) of the FMSA does not apply to us.</w:t>
      </w:r>
    </w:p>
    <w:p>
      <w:pPr>
        <w:spacing w:after="0" w:line="64" w:lineRule="exact"/>
        <w:rPr>
          <w:sz w:val="20"/>
          <w:szCs w:val="20"/>
          <w:color w:val="auto"/>
        </w:rPr>
      </w:pPr>
    </w:p>
    <w:p>
      <w:pPr>
        <w:ind w:left="700" w:right="100" w:firstLine="397"/>
        <w:spacing w:after="0" w:line="286" w:lineRule="auto"/>
        <w:rPr>
          <w:sz w:val="20"/>
          <w:szCs w:val="20"/>
          <w:color w:val="auto"/>
        </w:rPr>
      </w:pPr>
      <w:r>
        <w:rPr>
          <w:rFonts w:ascii="Arial" w:cs="Arial" w:eastAsia="Arial" w:hAnsi="Arial"/>
          <w:sz w:val="17"/>
          <w:szCs w:val="17"/>
          <w:color w:val="auto"/>
        </w:rPr>
        <w:t>Daiwa Securities America Inc. (“DSA”) has entered into an agreement with SMBC Securities, Inc. (“SMBCSI”) pursuant to which SMBCSI provides certain advisory and/or other services to DSA, including services with respect to this offering. In return for the provision of such services by SMBCSI to DSA, DSA will pay to SMBCSI a mutually agreed-upon fee.</w:t>
      </w:r>
    </w:p>
    <w:p>
      <w:pPr>
        <w:spacing w:after="0" w:line="71"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Certain of the underwriters and their respective affiliates have, from time to time, performed, and may in the future perform, various financial advisory and investment banking services for us, for which they have received or will receive customary fees and expense reimbursements.</w:t>
      </w:r>
    </w:p>
    <w:p>
      <w:pPr>
        <w:spacing w:after="0" w:line="3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LEGAL MATTERS</w:t>
      </w:r>
    </w:p>
    <w:p>
      <w:pPr>
        <w:spacing w:after="0" w:line="135"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Certain legal matters in connection with the notes offered hereby will be passed upon for us by Baker Botts L.L.P., Houston, Texas, and for the underwriters by Vinson &amp; Elkins L.L.P., Houston, Texas. Vinson &amp; Elkins L.L.P. represents us from time to time in matters unrelated to this offering.</w:t>
      </w:r>
    </w:p>
    <w:p>
      <w:pPr>
        <w:spacing w:after="0" w:line="29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EXPERTS</w:t>
      </w:r>
    </w:p>
    <w:p>
      <w:pPr>
        <w:spacing w:after="0" w:line="135"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The consolidated financial statements of Waste Management, Inc. appearing in Waste Management, Inc.’s Annual Report (Form 10-K) for the year ended December 31, 2008 including the schedule appearing therein, and the effectiveness of Waste Management’s internal control over financial reporting as of December 31, 2008,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38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231775</wp:posOffset>
            </wp:positionV>
            <wp:extent cx="1380490" cy="4718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8049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819"/>
        <w:spacing w:after="0"/>
        <w:rPr>
          <w:sz w:val="20"/>
          <w:szCs w:val="20"/>
          <w:color w:val="auto"/>
        </w:rPr>
      </w:pPr>
      <w:r>
        <w:rPr>
          <w:rFonts w:ascii="Arial" w:cs="Arial" w:eastAsia="Arial" w:hAnsi="Arial"/>
          <w:sz w:val="43"/>
          <w:szCs w:val="43"/>
          <w:b w:val="1"/>
          <w:bCs w:val="1"/>
          <w:color w:val="auto"/>
        </w:rPr>
        <w:t>WASTE MANAGEMENT, INC.</w:t>
      </w:r>
    </w:p>
    <w:p>
      <w:pPr>
        <w:spacing w:after="0" w:line="147"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DEBT SECURITIES</w:t>
      </w:r>
    </w:p>
    <w:p>
      <w:pPr>
        <w:spacing w:after="0" w:line="38"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COMMON STOCK</w:t>
      </w:r>
    </w:p>
    <w:p>
      <w:pPr>
        <w:spacing w:after="0" w:line="10"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GUARANTEES</w:t>
      </w:r>
    </w:p>
    <w:p>
      <w:pPr>
        <w:spacing w:after="0" w:line="10"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UNITS</w:t>
      </w:r>
    </w:p>
    <w:p>
      <w:pPr>
        <w:spacing w:after="0" w:line="112" w:lineRule="exact"/>
        <w:rPr>
          <w:sz w:val="20"/>
          <w:szCs w:val="20"/>
          <w:color w:val="auto"/>
        </w:rPr>
      </w:pPr>
    </w:p>
    <w:p>
      <w:pPr>
        <w:ind w:left="700" w:right="400" w:firstLine="397"/>
        <w:spacing w:after="0" w:line="277" w:lineRule="auto"/>
        <w:rPr>
          <w:sz w:val="20"/>
          <w:szCs w:val="20"/>
          <w:color w:val="auto"/>
        </w:rPr>
      </w:pPr>
      <w:r>
        <w:rPr>
          <w:rFonts w:ascii="Arial" w:cs="Arial" w:eastAsia="Arial" w:hAnsi="Arial"/>
          <w:sz w:val="18"/>
          <w:szCs w:val="18"/>
          <w:color w:val="auto"/>
        </w:rPr>
        <w:t>We or selling securityholders may from time to time offer to sell the securities listed above in one or more classes or series in amounts, at prices and on terms that will be determined at the time of the offering.</w:t>
      </w:r>
    </w:p>
    <w:p>
      <w:pPr>
        <w:spacing w:after="0" w:line="76" w:lineRule="exact"/>
        <w:rPr>
          <w:sz w:val="20"/>
          <w:szCs w:val="20"/>
          <w:color w:val="auto"/>
        </w:rPr>
      </w:pPr>
    </w:p>
    <w:p>
      <w:pPr>
        <w:jc w:val="both"/>
        <w:ind w:left="700" w:firstLine="397"/>
        <w:spacing w:after="0" w:line="264" w:lineRule="auto"/>
        <w:rPr>
          <w:sz w:val="20"/>
          <w:szCs w:val="20"/>
          <w:color w:val="auto"/>
        </w:rPr>
      </w:pPr>
      <w:r>
        <w:rPr>
          <w:rFonts w:ascii="Arial" w:cs="Arial" w:eastAsia="Arial" w:hAnsi="Arial"/>
          <w:sz w:val="18"/>
          <w:szCs w:val="18"/>
          <w:color w:val="auto"/>
        </w:rPr>
        <w:t>Each time we or a selling securityholder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common stock is listed on the New York Stock Exchange under the symbol “WM.”</w:t>
      </w:r>
    </w:p>
    <w:p>
      <w:pPr>
        <w:spacing w:after="0" w:line="118" w:lineRule="exact"/>
        <w:rPr>
          <w:sz w:val="20"/>
          <w:szCs w:val="20"/>
          <w:color w:val="auto"/>
        </w:rPr>
      </w:pPr>
    </w:p>
    <w:p>
      <w:pPr>
        <w:jc w:val="both"/>
        <w:ind w:left="700" w:right="360" w:firstLine="496"/>
        <w:spacing w:after="0" w:line="301" w:lineRule="auto"/>
        <w:rPr>
          <w:sz w:val="20"/>
          <w:szCs w:val="20"/>
          <w:color w:val="auto"/>
        </w:rPr>
      </w:pPr>
      <w:r>
        <w:rPr>
          <w:rFonts w:ascii="Arial" w:cs="Arial" w:eastAsia="Arial" w:hAnsi="Arial"/>
          <w:sz w:val="19"/>
          <w:szCs w:val="19"/>
          <w:b w:val="1"/>
          <w:bCs w:val="1"/>
          <w:color w:val="auto"/>
        </w:rPr>
        <w:t>Investing in our securities involves risks. See “Risk Factors” on page 5 of this prospectus, the risk factors included in our periodic reports that we file with the Securities Exchange Commission and the applicable prospectus supplement before you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113030</wp:posOffset>
            </wp:positionV>
            <wp:extent cx="11322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387" w:lineRule="exact"/>
        <w:rPr>
          <w:sz w:val="20"/>
          <w:szCs w:val="20"/>
          <w:color w:val="auto"/>
        </w:rPr>
      </w:pPr>
    </w:p>
    <w:p>
      <w:pPr>
        <w:ind w:left="700" w:right="480" w:firstLine="397"/>
        <w:spacing w:after="0" w:line="342" w:lineRule="auto"/>
        <w:rPr>
          <w:sz w:val="20"/>
          <w:szCs w:val="20"/>
          <w:color w:val="auto"/>
        </w:rPr>
      </w:pPr>
      <w:r>
        <w:rPr>
          <w:rFonts w:ascii="Arial" w:cs="Arial" w:eastAsia="Arial" w:hAnsi="Arial"/>
          <w:sz w:val="16"/>
          <w:szCs w:val="16"/>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96520</wp:posOffset>
            </wp:positionV>
            <wp:extent cx="11322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This prospectus is dated September 22,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240" w:top="419" w:right="1159" w:bottom="1440" w:gutter="0" w:footer="0" w:header="0"/>
        </w:sectPr>
      </w:pPr>
    </w:p>
    <w:bookmarkStart w:id="31" w:name="page32"/>
    <w:bookmarkEnd w:id="31"/>
    <w:p>
      <w:pPr>
        <w:ind w:right="40" w:firstLine="397"/>
        <w:spacing w:after="0" w:line="261" w:lineRule="auto"/>
        <w:rPr>
          <w:sz w:val="20"/>
          <w:szCs w:val="20"/>
          <w:color w:val="auto"/>
        </w:rPr>
      </w:pPr>
      <w:r>
        <w:rPr>
          <w:rFonts w:ascii="Arial" w:cs="Arial" w:eastAsia="Arial" w:hAnsi="Arial"/>
          <w:sz w:val="18"/>
          <w:szCs w:val="18"/>
          <w:b w:val="1"/>
          <w:bCs w:val="1"/>
          <w:color w:val="auto"/>
        </w:rPr>
        <w:t>If you are in a jurisdiction where offers to sell, or solicitations of offers to purchase, the securities offered by this document are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60" w:type="dxa"/>
            <w:vAlign w:val="bottom"/>
          </w:tcPr>
          <w:p>
            <w:pPr>
              <w:jc w:val="right"/>
              <w:ind w:right="3850"/>
              <w:spacing w:after="0"/>
              <w:rPr>
                <w:sz w:val="20"/>
                <w:szCs w:val="20"/>
                <w:color w:val="auto"/>
              </w:rPr>
            </w:pPr>
            <w:r>
              <w:rPr>
                <w:rFonts w:ascii="Arial" w:cs="Arial" w:eastAsia="Arial" w:hAnsi="Arial"/>
                <w:sz w:val="18"/>
                <w:szCs w:val="18"/>
                <w:b w:val="1"/>
                <w:bCs w:val="1"/>
                <w:color w:val="auto"/>
              </w:rPr>
              <w:t>TABLE OF CONTENTS</w:t>
            </w:r>
          </w:p>
        </w:tc>
      </w:tr>
      <w:tr>
        <w:trPr>
          <w:trHeight w:val="419"/>
        </w:trPr>
        <w:tc>
          <w:tcPr>
            <w:tcW w:w="380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Forward-Looking Statements</w:t>
              </w:r>
            </w:hyperlink>
          </w:p>
        </w:tc>
        <w:tc>
          <w:tcPr>
            <w:tcW w:w="60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6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About This Prospectus</w:t>
              </w:r>
            </w:hyperlink>
          </w:p>
        </w:tc>
        <w:tc>
          <w:tcPr>
            <w:tcW w:w="460" w:type="dxa"/>
            <w:vAlign w:val="bottom"/>
            <w:tcBorders>
              <w:top w:val="single" w:sz="8" w:color="0000EE"/>
            </w:tcBorders>
            <w:gridSpan w:val="4"/>
          </w:tcPr>
          <w:p>
            <w:pPr>
              <w:spacing w:after="0"/>
              <w:rPr>
                <w:sz w:val="17"/>
                <w:szCs w:val="17"/>
                <w:color w:val="auto"/>
              </w:rPr>
            </w:pPr>
          </w:p>
        </w:tc>
        <w:tc>
          <w:tcPr>
            <w:tcW w:w="1700" w:type="dxa"/>
            <w:vAlign w:val="bottom"/>
            <w:gridSpan w:val="6"/>
          </w:tcPr>
          <w:p>
            <w:pPr>
              <w:spacing w:after="0"/>
              <w:rPr>
                <w:sz w:val="17"/>
                <w:szCs w:val="17"/>
                <w:color w:val="auto"/>
              </w:rPr>
            </w:pPr>
          </w:p>
        </w:tc>
        <w:tc>
          <w:tcPr>
            <w:tcW w:w="60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3800" w:type="dxa"/>
            <w:vAlign w:val="bottom"/>
            <w:gridSpan w:val="17"/>
          </w:tcPr>
          <w:p>
            <w:pPr>
              <w:spacing w:after="0" w:line="196" w:lineRule="exact"/>
              <w:rPr>
                <w:rFonts w:ascii="Arial" w:cs="Arial" w:eastAsia="Arial" w:hAnsi="Arial"/>
                <w:sz w:val="18"/>
                <w:szCs w:val="18"/>
                <w:color w:val="0000EE"/>
                <w:w w:val="95"/>
              </w:rPr>
            </w:pPr>
            <w:hyperlink w:anchor="page14">
              <w:r>
                <w:rPr>
                  <w:rFonts w:ascii="Arial" w:cs="Arial" w:eastAsia="Arial" w:hAnsi="Arial"/>
                  <w:sz w:val="18"/>
                  <w:szCs w:val="18"/>
                  <w:color w:val="0000EE"/>
                  <w:w w:val="95"/>
                </w:rPr>
                <w:t>Incorporation of Certain Documents by Reference</w:t>
              </w:r>
            </w:hyperlink>
          </w:p>
        </w:tc>
        <w:tc>
          <w:tcPr>
            <w:tcW w:w="60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8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w:anchor="page15">
              <w:r>
                <w:rPr>
                  <w:rFonts w:ascii="Arial" w:cs="Arial" w:eastAsia="Arial" w:hAnsi="Arial"/>
                  <w:sz w:val="18"/>
                  <w:szCs w:val="18"/>
                  <w:color w:val="0000EE"/>
                  <w:w w:val="91"/>
                </w:rPr>
                <w:t>Where You Can Find More Information</w:t>
              </w:r>
            </w:hyperlink>
          </w:p>
        </w:tc>
        <w:tc>
          <w:tcPr>
            <w:tcW w:w="74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60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02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The Company</w:t>
              </w:r>
            </w:hyperlink>
          </w:p>
        </w:tc>
        <w:tc>
          <w:tcPr>
            <w:tcW w:w="2780" w:type="dxa"/>
            <w:vAlign w:val="bottom"/>
            <w:gridSpan w:val="13"/>
          </w:tcPr>
          <w:p>
            <w:pPr>
              <w:spacing w:after="0"/>
              <w:rPr>
                <w:sz w:val="17"/>
                <w:szCs w:val="17"/>
                <w:color w:val="auto"/>
              </w:rPr>
            </w:pPr>
          </w:p>
        </w:tc>
        <w:tc>
          <w:tcPr>
            <w:tcW w:w="60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Risk Factors</w:t>
              </w:r>
            </w:hyperlink>
          </w:p>
        </w:tc>
        <w:tc>
          <w:tcPr>
            <w:tcW w:w="2900" w:type="dxa"/>
            <w:vAlign w:val="bottom"/>
            <w:gridSpan w:val="15"/>
          </w:tcPr>
          <w:p>
            <w:pPr>
              <w:spacing w:after="0"/>
              <w:rPr>
                <w:sz w:val="17"/>
                <w:szCs w:val="17"/>
                <w:color w:val="auto"/>
              </w:rPr>
            </w:pPr>
          </w:p>
        </w:tc>
        <w:tc>
          <w:tcPr>
            <w:tcW w:w="60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54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Ratio of Earnings to Fixed Charges</w:t>
              </w:r>
            </w:hyperlink>
          </w:p>
        </w:tc>
        <w:tc>
          <w:tcPr>
            <w:tcW w:w="1260" w:type="dxa"/>
            <w:vAlign w:val="bottom"/>
            <w:gridSpan w:val="3"/>
          </w:tcPr>
          <w:p>
            <w:pPr>
              <w:spacing w:after="0"/>
              <w:rPr>
                <w:sz w:val="17"/>
                <w:szCs w:val="17"/>
                <w:color w:val="auto"/>
              </w:rPr>
            </w:pPr>
          </w:p>
        </w:tc>
        <w:tc>
          <w:tcPr>
            <w:tcW w:w="60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3800" w:type="dxa"/>
            <w:vAlign w:val="bottom"/>
            <w:gridSpan w:val="17"/>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Use of Proceeds</w:t>
              </w:r>
            </w:hyperlink>
          </w:p>
        </w:tc>
        <w:tc>
          <w:tcPr>
            <w:tcW w:w="60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196"/>
        </w:trPr>
        <w:tc>
          <w:tcPr>
            <w:tcW w:w="3800" w:type="dxa"/>
            <w:vAlign w:val="bottom"/>
            <w:gridSpan w:val="17"/>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Description of the Debt Securities</w:t>
              </w:r>
            </w:hyperlink>
          </w:p>
        </w:tc>
        <w:tc>
          <w:tcPr>
            <w:tcW w:w="60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24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Description of Guarantees</w:t>
              </w:r>
            </w:hyperlink>
          </w:p>
        </w:tc>
        <w:tc>
          <w:tcPr>
            <w:tcW w:w="1360" w:type="dxa"/>
            <w:vAlign w:val="bottom"/>
            <w:gridSpan w:val="4"/>
          </w:tcPr>
          <w:p>
            <w:pPr>
              <w:spacing w:after="0"/>
              <w:rPr>
                <w:sz w:val="17"/>
                <w:szCs w:val="17"/>
                <w:color w:val="auto"/>
              </w:rPr>
            </w:pPr>
          </w:p>
        </w:tc>
        <w:tc>
          <w:tcPr>
            <w:tcW w:w="60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196"/>
        </w:trPr>
        <w:tc>
          <w:tcPr>
            <w:tcW w:w="3800" w:type="dxa"/>
            <w:vAlign w:val="bottom"/>
            <w:gridSpan w:val="17"/>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Description of Capital Stock</w:t>
              </w:r>
            </w:hyperlink>
          </w:p>
        </w:tc>
        <w:tc>
          <w:tcPr>
            <w:tcW w:w="60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196"/>
        </w:trPr>
        <w:tc>
          <w:tcPr>
            <w:tcW w:w="224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Description of Other Securities</w:t>
              </w:r>
            </w:hyperlink>
          </w:p>
        </w:tc>
        <w:tc>
          <w:tcPr>
            <w:tcW w:w="1560" w:type="dxa"/>
            <w:vAlign w:val="bottom"/>
            <w:gridSpan w:val="5"/>
          </w:tcPr>
          <w:p>
            <w:pPr>
              <w:spacing w:after="0"/>
              <w:rPr>
                <w:sz w:val="17"/>
                <w:szCs w:val="17"/>
                <w:color w:val="auto"/>
              </w:rPr>
            </w:pPr>
          </w:p>
        </w:tc>
        <w:tc>
          <w:tcPr>
            <w:tcW w:w="60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3800" w:type="dxa"/>
            <w:vAlign w:val="bottom"/>
            <w:gridSpan w:val="17"/>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Plan of Distribution</w:t>
              </w:r>
            </w:hyperlink>
          </w:p>
        </w:tc>
        <w:tc>
          <w:tcPr>
            <w:tcW w:w="60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120" w:type="dxa"/>
            <w:vAlign w:val="bottom"/>
            <w:gridSpan w:val="9"/>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196"/>
        </w:trPr>
        <w:tc>
          <w:tcPr>
            <w:tcW w:w="16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Selling Securityholders</w:t>
              </w:r>
            </w:hyperlink>
          </w:p>
        </w:tc>
        <w:tc>
          <w:tcPr>
            <w:tcW w:w="2120" w:type="dxa"/>
            <w:vAlign w:val="bottom"/>
            <w:gridSpan w:val="9"/>
          </w:tcPr>
          <w:p>
            <w:pPr>
              <w:spacing w:after="0"/>
              <w:rPr>
                <w:sz w:val="17"/>
                <w:szCs w:val="17"/>
                <w:color w:val="auto"/>
              </w:rPr>
            </w:pPr>
          </w:p>
        </w:tc>
        <w:tc>
          <w:tcPr>
            <w:tcW w:w="60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00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Legal Matters</w:t>
              </w:r>
            </w:hyperlink>
          </w:p>
        </w:tc>
        <w:tc>
          <w:tcPr>
            <w:tcW w:w="2800" w:type="dxa"/>
            <w:vAlign w:val="bottom"/>
            <w:gridSpan w:val="14"/>
          </w:tcPr>
          <w:p>
            <w:pPr>
              <w:spacing w:after="0"/>
              <w:rPr>
                <w:sz w:val="17"/>
                <w:szCs w:val="17"/>
                <w:color w:val="auto"/>
              </w:rPr>
            </w:pPr>
          </w:p>
        </w:tc>
        <w:tc>
          <w:tcPr>
            <w:tcW w:w="60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3800" w:type="dxa"/>
            <w:vAlign w:val="bottom"/>
            <w:gridSpan w:val="17"/>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Experts</w:t>
              </w:r>
            </w:hyperlink>
          </w:p>
        </w:tc>
        <w:tc>
          <w:tcPr>
            <w:tcW w:w="60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35" w:lineRule="exact"/>
        <w:rPr>
          <w:sz w:val="20"/>
          <w:szCs w:val="20"/>
          <w:color w:val="auto"/>
        </w:rPr>
      </w:pPr>
    </w:p>
    <w:p>
      <w:pPr>
        <w:ind w:right="140" w:firstLine="397"/>
        <w:spacing w:after="0" w:line="291" w:lineRule="auto"/>
        <w:rPr>
          <w:sz w:val="20"/>
          <w:szCs w:val="20"/>
          <w:color w:val="auto"/>
        </w:rPr>
      </w:pPr>
      <w:r>
        <w:rPr>
          <w:rFonts w:ascii="Arial" w:cs="Arial" w:eastAsia="Arial" w:hAnsi="Arial"/>
          <w:sz w:val="16"/>
          <w:szCs w:val="16"/>
          <w:color w:val="auto"/>
        </w:rPr>
        <w:t>This prospectus and the documents incorporated by reference into this prospectus contain forward-looking statements within the meaning of Section 27A of the Securities Act and Section 21E of the Securities Exchange Act of 1934, as amended (the “Exchange Act”). All statements, other than statements of historical facts, included or incorporated herein regarding our strategy, future operations, financial position, future revenues, projected costs, prospects, plans and objectives are forward-looking statements. In some cases, you can identify forward-looking statements by terminology such as “anticipates,” “believes,” “estimates,” “expects,” “intends,” “may,” “plans,” “projects,” “will,” “would,” and similar expressions or expressions or the negative of these terms. Such statements are only predictions and, accordingly, are subject to substantial risks, uncertainties and assumptions.</w:t>
      </w:r>
    </w:p>
    <w:p>
      <w:pPr>
        <w:spacing w:after="0" w:line="73" w:lineRule="exact"/>
        <w:rPr>
          <w:sz w:val="20"/>
          <w:szCs w:val="20"/>
          <w:color w:val="auto"/>
        </w:rPr>
      </w:pPr>
    </w:p>
    <w:p>
      <w:pPr>
        <w:ind w:right="80" w:firstLine="397"/>
        <w:spacing w:after="0" w:line="286" w:lineRule="auto"/>
        <w:rPr>
          <w:sz w:val="20"/>
          <w:szCs w:val="20"/>
          <w:color w:val="auto"/>
        </w:rPr>
      </w:pPr>
      <w:r>
        <w:rPr>
          <w:rFonts w:ascii="Arial" w:cs="Arial" w:eastAsia="Arial" w:hAnsi="Arial"/>
          <w:sz w:val="16"/>
          <w:szCs w:val="16"/>
          <w:color w:val="auto"/>
        </w:rPr>
        <w:t>Many factors could affect our actual results, and variances from our current expectations regarding these factors could cause actual results to differ materially from those expressed in our forward-looking statements. We presently consider the factors set forth below to be important factors that could cause actual results to differ materially from our published expectations. A more detailed discussion of these factors, as well as other factors that could affect our results, is contained under the heading “Risk Factors” in our report on</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Form 10-K for the year ended December 31, 2008. However, management cannot predict all factors, or combinations of factors, that may cause actual results to differ materially from those projected in any forward-looking statements. Factors that we currently believe could cause our results to be different from our expectations include:</w:t>
      </w:r>
    </w:p>
    <w:p>
      <w:pPr>
        <w:spacing w:after="0" w:line="96" w:lineRule="exact"/>
        <w:rPr>
          <w:sz w:val="20"/>
          <w:szCs w:val="20"/>
          <w:color w:val="auto"/>
        </w:rPr>
      </w:pPr>
    </w:p>
    <w:p>
      <w:pPr>
        <w:ind w:left="600" w:hanging="202"/>
        <w:spacing w:after="0" w:line="342" w:lineRule="auto"/>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continued volatility and further deterioration in the credit markets, inflation, higher interest rates and other general and local economic conditions may negatively affect the volumes of waste generated, our liquidity, our financing costs and other expenses;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1" w:right="10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hanging="202"/>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economic conditions may negatively affect parties with whom we do business, which could result in late payments or the uncollectability of receivables as well as the non-performance of certain agreements, including expected funding under our credit agreement, which could negatively impact our liquidity and results of operations;</w:t>
      </w:r>
    </w:p>
    <w:p>
      <w:pPr>
        <w:spacing w:after="0" w:line="73" w:lineRule="exact"/>
        <w:rPr>
          <w:rFonts w:ascii="Arial" w:cs="Arial" w:eastAsia="Arial" w:hAnsi="Arial"/>
          <w:sz w:val="18"/>
          <w:szCs w:val="18"/>
          <w:color w:val="auto"/>
        </w:rPr>
      </w:pPr>
    </w:p>
    <w:p>
      <w:pPr>
        <w:ind w:left="1300" w:right="80" w:hanging="202"/>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competition may negatively affect our profitability or cash flows, our price increases may have negative effects on volumes, and price roll-backs and lower than average pricing to retain and attract customers may negatively affect our average yield on collection and disposal business;</w:t>
      </w:r>
    </w:p>
    <w:p>
      <w:pPr>
        <w:spacing w:after="0" w:line="73" w:lineRule="exact"/>
        <w:rPr>
          <w:rFonts w:ascii="Arial" w:cs="Arial" w:eastAsia="Arial" w:hAnsi="Arial"/>
          <w:sz w:val="18"/>
          <w:szCs w:val="18"/>
          <w:color w:val="auto"/>
        </w:rPr>
      </w:pPr>
    </w:p>
    <w:p>
      <w:pPr>
        <w:ind w:left="1300" w:hanging="20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unable to maintain or expand margins if we are unable to control costs or raise prices;</w:t>
      </w:r>
    </w:p>
    <w:p>
      <w:pPr>
        <w:spacing w:after="0" w:line="117" w:lineRule="exact"/>
        <w:rPr>
          <w:rFonts w:ascii="Arial" w:cs="Arial" w:eastAsia="Arial" w:hAnsi="Arial"/>
          <w:sz w:val="18"/>
          <w:szCs w:val="18"/>
          <w:color w:val="auto"/>
        </w:rPr>
      </w:pPr>
    </w:p>
    <w:p>
      <w:pPr>
        <w:ind w:left="1300" w:right="120" w:hanging="202"/>
        <w:spacing w:after="0" w:line="286"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not be able to successfully execute or continue our operational or other margin improvement plans and programs, including: pricing increases; passing on increased costs to our customers; reducing costs; and divesting under-performing assets and purchasing accretive businesses, any failures of which could negatively affect our revenues and margins;</w:t>
      </w:r>
    </w:p>
    <w:p>
      <w:pPr>
        <w:spacing w:after="0" w:line="57" w:lineRule="exact"/>
        <w:rPr>
          <w:rFonts w:ascii="Arial" w:cs="Arial" w:eastAsia="Arial" w:hAnsi="Arial"/>
          <w:sz w:val="17"/>
          <w:szCs w:val="17"/>
          <w:color w:val="auto"/>
        </w:rPr>
      </w:pPr>
    </w:p>
    <w:p>
      <w:pPr>
        <w:ind w:left="1300" w:right="54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weather conditions cause our quarter-to-quarter results to fluctuate, and harsh weather or natural disasters may cause us to temporarily shut down operations;</w:t>
      </w:r>
    </w:p>
    <w:p>
      <w:pPr>
        <w:spacing w:after="0" w:line="62" w:lineRule="exact"/>
        <w:rPr>
          <w:rFonts w:ascii="Arial" w:cs="Arial" w:eastAsia="Arial" w:hAnsi="Arial"/>
          <w:sz w:val="18"/>
          <w:szCs w:val="18"/>
          <w:color w:val="auto"/>
        </w:rPr>
      </w:pPr>
    </w:p>
    <w:p>
      <w:pPr>
        <w:ind w:left="1300" w:right="12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possible changes in our estimates of costs for site remediation requirements, final capping, closure and post-closure obligations, compliance and regulatory developments may increase our expenses;</w:t>
      </w:r>
    </w:p>
    <w:p>
      <w:pPr>
        <w:spacing w:after="0" w:line="62" w:lineRule="exact"/>
        <w:rPr>
          <w:rFonts w:ascii="Arial" w:cs="Arial" w:eastAsia="Arial" w:hAnsi="Arial"/>
          <w:sz w:val="18"/>
          <w:szCs w:val="18"/>
          <w:color w:val="auto"/>
        </w:rPr>
      </w:pPr>
    </w:p>
    <w:p>
      <w:pPr>
        <w:ind w:left="1300" w:right="8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regulations may negatively impact our business by, among other things, restricting our operations, increasing costs of operations or requiring additional capital expenditures;</w:t>
      </w:r>
    </w:p>
    <w:p>
      <w:pPr>
        <w:spacing w:after="0" w:line="62" w:lineRule="exact"/>
        <w:rPr>
          <w:rFonts w:ascii="Arial" w:cs="Arial" w:eastAsia="Arial" w:hAnsi="Arial"/>
          <w:sz w:val="18"/>
          <w:szCs w:val="18"/>
          <w:color w:val="auto"/>
        </w:rPr>
      </w:pPr>
    </w:p>
    <w:p>
      <w:pPr>
        <w:jc w:val="both"/>
        <w:ind w:left="1300" w:right="280" w:hanging="202"/>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climate change legislation, including possible limits on carbon emissions, may negatively impact our results of operations by increasing expenses related to tracking, measuring and reporting our greenhouse gas emissions and increasing operating costs and capital expenditures that may be required to comply with any such legislation;</w:t>
      </w:r>
    </w:p>
    <w:p>
      <w:pPr>
        <w:spacing w:after="0" w:line="73" w:lineRule="exact"/>
        <w:rPr>
          <w:rFonts w:ascii="Arial" w:cs="Arial" w:eastAsia="Arial" w:hAnsi="Arial"/>
          <w:sz w:val="18"/>
          <w:szCs w:val="18"/>
          <w:color w:val="auto"/>
        </w:rPr>
      </w:pPr>
    </w:p>
    <w:p>
      <w:pPr>
        <w:ind w:left="1300" w:right="26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are unable to obtain and maintain permits needed to open, operate, and/or expand our facilities, our results of operations will be negatively impacted;</w:t>
      </w:r>
    </w:p>
    <w:p>
      <w:pPr>
        <w:spacing w:after="0" w:line="62" w:lineRule="exact"/>
        <w:rPr>
          <w:rFonts w:ascii="Arial" w:cs="Arial" w:eastAsia="Arial" w:hAnsi="Arial"/>
          <w:sz w:val="18"/>
          <w:szCs w:val="18"/>
          <w:color w:val="auto"/>
        </w:rPr>
      </w:pPr>
    </w:p>
    <w:p>
      <w:pPr>
        <w:ind w:left="1300" w:right="12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or bans on disposal or transportation of out-of-state, cross-border, or certain categories of waste, as well as mandates on the disposal of waste, can increase our expenses and reduce our revenue;</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fuel price increases or fuel supply shortages may increase our expenses or restrict our ability to operate;</w:t>
      </w:r>
    </w:p>
    <w:p>
      <w:pPr>
        <w:spacing w:after="0" w:line="117" w:lineRule="exact"/>
        <w:rPr>
          <w:rFonts w:ascii="Arial" w:cs="Arial" w:eastAsia="Arial" w:hAnsi="Arial"/>
          <w:sz w:val="18"/>
          <w:szCs w:val="18"/>
          <w:color w:val="auto"/>
        </w:rPr>
      </w:pPr>
    </w:p>
    <w:p>
      <w:pPr>
        <w:ind w:left="1300" w:right="48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costs or the inability to obtain financial assurance or the inadequacy of our insurance coverages could negatively impact our liquidity and increase our liabilities;</w:t>
      </w:r>
    </w:p>
    <w:p>
      <w:pPr>
        <w:spacing w:after="0" w:line="62" w:lineRule="exact"/>
        <w:rPr>
          <w:rFonts w:ascii="Arial" w:cs="Arial" w:eastAsia="Arial" w:hAnsi="Arial"/>
          <w:sz w:val="18"/>
          <w:szCs w:val="18"/>
          <w:color w:val="auto"/>
        </w:rPr>
      </w:pPr>
    </w:p>
    <w:p>
      <w:pPr>
        <w:ind w:left="1300" w:right="54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possible charges as a result of shut-down operations, uncompleted development or expansion projects or other events may negatively affect earnings;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commodity prices may have negative effects on our operating results;</w:t>
      </w:r>
    </w:p>
    <w:p>
      <w:pPr>
        <w:spacing w:after="0" w:line="117" w:lineRule="exact"/>
        <w:rPr>
          <w:rFonts w:ascii="Arial" w:cs="Arial" w:eastAsia="Arial" w:hAnsi="Arial"/>
          <w:sz w:val="18"/>
          <w:szCs w:val="18"/>
          <w:color w:val="auto"/>
        </w:rPr>
      </w:pPr>
    </w:p>
    <w:p>
      <w:pPr>
        <w:ind w:left="1300" w:right="60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trends requiring recycling, waste reduction at the source and prohibiting the disposal of certain types of waste could have negative effects on volumes of waste going to landfills and waste-to-energy facilities;</w:t>
      </w:r>
    </w:p>
    <w:p>
      <w:pPr>
        <w:spacing w:after="0" w:line="62" w:lineRule="exact"/>
        <w:rPr>
          <w:rFonts w:ascii="Arial" w:cs="Arial" w:eastAsia="Arial" w:hAnsi="Arial"/>
          <w:sz w:val="18"/>
          <w:szCs w:val="18"/>
          <w:color w:val="auto"/>
        </w:rPr>
      </w:pPr>
    </w:p>
    <w:p>
      <w:pPr>
        <w:ind w:left="1300" w:right="120" w:hanging="202"/>
        <w:spacing w:after="0" w:line="286"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57" w:lineRule="exact"/>
        <w:rPr>
          <w:rFonts w:ascii="Arial" w:cs="Arial" w:eastAsia="Arial" w:hAnsi="Arial"/>
          <w:sz w:val="17"/>
          <w:szCs w:val="17"/>
          <w:color w:val="auto"/>
        </w:rPr>
      </w:pPr>
    </w:p>
    <w:p>
      <w:pPr>
        <w:ind w:left="1300" w:right="18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negative outcomes of litigation or threatened litigation or governmental proceedings may increase our costs, limit our ability to conduct or expand our operations, or limit our ability to execute our business plans and strategies;</w:t>
      </w:r>
    </w:p>
    <w:p>
      <w:pPr>
        <w:spacing w:after="0" w:line="62" w:lineRule="exact"/>
        <w:rPr>
          <w:rFonts w:ascii="Arial" w:cs="Arial" w:eastAsia="Arial" w:hAnsi="Arial"/>
          <w:sz w:val="18"/>
          <w:szCs w:val="18"/>
          <w:color w:val="auto"/>
        </w:rPr>
      </w:pPr>
    </w:p>
    <w:p>
      <w:pPr>
        <w:ind w:left="1300" w:right="46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problems with the operation of our current information technology or the development and deployment of new information systems could decrease our efficiencies and increase our costs;</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40" w:hanging="202"/>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adoption of new accounting standards or interpretations may cause fluctuations in reported quarterly results of operations or adversely impact our reported results of operations; and</w:t>
      </w:r>
    </w:p>
    <w:p>
      <w:pPr>
        <w:spacing w:after="0" w:line="62" w:lineRule="exact"/>
        <w:rPr>
          <w:rFonts w:ascii="Arial" w:cs="Arial" w:eastAsia="Arial" w:hAnsi="Arial"/>
          <w:sz w:val="18"/>
          <w:szCs w:val="18"/>
          <w:color w:val="auto"/>
        </w:rPr>
      </w:pPr>
    </w:p>
    <w:p>
      <w:pPr>
        <w:ind w:left="1300" w:right="80" w:hanging="202"/>
        <w:spacing w:after="0" w:line="26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reduce or permanently eliminate our dividend or share repurchase program, reduce capital spending or cease acquisitions if cash flows are less than we expect and we are not able to obtain capital needed to refinance our debt obligations, including near-term maturities, on acceptable terms.</w:t>
      </w:r>
    </w:p>
    <w:p>
      <w:pPr>
        <w:spacing w:after="0" w:line="87"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Unless required by law, we undertake no obligation to publicly update or revise any forward-looking statements to reflect events or developments after the date of this prospectus.</w:t>
      </w:r>
    </w:p>
    <w:p>
      <w:pPr>
        <w:spacing w:after="0" w:line="288"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ABOUT THIS PROSPECTUS</w:t>
      </w:r>
    </w:p>
    <w:p>
      <w:pPr>
        <w:spacing w:after="0" w:line="135"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This prospectus is part of a registration statement we filed with the SEC using a “shelf” registration process. We may offer and sell any combination of the securities described in this prospectus from time to time up to an indeterminate dollar amount, in one or more offerings.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types of securities that we or selling securityholders may offer and sell from time to time pursuant to this prospectus are:</w:t>
      </w:r>
    </w:p>
    <w:p>
      <w:pPr>
        <w:spacing w:after="0" w:line="264" w:lineRule="exact"/>
        <w:rPr>
          <w:sz w:val="20"/>
          <w:szCs w:val="20"/>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warrants;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guarantees;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units consisting of any of the securities listed above.</w:t>
      </w:r>
    </w:p>
    <w:p>
      <w:pPr>
        <w:spacing w:after="0" w:line="131"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Each time we or selling securityholders sell securities pursuant to this prospectus, we will describe in a prospectus supplement, which will be delivered with this prospectus, specific information about the offering and the terms of the particular securities offered. In each prospectus supplement we will include the following information, if applicable:</w:t>
      </w:r>
    </w:p>
    <w:p>
      <w:pPr>
        <w:spacing w:after="0" w:line="87" w:lineRule="exact"/>
        <w:rPr>
          <w:sz w:val="20"/>
          <w:szCs w:val="20"/>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type and amount of securities that we or selling securityholders propose to sell;</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initial public offering price of the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names of any underwriters or agents through or to which we or selling securityholders will sell the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compensation of those underwriters or agents;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information about any securities exchanges or automated quotation systems on which the securities will be listed or traded.</w:t>
      </w:r>
    </w:p>
    <w:p>
      <w:pPr>
        <w:spacing w:after="0" w:line="154" w:lineRule="exact"/>
        <w:rPr>
          <w:sz w:val="20"/>
          <w:szCs w:val="20"/>
          <w:color w:val="auto"/>
        </w:rPr>
      </w:pPr>
    </w:p>
    <w:p>
      <w:pPr>
        <w:jc w:val="both"/>
        <w:ind w:left="700" w:right="240" w:firstLine="397"/>
        <w:spacing w:after="0" w:line="286" w:lineRule="auto"/>
        <w:rPr>
          <w:sz w:val="20"/>
          <w:szCs w:val="20"/>
          <w:color w:val="auto"/>
        </w:rPr>
      </w:pPr>
      <w:r>
        <w:rPr>
          <w:rFonts w:ascii="Arial" w:cs="Arial" w:eastAsia="Arial" w:hAnsi="Arial"/>
          <w:sz w:val="17"/>
          <w:szCs w:val="17"/>
          <w:color w:val="auto"/>
        </w:rPr>
        <w:t>In addition, the prospectus supplement may also add, update or change the information contained in this prospectus. You should read this prospectus and the applicable prospectus supplement together with the additional information described under the headings “Documents Incorporated by Reference” and “Where You Can Find More Information.”</w:t>
      </w:r>
    </w:p>
    <w:p>
      <w:pPr>
        <w:spacing w:after="0" w:line="71" w:lineRule="exact"/>
        <w:rPr>
          <w:sz w:val="20"/>
          <w:szCs w:val="20"/>
          <w:color w:val="auto"/>
        </w:rPr>
      </w:pPr>
    </w:p>
    <w:p>
      <w:pPr>
        <w:ind w:left="700" w:right="140" w:firstLine="397"/>
        <w:spacing w:after="0" w:line="288" w:lineRule="auto"/>
        <w:rPr>
          <w:sz w:val="20"/>
          <w:szCs w:val="20"/>
          <w:color w:val="auto"/>
        </w:rPr>
      </w:pPr>
      <w:r>
        <w:rPr>
          <w:rFonts w:ascii="Arial" w:cs="Arial" w:eastAsia="Arial" w:hAnsi="Arial"/>
          <w:sz w:val="16"/>
          <w:szCs w:val="16"/>
          <w:color w:val="auto"/>
        </w:rPr>
        <w:t>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(i) by means of a post-effective amendment to the registration statement of which this prospectus is a part;</w:t>
      </w:r>
    </w:p>
    <w:p>
      <w:pPr>
        <w:ind w:left="700" w:right="260" w:hanging="7"/>
        <w:spacing w:after="0" w:line="261" w:lineRule="auto"/>
        <w:tabs>
          <w:tab w:leader="none" w:pos="96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through filings we make with the SEC that are incorporated by reference into this prospectus; or (iii) by any other method as may then be permitted under applicable law, rules or regulations.</w:t>
      </w:r>
    </w:p>
    <w:p>
      <w:pPr>
        <w:spacing w:after="0" w:line="37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9" w:right="11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35" w:lineRule="exact"/>
        <w:rPr>
          <w:sz w:val="20"/>
          <w:szCs w:val="20"/>
          <w:color w:val="auto"/>
        </w:rPr>
      </w:pPr>
    </w:p>
    <w:p>
      <w:pPr>
        <w:ind w:left="700" w:right="140" w:firstLine="397"/>
        <w:spacing w:after="0" w:line="259" w:lineRule="auto"/>
        <w:rPr>
          <w:sz w:val="20"/>
          <w:szCs w:val="20"/>
          <w:color w:val="auto"/>
        </w:rPr>
      </w:pPr>
      <w:r>
        <w:rPr>
          <w:rFonts w:ascii="Arial" w:cs="Arial" w:eastAsia="Arial" w:hAnsi="Arial"/>
          <w:sz w:val="18"/>
          <w:szCs w:val="18"/>
          <w:color w:val="auto"/>
        </w:rPr>
        <w:t>THIS PROSPECTUS INCORPORATES DOCUMENTS BY REFERENCE WHICH ARE NOT PRESENTED IN OR DELIVERED WITH THIS PROSPECTUS. WE HAVE NOT AUTHORIZED ANYONE TO PROVIDE YOU WITH INFORMATION THAT IS DIFFERENT FROM OR IN ADDITION TO THE INFORMATION CONTAINED IN THIS DOCUMENT AND INCORPORATED BY REFERENCE INTO THIS PROSPECTUS.</w:t>
      </w:r>
    </w:p>
    <w:p>
      <w:pPr>
        <w:spacing w:after="0" w:line="92" w:lineRule="exact"/>
        <w:rPr>
          <w:sz w:val="20"/>
          <w:szCs w:val="20"/>
          <w:color w:val="auto"/>
        </w:rPr>
      </w:pPr>
    </w:p>
    <w:p>
      <w:pPr>
        <w:ind w:left="700" w:right="120" w:firstLine="397"/>
        <w:spacing w:after="0" w:line="297" w:lineRule="auto"/>
        <w:rPr>
          <w:sz w:val="20"/>
          <w:szCs w:val="20"/>
          <w:color w:val="auto"/>
        </w:rPr>
      </w:pPr>
      <w:r>
        <w:rPr>
          <w:rFonts w:ascii="Arial" w:cs="Arial" w:eastAsia="Arial" w:hAnsi="Arial"/>
          <w:sz w:val="16"/>
          <w:szCs w:val="16"/>
          <w:color w:val="auto"/>
        </w:rPr>
        <w:t>We incorporate information into this prospectus by reference, which means that we disclose important information to you by referring you to another document filed separately with the SEC. The information incorporated by reference is deemed to be part of this prospectus, except to the extent superseded by information contained herein or by information contained in documents filed with or furnished to the SEC after the date of this prospectus. This prospectus incorporates by reference the documents set forth below that have been previously filed with the SEC. These documents contain important information about us and our financial condition.</w:t>
      </w:r>
    </w:p>
    <w:p>
      <w:pPr>
        <w:spacing w:after="0" w:line="69" w:lineRule="exact"/>
        <w:rPr>
          <w:sz w:val="20"/>
          <w:szCs w:val="20"/>
          <w:color w:val="auto"/>
        </w:rPr>
      </w:pPr>
    </w:p>
    <w:tbl>
      <w:tblPr>
        <w:tblLayout w:type="fixed"/>
        <w:tblInd w:w="700" w:type="dxa"/>
        <w:tblCellMar>
          <w:top w:w="0" w:type="dxa"/>
          <w:left w:w="0" w:type="dxa"/>
          <w:bottom w:w="0" w:type="dxa"/>
          <w:right w:w="0" w:type="dxa"/>
        </w:tblCellMar>
      </w:tblPr>
      <w:tr>
        <w:trPr>
          <w:trHeight w:val="205"/>
        </w:trPr>
        <w:tc>
          <w:tcPr>
            <w:tcW w:w="8080" w:type="dxa"/>
            <w:vAlign w:val="bottom"/>
            <w:gridSpan w:val="2"/>
          </w:tcPr>
          <w:p>
            <w:pPr>
              <w:spacing w:after="0"/>
              <w:rPr>
                <w:sz w:val="20"/>
                <w:szCs w:val="20"/>
                <w:color w:val="auto"/>
              </w:rPr>
            </w:pPr>
            <w:r>
              <w:rPr>
                <w:rFonts w:ascii="Arial" w:cs="Arial" w:eastAsia="Arial" w:hAnsi="Arial"/>
                <w:sz w:val="14"/>
                <w:szCs w:val="14"/>
                <w:b w:val="1"/>
                <w:bCs w:val="1"/>
                <w:color w:val="auto"/>
              </w:rPr>
              <w:t>SEC Filing (Our SEC File Number is 1-1254)</w:t>
            </w:r>
          </w:p>
        </w:tc>
        <w:tc>
          <w:tcPr>
            <w:tcW w:w="1840" w:type="dxa"/>
            <w:vAlign w:val="bottom"/>
          </w:tcPr>
          <w:p>
            <w:pPr>
              <w:ind w:left="940"/>
              <w:spacing w:after="0"/>
              <w:rPr>
                <w:sz w:val="20"/>
                <w:szCs w:val="20"/>
                <w:color w:val="auto"/>
              </w:rPr>
            </w:pPr>
            <w:r>
              <w:rPr>
                <w:rFonts w:ascii="Arial" w:cs="Arial" w:eastAsia="Arial" w:hAnsi="Arial"/>
                <w:sz w:val="14"/>
                <w:szCs w:val="14"/>
                <w:b w:val="1"/>
                <w:bCs w:val="1"/>
                <w:color w:val="auto"/>
              </w:rPr>
              <w:t>Date Filed</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80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60" w:type="dxa"/>
            <w:vAlign w:val="bottom"/>
            <w:tcBorders>
              <w:lef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w w:val="95"/>
              </w:rPr>
              <w:t>Annual Report on Form 10-K (including the portions of our proxy statement for our 2009 annual meeting of</w:t>
            </w:r>
          </w:p>
        </w:tc>
        <w:tc>
          <w:tcPr>
            <w:tcW w:w="1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tcBorders>
              <w:lef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stockholders incorporated by reference therein) for the year ended December 31, 2008</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February 17,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Quarterly report on Form 10-Q for the quarter ended March 31, 2009</w:t>
            </w:r>
          </w:p>
        </w:tc>
        <w:tc>
          <w:tcPr>
            <w:tcW w:w="1840" w:type="dxa"/>
            <w:vAlign w:val="bottom"/>
          </w:tcPr>
          <w:p>
            <w:pPr>
              <w:jc w:val="center"/>
              <w:spacing w:after="0"/>
              <w:rPr>
                <w:sz w:val="20"/>
                <w:szCs w:val="20"/>
                <w:color w:val="auto"/>
              </w:rPr>
            </w:pPr>
            <w:r>
              <w:rPr>
                <w:rFonts w:ascii="Arial" w:cs="Arial" w:eastAsia="Arial" w:hAnsi="Arial"/>
                <w:sz w:val="18"/>
                <w:szCs w:val="18"/>
                <w:color w:val="auto"/>
                <w:w w:val="95"/>
              </w:rPr>
              <w:t>April 29,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Quarterly Report on Form 10-Q for the quarter ended June 30, 2009</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30,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Current Report on Form 8-K</w:t>
            </w: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February 26,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Report on Form 8-K</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February 27,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Current Report on Form 8-K</w:t>
            </w: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March 2,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Report on Form 8-K</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May 12, 2009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Description of our Common Stock on Form 8-B</w:t>
            </w: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July 13, 1995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-1286510</wp:posOffset>
            </wp:positionV>
            <wp:extent cx="88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73"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We also incorporate by reference into this prospectus additional documents that we may file with the SEC under Section 13(a),</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13(c), 14 or 15(d) of the Exchange Act from the date of this prospectus until all of the securities offered by this prospectus have been</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issued as described in this prospectus. These documents may include annual reports on Form 10-K, quarterly reports on Form 10-Q and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current reports on Form 8-K, as well as proxy statements. We are not incorporating by reference any information furnished under</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items 2.02 or 7.01 (or corresponding information furnished under item 9.01 or included as an exhibit) in any past or future current report</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on Form 8-K that we may file with the SEC, unless otherwise specified in such current report.</w:t>
      </w:r>
    </w:p>
    <w:p>
      <w:pPr>
        <w:spacing w:after="0" w:line="116" w:lineRule="exact"/>
        <w:rPr>
          <w:sz w:val="20"/>
          <w:szCs w:val="20"/>
          <w:color w:val="auto"/>
        </w:rPr>
      </w:pPr>
    </w:p>
    <w:p>
      <w:pPr>
        <w:ind w:left="700" w:right="140" w:firstLine="397"/>
        <w:spacing w:after="0" w:line="259" w:lineRule="auto"/>
        <w:rPr>
          <w:sz w:val="20"/>
          <w:szCs w:val="20"/>
          <w:color w:val="auto"/>
        </w:rPr>
      </w:pPr>
      <w:r>
        <w:rPr>
          <w:rFonts w:ascii="Arial" w:cs="Arial" w:eastAsia="Arial" w:hAnsi="Arial"/>
          <w:sz w:val="18"/>
          <w:szCs w:val="18"/>
          <w:color w:val="auto"/>
        </w:rPr>
        <w:t>You may obtain copies of any of these filings through Waste Management as described below, or through the SEC or through the SEC’s Internet website as described below. Documents incorporated by reference are available without charge, excluding all exhibits unless an exhibit has been specifically incorporated by reference into this prospectus, by requesting them in writing, by telephone or via the Internet at:</w:t>
      </w:r>
    </w:p>
    <w:p>
      <w:pPr>
        <w:spacing w:after="0" w:line="308"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713-512-6200</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u w:val="single" w:color="auto"/>
          <w:color w:val="auto"/>
        </w:rPr>
        <w:t>www.wm.com</w:t>
      </w:r>
    </w:p>
    <w:p>
      <w:pPr>
        <w:spacing w:after="0" w:line="1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THE INFORMATION CONTAINED ON OUR WEBSITE DOES NOT CONSTITUTE A PART OF THIS PROSPECTUS.</w:t>
      </w:r>
    </w:p>
    <w:p>
      <w:pPr>
        <w:spacing w:after="0" w:line="200" w:lineRule="exact"/>
        <w:rPr>
          <w:sz w:val="20"/>
          <w:szCs w:val="20"/>
          <w:color w:val="auto"/>
        </w:rPr>
      </w:pP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35" w:lineRule="exact"/>
        <w:rPr>
          <w:sz w:val="20"/>
          <w:szCs w:val="20"/>
          <w:color w:val="auto"/>
        </w:rPr>
      </w:pPr>
    </w:p>
    <w:p>
      <w:pPr>
        <w:ind w:left="700" w:right="180" w:firstLine="397"/>
        <w:spacing w:after="0" w:line="297" w:lineRule="auto"/>
        <w:rPr>
          <w:sz w:val="20"/>
          <w:szCs w:val="20"/>
          <w:color w:val="auto"/>
        </w:rPr>
      </w:pPr>
      <w:r>
        <w:rPr>
          <w:rFonts w:ascii="Arial" w:cs="Arial" w:eastAsia="Arial" w:hAnsi="Arial"/>
          <w:sz w:val="16"/>
          <w:szCs w:val="16"/>
          <w:color w:val="auto"/>
        </w:rPr>
        <w:t xml:space="preserve">We file annual, quarterly and current reports, proxy statements and other information with the SEC. You can read and copy these materials at the SEC’s public reference room at 100 F Street, N.E., Washington, D.C. 20549. You can obtain information about the operation of the SEC’s public reference room by calling the SEC at 1-800-SEC-0330. The SEC also maintains an Internet site that contains information we have filed electronically with the SEC, which you can access over the Internet at </w:t>
      </w:r>
      <w:r>
        <w:rPr>
          <w:rFonts w:ascii="Arial" w:cs="Arial" w:eastAsia="Arial" w:hAnsi="Arial"/>
          <w:sz w:val="16"/>
          <w:szCs w:val="16"/>
          <w:i w:val="1"/>
          <w:iCs w:val="1"/>
          <w:color w:val="auto"/>
        </w:rPr>
        <w:t>http://www.sec.gov</w:t>
      </w:r>
      <w:r>
        <w:rPr>
          <w:rFonts w:ascii="Arial" w:cs="Arial" w:eastAsia="Arial" w:hAnsi="Arial"/>
          <w:sz w:val="16"/>
          <w:szCs w:val="16"/>
          <w:color w:val="auto"/>
        </w:rPr>
        <w:t>. You can also obtain information about us at the offices of the New York Stock Exchange, 20 Broad Street, New York, New York 10005.</w:t>
      </w:r>
    </w:p>
    <w:p>
      <w:pPr>
        <w:spacing w:after="0" w:line="64"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color w:val="auto"/>
        </w:rPr>
        <w:t>This prospectus is part of a registration statement we have filed with the SEC relating to the securities we may offer. 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at the SEC’s public reference room or through its Internet site.</w:t>
      </w:r>
    </w:p>
    <w:p>
      <w:pPr>
        <w:spacing w:after="0" w:line="306"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THE COMPANY</w:t>
      </w:r>
    </w:p>
    <w:p>
      <w:pPr>
        <w:spacing w:after="0" w:line="135" w:lineRule="exact"/>
        <w:rPr>
          <w:sz w:val="20"/>
          <w:szCs w:val="20"/>
          <w:color w:val="auto"/>
        </w:rPr>
      </w:pPr>
    </w:p>
    <w:p>
      <w:pPr>
        <w:ind w:left="700" w:right="140" w:firstLine="397"/>
        <w:spacing w:after="0" w:line="273" w:lineRule="auto"/>
        <w:rPr>
          <w:sz w:val="20"/>
          <w:szCs w:val="20"/>
          <w:color w:val="auto"/>
        </w:rPr>
      </w:pPr>
      <w:r>
        <w:rPr>
          <w:rFonts w:ascii="Arial" w:cs="Arial" w:eastAsia="Arial" w:hAnsi="Arial"/>
          <w:sz w:val="17"/>
          <w:szCs w:val="17"/>
          <w:color w:val="auto"/>
        </w:rPr>
        <w:t>We are the leading provider of integrated waste services in North America. Using our vast network of assets and employees, we provide a comprehensive range of waste management services. Through our subsidiaries we provide collection, transfer, recycling, disposal and waste-to-energy services. In providing these services, we actively pursue projects and initiatives that we believe make a positive difference for our environment, including recovering and processing the methane gas produced naturally by landfills into a renewable energy source. Our customers include commercial, industrial, municipal and residential customers, other waste management companies, electric utilities and governmental entities.</w:t>
      </w:r>
    </w:p>
    <w:p>
      <w:pPr>
        <w:spacing w:after="0" w:line="84"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color w:val="auto"/>
        </w:rPr>
        <w:t>Our principal executive offices are located at 1001 Fannin Street, Suite 4000, Houston, Texas 77002 and our telephone number is (713) 512-6200.</w:t>
      </w:r>
    </w:p>
    <w:p>
      <w:pPr>
        <w:spacing w:after="0" w:line="288"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RISK FACTORS</w:t>
      </w:r>
    </w:p>
    <w:p>
      <w:pPr>
        <w:spacing w:after="0" w:line="135"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Investment in any securities offered pursuant to this prospectus involves risk. Before acquiring any such securities, you should carefully consider the risk factors incorporated by reference to our most recent Annual Report on Form 10-K and each subsequently filed Quarterly Report on Form 10-Q, the other information contained or incorporated by reference in this prospectus, as updated by our subsequent filings under the Exchange Act, and the risk factors and other information contained in the applicable prospectus supplement.</w:t>
      </w:r>
    </w:p>
    <w:p>
      <w:pPr>
        <w:spacing w:after="0" w:line="272"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RATIO OF EARNINGS TO FIXED CHARGES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sets forth our ratio of earnings to fixed charges for the periods indicated:</w:t>
      </w:r>
    </w:p>
    <w:p>
      <w:pPr>
        <w:spacing w:after="0" w:line="123"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For the</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Six Months</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20" w:type="dxa"/>
            <w:vAlign w:val="bottom"/>
            <w:gridSpan w:val="6"/>
            <w:vMerge w:val="restart"/>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100" w:type="dxa"/>
            <w:vAlign w:val="bottom"/>
          </w:tcPr>
          <w:p>
            <w:pPr>
              <w:spacing w:after="0"/>
              <w:rPr>
                <w:sz w:val="13"/>
                <w:szCs w:val="13"/>
                <w:color w:val="auto"/>
              </w:rPr>
            </w:pPr>
          </w:p>
        </w:tc>
        <w:tc>
          <w:tcPr>
            <w:tcW w:w="13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3"/>
              </w:rPr>
              <w:t>Ended</w:t>
            </w:r>
          </w:p>
        </w:tc>
        <w:tc>
          <w:tcPr>
            <w:tcW w:w="3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6"/>
            <w:vMerge w:val="continue"/>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100" w:type="dxa"/>
            <w:vAlign w:val="bottom"/>
          </w:tcPr>
          <w:p>
            <w:pPr>
              <w:spacing w:after="0"/>
              <w:rPr>
                <w:sz w:val="12"/>
                <w:szCs w:val="12"/>
                <w:color w:val="auto"/>
              </w:rPr>
            </w:pPr>
          </w:p>
        </w:tc>
        <w:tc>
          <w:tcPr>
            <w:tcW w:w="9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June 30, 2009</w:t>
            </w:r>
          </w:p>
        </w:tc>
        <w:tc>
          <w:tcPr>
            <w:tcW w:w="3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3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264"/>
        </w:trPr>
        <w:tc>
          <w:tcPr>
            <w:tcW w:w="510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1340" w:type="dxa"/>
            <w:vAlign w:val="bottom"/>
            <w:gridSpan w:val="2"/>
          </w:tcPr>
          <w:p>
            <w:pPr>
              <w:ind w:left="740"/>
              <w:spacing w:after="0"/>
              <w:rPr>
                <w:sz w:val="20"/>
                <w:szCs w:val="20"/>
                <w:color w:val="auto"/>
              </w:rPr>
            </w:pPr>
            <w:r>
              <w:rPr>
                <w:rFonts w:ascii="Arial" w:cs="Arial" w:eastAsia="Arial" w:hAnsi="Arial"/>
                <w:sz w:val="18"/>
                <w:szCs w:val="18"/>
                <w:color w:val="auto"/>
              </w:rPr>
              <w:t>3.9x</w:t>
            </w: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4.5x</w:t>
            </w: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4.0x</w:t>
            </w: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3.5x</w:t>
            </w: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3.2x</w:t>
            </w:r>
          </w:p>
        </w:tc>
        <w:tc>
          <w:tcPr>
            <w:tcW w:w="420" w:type="dxa"/>
            <w:vAlign w:val="bottom"/>
          </w:tcPr>
          <w:p>
            <w:pPr>
              <w:jc w:val="right"/>
              <w:spacing w:after="0"/>
              <w:rPr>
                <w:sz w:val="20"/>
                <w:szCs w:val="20"/>
                <w:color w:val="auto"/>
              </w:rPr>
            </w:pPr>
            <w:r>
              <w:rPr>
                <w:rFonts w:ascii="Arial" w:cs="Arial" w:eastAsia="Arial" w:hAnsi="Arial"/>
                <w:sz w:val="18"/>
                <w:szCs w:val="18"/>
                <w:color w:val="auto"/>
              </w:rPr>
              <w:t>3.5x</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700" w:right="60" w:firstLine="397"/>
        <w:spacing w:after="0" w:line="264" w:lineRule="auto"/>
        <w:rPr>
          <w:sz w:val="20"/>
          <w:szCs w:val="20"/>
          <w:color w:val="auto"/>
        </w:rPr>
      </w:pPr>
      <w:r>
        <w:rPr>
          <w:rFonts w:ascii="Arial" w:cs="Arial" w:eastAsia="Arial" w:hAnsi="Arial"/>
          <w:sz w:val="18"/>
          <w:szCs w:val="18"/>
          <w:color w:val="auto"/>
        </w:rPr>
        <w:t>For the purposes of computing these ratios, earnings represents income before income taxes and losses in equity investments plus interest expense and implicit interest in rent expense. Fixed charges consists of interest expense, capitalized interest and implicit interest in rent expense.</w:t>
      </w:r>
    </w:p>
    <w:p>
      <w:pPr>
        <w:spacing w:after="0" w:line="299"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USE OF PROCEEDS</w:t>
      </w:r>
    </w:p>
    <w:p>
      <w:pPr>
        <w:spacing w:after="0" w:line="135"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Unless otherwise indicated in an accompanying prospectus supplement, we intend to use the net proceeds we receive from the sale of securities by us for general corporate purposes, which may include additions to working capital, refinancing existing indebtedness, capital expenditures and possible acquisitions. Unless</w:t>
      </w:r>
    </w:p>
    <w:p>
      <w:pPr>
        <w:spacing w:after="0" w:line="3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80"/>
        <w:spacing w:after="0" w:line="277" w:lineRule="auto"/>
        <w:rPr>
          <w:sz w:val="20"/>
          <w:szCs w:val="20"/>
          <w:color w:val="auto"/>
        </w:rPr>
      </w:pPr>
      <w:r>
        <w:rPr>
          <w:rFonts w:ascii="Arial" w:cs="Arial" w:eastAsia="Arial" w:hAnsi="Arial"/>
          <w:sz w:val="18"/>
          <w:szCs w:val="18"/>
          <w:color w:val="auto"/>
        </w:rPr>
        <w:t>otherwise specified in the applicable prospectus supplement, we will not receive any proceeds from the sale of securities by selling securityholders.</w:t>
      </w:r>
    </w:p>
    <w:p>
      <w:pPr>
        <w:spacing w:after="0" w:line="288"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DESCRIPTION OF THE DEBT SECURITIES</w:t>
      </w:r>
    </w:p>
    <w:p>
      <w:pPr>
        <w:spacing w:after="0" w:line="135" w:lineRule="exact"/>
        <w:rPr>
          <w:sz w:val="20"/>
          <w:szCs w:val="20"/>
          <w:color w:val="auto"/>
        </w:rPr>
      </w:pPr>
    </w:p>
    <w:p>
      <w:pPr>
        <w:ind w:left="700" w:right="140" w:firstLine="397"/>
        <w:spacing w:after="0" w:line="305" w:lineRule="auto"/>
        <w:rPr>
          <w:sz w:val="20"/>
          <w:szCs w:val="20"/>
          <w:color w:val="auto"/>
        </w:rPr>
      </w:pPr>
      <w:r>
        <w:rPr>
          <w:rFonts w:ascii="Arial" w:cs="Arial" w:eastAsia="Arial" w:hAnsi="Arial"/>
          <w:sz w:val="15"/>
          <w:szCs w:val="15"/>
          <w:color w:val="auto"/>
        </w:rPr>
        <w:t>The debt securities covered by this prospectus will be our general unsecured obligations. We will issue senior debt securities on a senior unsecured basis under an indenture, dated as of September 10, 1997, among Waste Management, as issuer, and Texas Commerce Bank National Association (now known as The Bank of New York Trust Company, N.A.), as trustee. We will issue subordinated debt securities under an indenture dated as of February 1, 1997, among Waste Management, as issuer, and The Bank of New York</w:t>
      </w:r>
    </w:p>
    <w:p>
      <w:pPr>
        <w:spacing w:after="0" w:line="2" w:lineRule="exact"/>
        <w:rPr>
          <w:sz w:val="20"/>
          <w:szCs w:val="20"/>
          <w:color w:val="auto"/>
        </w:rPr>
      </w:pPr>
    </w:p>
    <w:p>
      <w:pPr>
        <w:jc w:val="center"/>
        <w:ind w:right="-699"/>
        <w:spacing w:after="0"/>
        <w:rPr>
          <w:sz w:val="20"/>
          <w:szCs w:val="20"/>
          <w:color w:val="auto"/>
        </w:rPr>
      </w:pPr>
      <w:r>
        <w:rPr>
          <w:rFonts w:ascii="Arial" w:cs="Arial" w:eastAsia="Arial" w:hAnsi="Arial"/>
          <w:sz w:val="16"/>
          <w:szCs w:val="16"/>
          <w:color w:val="auto"/>
        </w:rPr>
        <w:t>Trust Company, N.A., as trustee. The indentures are substantially identical, except for provisions relating to subordination and covenants.</w:t>
      </w:r>
    </w:p>
    <w:p>
      <w:pPr>
        <w:spacing w:after="0" w:line="139" w:lineRule="exact"/>
        <w:rPr>
          <w:sz w:val="20"/>
          <w:szCs w:val="20"/>
          <w:color w:val="auto"/>
        </w:rPr>
      </w:pPr>
    </w:p>
    <w:p>
      <w:pPr>
        <w:ind w:left="700" w:right="180" w:firstLine="397"/>
        <w:spacing w:after="0" w:line="255" w:lineRule="auto"/>
        <w:rPr>
          <w:sz w:val="20"/>
          <w:szCs w:val="20"/>
          <w:color w:val="auto"/>
        </w:rPr>
      </w:pPr>
      <w:r>
        <w:rPr>
          <w:rFonts w:ascii="Arial" w:cs="Arial" w:eastAsia="Arial" w:hAnsi="Arial"/>
          <w:sz w:val="18"/>
          <w:szCs w:val="18"/>
          <w:color w:val="auto"/>
        </w:rPr>
        <w:t>We have summarized material provisions of the indentures and the debt securities below. This summary is not complete, and is subject, and qualified in its entirety by reference, to all the provisions of the applicable indenture, including the definition of certain terms. We have filed the indentures with the SEC as exhibits to the registration statement, and you should read the indentures for provisions that may be important to you. The following sets forth certain general terms and provisions of any debt securities offered by this prospectus. The particular terms of debt securities will be described in the prospectus supplement relating to those offered debt securities.</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Provisions Applicable to Each Indenture</w:t>
      </w:r>
    </w:p>
    <w:p>
      <w:pPr>
        <w:spacing w:after="0" w:line="135" w:lineRule="exact"/>
        <w:rPr>
          <w:sz w:val="20"/>
          <w:szCs w:val="20"/>
          <w:color w:val="auto"/>
        </w:rPr>
      </w:pPr>
    </w:p>
    <w:p>
      <w:pPr>
        <w:ind w:left="700" w:right="200" w:firstLine="397"/>
        <w:spacing w:after="0" w:line="264"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Neither indenture limits the amount of debt securities that may be issued under that indenture, and neither limits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other unsecured debt or securities that we may issue. We may issue debt securities under the indentures from time to time in one or more series, each in an amount authorized prior to issuance.</w:t>
      </w:r>
    </w:p>
    <w:p>
      <w:pPr>
        <w:spacing w:after="0" w:line="87"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i w:val="1"/>
          <w:iCs w:val="1"/>
          <w:color w:val="auto"/>
        </w:rPr>
        <w:t xml:space="preserve">Terms. </w:t>
      </w:r>
      <w:r>
        <w:rPr>
          <w:rFonts w:ascii="Arial" w:cs="Arial" w:eastAsia="Arial" w:hAnsi="Arial"/>
          <w:sz w:val="18"/>
          <w:szCs w:val="18"/>
          <w:color w:val="auto"/>
        </w:rPr>
        <w:t>The prospectus supplement relating to any series of debt securities being offered will include specific terms relating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These terms will include some or all of the following:</w:t>
      </w:r>
    </w:p>
    <w:p>
      <w:pPr>
        <w:spacing w:after="0" w:line="76" w:lineRule="exact"/>
        <w:rPr>
          <w:sz w:val="20"/>
          <w:szCs w:val="20"/>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the debt securities will be senior or subordinated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117" w:lineRule="exact"/>
        <w:rPr>
          <w:rFonts w:ascii="Arial" w:cs="Arial" w:eastAsia="Arial" w:hAnsi="Arial"/>
          <w:sz w:val="18"/>
          <w:szCs w:val="18"/>
          <w:color w:val="auto"/>
        </w:rPr>
      </w:pPr>
    </w:p>
    <w:p>
      <w:pPr>
        <w:ind w:left="1300" w:right="460" w:hanging="202"/>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the debt securities will be issued in individual certificates to each holder or in the form of temporary or permanent global securities held by a depositary on behalf of holders;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or dates on which the principal of and any premium on the debt securities will be payable;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interest rate, the date from which interest will accrue, interest payment dates and record dates for interest payments;</w:t>
      </w:r>
    </w:p>
    <w:p>
      <w:pPr>
        <w:spacing w:after="0" w:line="128" w:lineRule="exact"/>
        <w:rPr>
          <w:rFonts w:ascii="Arial" w:cs="Arial" w:eastAsia="Arial" w:hAnsi="Arial"/>
          <w:sz w:val="17"/>
          <w:szCs w:val="17"/>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right to extend or defer the interest payment periods and the duration of the extension;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and under what circumstances any additional amounts with respect to the debt securities will be payable;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place or places where payments on the debt securities will be payable;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provisions for optional redemption or early repayment;</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provisions that would require the redemption, purchase or repayment of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issued;</w:t>
      </w:r>
    </w:p>
    <w:p>
      <w:pPr>
        <w:spacing w:after="0" w:line="117" w:lineRule="exact"/>
        <w:rPr>
          <w:rFonts w:ascii="Arial" w:cs="Arial" w:eastAsia="Arial" w:hAnsi="Arial"/>
          <w:sz w:val="18"/>
          <w:szCs w:val="18"/>
          <w:color w:val="auto"/>
        </w:rPr>
      </w:pPr>
    </w:p>
    <w:p>
      <w:pPr>
        <w:ind w:left="1300" w:right="480" w:hanging="202"/>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payments on the debt securities will be payable in foreign currency or currency units or another form and whether payments will be payable by reference to any index or formula;</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280" w:hanging="202"/>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portion of the principal amount of debt securities that will be payable if the maturity is accelerated, if other than the entire principal amount;</w:t>
      </w:r>
    </w:p>
    <w:p>
      <w:pPr>
        <w:spacing w:after="0" w:line="62" w:lineRule="exact"/>
        <w:rPr>
          <w:rFonts w:ascii="Arial" w:cs="Arial" w:eastAsia="Arial" w:hAnsi="Arial"/>
          <w:sz w:val="18"/>
          <w:szCs w:val="18"/>
          <w:color w:val="auto"/>
        </w:rPr>
      </w:pPr>
    </w:p>
    <w:p>
      <w:pPr>
        <w:ind w:left="1300" w:right="460" w:hanging="202"/>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additional means of defeasance of the debt securities, any additional conditions or limitations to defeasance of the debt securities or any changes to those conditions or limitations;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changes or additions to the events of default or covenants described in this prospectus;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restrictions or other provisions relating to the transfer or exchange of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terms for the conversion or exchange of the debt securities for other securities of Waste Management or any other entity;</w:t>
      </w:r>
    </w:p>
    <w:p>
      <w:pPr>
        <w:spacing w:after="0" w:line="140" w:lineRule="exact"/>
        <w:rPr>
          <w:rFonts w:ascii="Arial" w:cs="Arial" w:eastAsia="Arial" w:hAnsi="Arial"/>
          <w:sz w:val="16"/>
          <w:szCs w:val="16"/>
          <w:color w:val="auto"/>
        </w:rPr>
      </w:pPr>
    </w:p>
    <w:p>
      <w:pPr>
        <w:ind w:left="1300" w:hanging="202"/>
        <w:spacing w:after="0"/>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with respect to the subordinated indenture, any changes to the subordination provisions for the subordinated debt securities; and</w:t>
      </w:r>
    </w:p>
    <w:p>
      <w:pPr>
        <w:spacing w:after="0" w:line="140" w:lineRule="exact"/>
        <w:rPr>
          <w:rFonts w:ascii="Arial" w:cs="Arial" w:eastAsia="Arial" w:hAnsi="Arial"/>
          <w:sz w:val="16"/>
          <w:szCs w:val="16"/>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terms of the debt securities not inconsistent with the applicable indenture.</w:t>
      </w:r>
    </w:p>
    <w:p>
      <w:pPr>
        <w:spacing w:after="0" w:line="131" w:lineRule="exact"/>
        <w:rPr>
          <w:sz w:val="20"/>
          <w:szCs w:val="20"/>
          <w:color w:val="auto"/>
        </w:rPr>
      </w:pPr>
    </w:p>
    <w:p>
      <w:pPr>
        <w:ind w:left="700" w:firstLine="397"/>
        <w:spacing w:after="0" w:line="312" w:lineRule="auto"/>
        <w:rPr>
          <w:sz w:val="20"/>
          <w:szCs w:val="20"/>
          <w:color w:val="auto"/>
        </w:rPr>
      </w:pPr>
      <w:r>
        <w:rPr>
          <w:rFonts w:ascii="Arial" w:cs="Arial" w:eastAsia="Arial" w:hAnsi="Arial"/>
          <w:sz w:val="16"/>
          <w:szCs w:val="16"/>
          <w:color w:val="auto"/>
        </w:rPr>
        <w:t>We may sell the debt securities at a discount, which may be substantial, below their stated principal amount. These debt securities may bear no interest or interest at a rate that at the time of issuance is below market rates. If we sell these debt securities, we will describe in the prospectus supplement any material United States federal income tax consequences and other special considerations.</w:t>
      </w:r>
    </w:p>
    <w:p>
      <w:pPr>
        <w:spacing w:after="0" w:line="52" w:lineRule="exact"/>
        <w:rPr>
          <w:sz w:val="20"/>
          <w:szCs w:val="20"/>
          <w:color w:val="auto"/>
        </w:rPr>
      </w:pPr>
    </w:p>
    <w:p>
      <w:pPr>
        <w:ind w:left="700" w:firstLine="397"/>
        <w:spacing w:after="0" w:line="286" w:lineRule="auto"/>
        <w:rPr>
          <w:sz w:val="20"/>
          <w:szCs w:val="20"/>
          <w:color w:val="auto"/>
        </w:rPr>
      </w:pPr>
      <w:r>
        <w:rPr>
          <w:rFonts w:ascii="Arial" w:cs="Arial" w:eastAsia="Arial" w:hAnsi="Arial"/>
          <w:sz w:val="17"/>
          <w:szCs w:val="17"/>
          <w:color w:val="auto"/>
        </w:rPr>
        <w:t>If we sell any of the debt securities for any foreign currency or currency unit or if payments on the debt securities are payable in any foreign currency or currency unit, we will describe in the prospectus supplement the restrictions, elections, tax consequences, specific terms and other information relating to those debt securities and the foreign currency or currency unit.</w:t>
      </w:r>
    </w:p>
    <w:p>
      <w:pPr>
        <w:spacing w:after="0" w:line="71" w:lineRule="exact"/>
        <w:rPr>
          <w:sz w:val="20"/>
          <w:szCs w:val="20"/>
          <w:color w:val="auto"/>
        </w:rPr>
      </w:pPr>
    </w:p>
    <w:p>
      <w:pPr>
        <w:ind w:left="700" w:right="140" w:firstLine="397"/>
        <w:spacing w:after="0" w:line="342" w:lineRule="auto"/>
        <w:rPr>
          <w:sz w:val="20"/>
          <w:szCs w:val="20"/>
          <w:color w:val="auto"/>
        </w:rPr>
      </w:pPr>
      <w:r>
        <w:rPr>
          <w:rFonts w:ascii="Arial" w:cs="Arial" w:eastAsia="Arial" w:hAnsi="Arial"/>
          <w:sz w:val="16"/>
          <w:szCs w:val="16"/>
          <w:i w:val="1"/>
          <w:iCs w:val="1"/>
          <w:color w:val="auto"/>
        </w:rPr>
        <w:t xml:space="preserve">Consolidation, Merger and Sale of Assets. </w:t>
      </w:r>
      <w:r>
        <w:rPr>
          <w:rFonts w:ascii="Arial" w:cs="Arial" w:eastAsia="Arial" w:hAnsi="Arial"/>
          <w:sz w:val="16"/>
          <w:szCs w:val="16"/>
          <w:color w:val="auto"/>
        </w:rPr>
        <w:t>The indentures generally prohibit a consolidation or merger of Waste Management into</w:t>
      </w:r>
      <w:r>
        <w:rPr>
          <w:rFonts w:ascii="Arial" w:cs="Arial" w:eastAsia="Arial" w:hAnsi="Arial"/>
          <w:sz w:val="16"/>
          <w:szCs w:val="16"/>
          <w:i w:val="1"/>
          <w:iCs w:val="1"/>
          <w:color w:val="auto"/>
        </w:rPr>
        <w:t xml:space="preserve"> </w:t>
      </w:r>
      <w:r>
        <w:rPr>
          <w:rFonts w:ascii="Arial" w:cs="Arial" w:eastAsia="Arial" w:hAnsi="Arial"/>
          <w:sz w:val="16"/>
          <w:szCs w:val="16"/>
          <w:color w:val="auto"/>
        </w:rPr>
        <w:t>another person, or a lease, transfer or disposition of all or substantially all of our assets to another person unless:</w:t>
      </w:r>
    </w:p>
    <w:p>
      <w:pPr>
        <w:spacing w:after="0" w:line="29" w:lineRule="exact"/>
        <w:rPr>
          <w:sz w:val="20"/>
          <w:szCs w:val="20"/>
          <w:color w:val="auto"/>
        </w:rPr>
      </w:pPr>
    </w:p>
    <w:p>
      <w:pPr>
        <w:ind w:left="1300" w:right="60" w:hanging="202"/>
        <w:spacing w:after="0" w:line="264"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resulting person formed or into which Waste Management is merged or the person which acquires all or substantially all of our assets assumes the performance of the covenants and obligations under the indentures and the due and punctual payments on the debt securities; and</w:t>
      </w:r>
    </w:p>
    <w:p>
      <w:pPr>
        <w:spacing w:after="0" w:line="73" w:lineRule="exact"/>
        <w:rPr>
          <w:rFonts w:ascii="Arial" w:cs="Arial" w:eastAsia="Arial" w:hAnsi="Arial"/>
          <w:sz w:val="18"/>
          <w:szCs w:val="18"/>
          <w:color w:val="auto"/>
        </w:rPr>
      </w:pPr>
    </w:p>
    <w:p>
      <w:pPr>
        <w:ind w:left="1300" w:right="220" w:hanging="202"/>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would occur and be continuing or would result from the transaction.</w:t>
      </w:r>
    </w:p>
    <w:p>
      <w:pPr>
        <w:spacing w:after="0" w:line="76" w:lineRule="exact"/>
        <w:rPr>
          <w:sz w:val="20"/>
          <w:szCs w:val="20"/>
          <w:color w:val="auto"/>
        </w:rPr>
      </w:pPr>
    </w:p>
    <w:p>
      <w:pPr>
        <w:jc w:val="both"/>
        <w:ind w:left="700" w:right="100" w:firstLine="397"/>
        <w:spacing w:after="0" w:line="264" w:lineRule="auto"/>
        <w:rPr>
          <w:sz w:val="20"/>
          <w:szCs w:val="20"/>
          <w:color w:val="auto"/>
        </w:rPr>
      </w:pPr>
      <w:r>
        <w:rPr>
          <w:rFonts w:ascii="Arial" w:cs="Arial" w:eastAsia="Arial" w:hAnsi="Arial"/>
          <w:sz w:val="18"/>
          <w:szCs w:val="18"/>
          <w:color w:val="auto"/>
        </w:rPr>
        <w:t>Upon any such consolidation, merger or asset lease, transfer or disposition, the resulting entity or transferee will be substituted for us under the applicable indenture and debt securities. In the case of an asset transfer or disposition other than a lease, we will be released from the applicable indenture.</w:t>
      </w:r>
    </w:p>
    <w:p>
      <w:pPr>
        <w:spacing w:after="0" w:line="87" w:lineRule="exact"/>
        <w:rPr>
          <w:sz w:val="20"/>
          <w:szCs w:val="20"/>
          <w:color w:val="auto"/>
        </w:rPr>
      </w:pPr>
    </w:p>
    <w:p>
      <w:pPr>
        <w:ind w:left="700" w:right="320" w:firstLine="397"/>
        <w:spacing w:after="0" w:line="277" w:lineRule="auto"/>
        <w:rPr>
          <w:sz w:val="20"/>
          <w:szCs w:val="20"/>
          <w:color w:val="auto"/>
        </w:rPr>
      </w:pPr>
      <w:r>
        <w:rPr>
          <w:rFonts w:ascii="Arial" w:cs="Arial" w:eastAsia="Arial" w:hAnsi="Arial"/>
          <w:sz w:val="18"/>
          <w:szCs w:val="18"/>
          <w:i w:val="1"/>
          <w:iCs w:val="1"/>
          <w:color w:val="auto"/>
        </w:rPr>
        <w:t xml:space="preserve">Events of Default. </w:t>
      </w:r>
      <w:r>
        <w:rPr>
          <w:rFonts w:ascii="Arial" w:cs="Arial" w:eastAsia="Arial" w:hAnsi="Arial"/>
          <w:sz w:val="18"/>
          <w:szCs w:val="18"/>
          <w:color w:val="auto"/>
        </w:rPr>
        <w:t>Unless we inform you otherwise in the applicable prospectus supplement, the following are events of default</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a series of debt securities:</w:t>
      </w:r>
    </w:p>
    <w:p>
      <w:pPr>
        <w:spacing w:after="0" w:line="76" w:lineRule="exact"/>
        <w:rPr>
          <w:sz w:val="20"/>
          <w:szCs w:val="20"/>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pay interest on that series of debt securities for 30 days when due;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pay principal of or any premium on that series of debt securities when due;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deposit into any sinking fund when due;</w:t>
      </w:r>
    </w:p>
    <w:p>
      <w:pPr>
        <w:spacing w:after="0" w:line="117" w:lineRule="exact"/>
        <w:rPr>
          <w:rFonts w:ascii="Arial" w:cs="Arial" w:eastAsia="Arial" w:hAnsi="Arial"/>
          <w:sz w:val="18"/>
          <w:szCs w:val="18"/>
          <w:color w:val="auto"/>
        </w:rPr>
      </w:pPr>
    </w:p>
    <w:p>
      <w:pPr>
        <w:ind w:left="1300" w:right="60" w:hanging="202"/>
        <w:spacing w:after="0" w:line="25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comply with any covenant or agreement in that series of debt securities or the applicable indenture (other than an agreement or covenant that has been included in the indenture solely for the benefit of other series of debt securities) for 60 days after written notice by the trustee in the case of the senior indenture and for 90 days after written notice by the trustee in the case of the subordinated indenture or by the holders of at least 25% in principal amount of the outstanding debt securities issued under that indenture that are affected by that failure;</w:t>
      </w:r>
    </w:p>
    <w:p>
      <w:pPr>
        <w:spacing w:after="0" w:line="80" w:lineRule="exact"/>
        <w:rPr>
          <w:rFonts w:ascii="Arial" w:cs="Arial" w:eastAsia="Arial" w:hAnsi="Arial"/>
          <w:sz w:val="18"/>
          <w:szCs w:val="18"/>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specified events involving bankruptcy, insolvency or reorganization;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event of default provided for that series of debt securities.</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60" w:firstLine="397"/>
        <w:spacing w:after="0" w:line="279" w:lineRule="auto"/>
        <w:rPr>
          <w:sz w:val="20"/>
          <w:szCs w:val="20"/>
          <w:color w:val="auto"/>
        </w:rPr>
      </w:pPr>
      <w:r>
        <w:rPr>
          <w:rFonts w:ascii="Arial" w:cs="Arial" w:eastAsia="Arial" w:hAnsi="Arial"/>
          <w:sz w:val="17"/>
          <w:szCs w:val="17"/>
          <w:color w:val="auto"/>
        </w:rPr>
        <w:t>If an event of default for any series of debt securities occurs and is continuing, the trustee or the holders of at least 25% in principal amount of the outstanding debt securities of the series affected by the default may declare the principal of and all accrued and unpaid interest on those debt securities to be due and payable. The holders of a majority in principal amount of the outstanding debt securities of the series affected by the default may in some cases rescind this accelerated payment requirement.</w:t>
      </w:r>
    </w:p>
    <w:p>
      <w:pPr>
        <w:spacing w:after="0" w:line="7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holder of a debt security of any series issued under an indenture may pursue any remedy under that indenture only if:</w:t>
      </w:r>
    </w:p>
    <w:p>
      <w:pPr>
        <w:spacing w:after="0" w:line="131" w:lineRule="exact"/>
        <w:rPr>
          <w:sz w:val="20"/>
          <w:szCs w:val="20"/>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for that series;</w:t>
      </w:r>
    </w:p>
    <w:p>
      <w:pPr>
        <w:spacing w:after="0" w:line="117" w:lineRule="exact"/>
        <w:rPr>
          <w:rFonts w:ascii="Arial" w:cs="Arial" w:eastAsia="Arial" w:hAnsi="Arial"/>
          <w:sz w:val="18"/>
          <w:szCs w:val="18"/>
          <w:color w:val="auto"/>
        </w:rPr>
      </w:pPr>
    </w:p>
    <w:p>
      <w:pPr>
        <w:ind w:left="1300" w:right="440" w:hanging="202"/>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that series make a written request to the trustee to pursue the remedy;</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holders offer to the trustee indemnity satisfactory to the trustee;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trustee fails to act for a period of 60 days after receipt of the request and offer of indemnity; and</w:t>
      </w:r>
    </w:p>
    <w:p>
      <w:pPr>
        <w:spacing w:after="0" w:line="117" w:lineRule="exact"/>
        <w:rPr>
          <w:rFonts w:ascii="Arial" w:cs="Arial" w:eastAsia="Arial" w:hAnsi="Arial"/>
          <w:sz w:val="18"/>
          <w:szCs w:val="18"/>
          <w:color w:val="auto"/>
        </w:rPr>
      </w:pPr>
    </w:p>
    <w:p>
      <w:pPr>
        <w:ind w:left="1300" w:right="20" w:hanging="202"/>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the debt securities of that series do not give the trustee a direction inconsistent with the request.</w:t>
      </w:r>
    </w:p>
    <w:p>
      <w:pPr>
        <w:spacing w:after="0" w:line="7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This provision does not, however, affect the right of a holder of a debt security to sue for enforcement of any overdue payment.</w:t>
      </w:r>
    </w:p>
    <w:p>
      <w:pPr>
        <w:spacing w:after="0" w:line="131" w:lineRule="exact"/>
        <w:rPr>
          <w:sz w:val="20"/>
          <w:szCs w:val="20"/>
          <w:color w:val="auto"/>
        </w:rPr>
      </w:pPr>
    </w:p>
    <w:p>
      <w:pPr>
        <w:ind w:left="700" w:right="60" w:firstLine="397"/>
        <w:spacing w:after="0" w:line="308" w:lineRule="auto"/>
        <w:rPr>
          <w:sz w:val="20"/>
          <w:szCs w:val="20"/>
          <w:color w:val="auto"/>
        </w:rPr>
      </w:pPr>
      <w:r>
        <w:rPr>
          <w:rFonts w:ascii="Arial" w:cs="Arial" w:eastAsia="Arial" w:hAnsi="Arial"/>
          <w:sz w:val="17"/>
          <w:szCs w:val="17"/>
          <w:color w:val="auto"/>
        </w:rPr>
        <w:t>In most cases, holders of a majority in principal amount of the outstanding debt securities of a series (or of all debt securities issued under the applicable indenture that are affected, voting as one class) may direct the time, method and place of:</w:t>
      </w:r>
    </w:p>
    <w:p>
      <w:pPr>
        <w:spacing w:after="0" w:line="52" w:lineRule="exact"/>
        <w:rPr>
          <w:sz w:val="20"/>
          <w:szCs w:val="20"/>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conducting any proceeding for any remedy available to the trustee;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exercising any trust or power conferred on the trustee relating to or arising as a result of an event of default.</w:t>
      </w:r>
    </w:p>
    <w:p>
      <w:pPr>
        <w:spacing w:after="0" w:line="131"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The indentures require us to file each year with the trustee a written statement as to our compliance with the covenants contained in the applicable indenture.</w:t>
      </w:r>
    </w:p>
    <w:p>
      <w:pPr>
        <w:spacing w:after="0" w:line="76"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i w:val="1"/>
          <w:iCs w:val="1"/>
          <w:color w:val="auto"/>
        </w:rPr>
        <w:t xml:space="preserve">Modification and Waiver. </w:t>
      </w:r>
      <w:r>
        <w:rPr>
          <w:rFonts w:ascii="Arial" w:cs="Arial" w:eastAsia="Arial" w:hAnsi="Arial"/>
          <w:sz w:val="17"/>
          <w:szCs w:val="17"/>
          <w:color w:val="auto"/>
        </w:rPr>
        <w:t>Each indenture may be amended or supplemented if the majority in principal amount of the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debt securities of all series issued under that indenture that are affected by the amendment or supplement (acting as one class) consent to it. However, the subordinated indenture may not be amended to alter the subordination of any outstanding subordinated securities without the consent of each holder of senior debt then outstanding that would be adversely affected by the amendment. Additionally, without the consent of the holder of each debt security affected, no modification may:</w:t>
      </w:r>
    </w:p>
    <w:p>
      <w:pPr>
        <w:spacing w:after="0" w:line="78" w:lineRule="exact"/>
        <w:rPr>
          <w:sz w:val="20"/>
          <w:szCs w:val="20"/>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the debt security;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the principal of the debt security or change its stated maturity;</w:t>
      </w:r>
    </w:p>
    <w:p>
      <w:pPr>
        <w:spacing w:after="0" w:line="117" w:lineRule="exact"/>
        <w:rPr>
          <w:rFonts w:ascii="Arial" w:cs="Arial" w:eastAsia="Arial" w:hAnsi="Arial"/>
          <w:sz w:val="18"/>
          <w:szCs w:val="18"/>
          <w:color w:val="auto"/>
        </w:rPr>
      </w:pPr>
    </w:p>
    <w:p>
      <w:pPr>
        <w:ind w:left="1300" w:right="20" w:hanging="202"/>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any premium payable on the redemption of the debt security or change the time at which the debt security may or must be redeemed;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the debt security;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 any obligation for us to maintain a paying agency;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payments on the debt security payable in currency other than as originally stated in the debt security;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or with respect to the debt security;</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80" w:hanging="202"/>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make any change in the percentage of principal amount of debt securities necessary to waive compliance with certain provisions of the indenture or to make any change in the provision related to modification; or</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adversely affect the right to convert subordinated debt securities, if applicable.</w:t>
      </w:r>
    </w:p>
    <w:p>
      <w:pPr>
        <w:spacing w:after="0" w:line="131" w:lineRule="exact"/>
        <w:rPr>
          <w:sz w:val="20"/>
          <w:szCs w:val="20"/>
          <w:color w:val="auto"/>
        </w:rPr>
      </w:pPr>
    </w:p>
    <w:p>
      <w:pPr>
        <w:ind w:left="700" w:right="460" w:firstLine="397"/>
        <w:spacing w:after="0" w:line="264" w:lineRule="auto"/>
        <w:rPr>
          <w:sz w:val="20"/>
          <w:szCs w:val="20"/>
          <w:color w:val="auto"/>
        </w:rPr>
      </w:pPr>
      <w:r>
        <w:rPr>
          <w:rFonts w:ascii="Arial" w:cs="Arial" w:eastAsia="Arial" w:hAnsi="Arial"/>
          <w:sz w:val="18"/>
          <w:szCs w:val="18"/>
          <w:color w:val="auto"/>
        </w:rPr>
        <w:t>The holders of a majority in principal amount of the outstanding debt securities of any series (or, in some cases, of all debt securities issued under the applicable indenture, voting as one class) may waive any existing or past default or event of default with respect to those debt securities. Those holders may not, however, waive any</w:t>
      </w:r>
    </w:p>
    <w:p>
      <w:pPr>
        <w:spacing w:after="0" w:line="87" w:lineRule="exact"/>
        <w:rPr>
          <w:sz w:val="20"/>
          <w:szCs w:val="20"/>
          <w:color w:val="auto"/>
        </w:rPr>
      </w:pPr>
    </w:p>
    <w:p>
      <w:pPr>
        <w:ind w:left="1300" w:hanging="202"/>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default or event of default in any payment on any debt security;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compliance with a provision that cannot be amended or supplemented without the consent of each holder affected.</w:t>
      </w:r>
    </w:p>
    <w:p>
      <w:pPr>
        <w:spacing w:after="0" w:line="131"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i w:val="1"/>
          <w:iCs w:val="1"/>
          <w:color w:val="auto"/>
        </w:rPr>
        <w:t xml:space="preserve">Defeasance. </w:t>
      </w:r>
      <w:r>
        <w:rPr>
          <w:rFonts w:ascii="Arial" w:cs="Arial" w:eastAsia="Arial" w:hAnsi="Arial"/>
          <w:sz w:val="18"/>
          <w:szCs w:val="18"/>
          <w:color w:val="auto"/>
        </w:rPr>
        <w:t>When we use the term defeasance, we mean discharge from some or all of our obligations under the indentures. If any</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of funds or government securities are deposited with the trustee under an indenture sufficient to make payments on the debt securities of a series issued under that indenture on the dates those payments are due and payable, then, at our option, either of the following will occur:</w:t>
      </w:r>
    </w:p>
    <w:p>
      <w:pPr>
        <w:spacing w:after="0" w:line="92" w:lineRule="exact"/>
        <w:rPr>
          <w:sz w:val="20"/>
          <w:szCs w:val="20"/>
          <w:color w:val="auto"/>
        </w:rPr>
      </w:pPr>
    </w:p>
    <w:p>
      <w:pPr>
        <w:ind w:left="1300" w:right="680" w:hanging="202"/>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will be discharged from our obligations with respect to the debt securities of that series and, if applicable, the related guarantees (“legal defeasance”); or</w:t>
      </w:r>
    </w:p>
    <w:p>
      <w:pPr>
        <w:spacing w:after="0" w:line="62" w:lineRule="exact"/>
        <w:rPr>
          <w:rFonts w:ascii="Arial" w:cs="Arial" w:eastAsia="Arial" w:hAnsi="Arial"/>
          <w:sz w:val="18"/>
          <w:szCs w:val="18"/>
          <w:color w:val="auto"/>
        </w:rPr>
      </w:pPr>
    </w:p>
    <w:p>
      <w:pPr>
        <w:ind w:left="1300" w:right="620" w:hanging="202"/>
        <w:spacing w:after="0" w:line="342" w:lineRule="auto"/>
        <w:tabs>
          <w:tab w:leader="none" w:pos="1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will no longer have any obligation to comply with the restrictive covenants, the merger covenant and other specified covenants under the applicable indenture, and the related events of default will no longer apply (“covenant defeasance”).</w:t>
      </w:r>
    </w:p>
    <w:p>
      <w:pPr>
        <w:spacing w:after="0" w:line="29" w:lineRule="exact"/>
        <w:rPr>
          <w:sz w:val="20"/>
          <w:szCs w:val="20"/>
          <w:color w:val="auto"/>
        </w:rPr>
      </w:pPr>
    </w:p>
    <w:p>
      <w:pPr>
        <w:ind w:left="700" w:right="20"/>
        <w:spacing w:after="0" w:line="276" w:lineRule="auto"/>
        <w:rPr>
          <w:sz w:val="20"/>
          <w:szCs w:val="20"/>
          <w:color w:val="auto"/>
        </w:rPr>
      </w:pPr>
      <w:r>
        <w:rPr>
          <w:rFonts w:ascii="Arial" w:cs="Arial" w:eastAsia="Arial" w:hAnsi="Arial"/>
          <w:sz w:val="17"/>
          <w:szCs w:val="17"/>
          <w:color w:val="auto"/>
        </w:rPr>
        <w:t>If a series of debt securities is defeased, the holders of the debt securities of the series affected will not be entitled to the benefits of the applicable indenture, except for obligations to register the transfer or exchange of debt securities, replace stolen, lost or mutilated debt securities, maintain paying agencies, hold moneys for payment in trust and, in the case of subordinated debt securities, no defeasance will affect our obligations respecting the conversion of debt securities into Common Stock. In the case of covenant defeasance, our obligation to pay principal, premium and interest on the debt securities will also survive.</w:t>
      </w:r>
    </w:p>
    <w:p>
      <w:pPr>
        <w:spacing w:after="0" w:line="78" w:lineRule="exact"/>
        <w:rPr>
          <w:sz w:val="20"/>
          <w:szCs w:val="20"/>
          <w:color w:val="auto"/>
        </w:rPr>
      </w:pPr>
    </w:p>
    <w:p>
      <w:pPr>
        <w:ind w:left="700" w:right="260" w:firstLine="397"/>
        <w:spacing w:after="0" w:line="291" w:lineRule="auto"/>
        <w:rPr>
          <w:sz w:val="20"/>
          <w:szCs w:val="20"/>
          <w:color w:val="auto"/>
        </w:rPr>
      </w:pPr>
      <w:r>
        <w:rPr>
          <w:rFonts w:ascii="Arial" w:cs="Arial" w:eastAsia="Arial" w:hAnsi="Arial"/>
          <w:sz w:val="16"/>
          <w:szCs w:val="16"/>
          <w:color w:val="auto"/>
        </w:rPr>
        <w:t>Unless we inform you otherwise in the prospectus supplement, we will be required to deliver to the trustee an opinion of counsel that the deposit and related defeasance would not cause the holders of the debt securities to recognize income, gain or loss for</w:t>
      </w:r>
    </w:p>
    <w:p>
      <w:pPr>
        <w:ind w:left="700" w:right="20"/>
        <w:spacing w:after="0" w:line="261" w:lineRule="auto"/>
        <w:rPr>
          <w:sz w:val="20"/>
          <w:szCs w:val="20"/>
          <w:color w:val="auto"/>
        </w:rPr>
      </w:pPr>
      <w:r>
        <w:rPr>
          <w:rFonts w:ascii="Arial" w:cs="Arial" w:eastAsia="Arial" w:hAnsi="Arial"/>
          <w:sz w:val="18"/>
          <w:szCs w:val="18"/>
          <w:color w:val="auto"/>
        </w:rPr>
        <w:t>U.S. federal income tax purposes. If we elect legal defeasance, that opinion of counsel must be based upon a ruling from the U.S. Internal Revenue Service or a change in law to that effect.</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New York law will govern the indentures and the debt securities.</w:t>
      </w:r>
    </w:p>
    <w:p>
      <w:pPr>
        <w:spacing w:after="0" w:line="131"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i w:val="1"/>
          <w:iCs w:val="1"/>
          <w:color w:val="auto"/>
        </w:rPr>
        <w:t xml:space="preserve">Trustee. </w:t>
      </w:r>
      <w:r>
        <w:rPr>
          <w:rFonts w:ascii="Arial" w:cs="Arial" w:eastAsia="Arial" w:hAnsi="Arial"/>
          <w:sz w:val="16"/>
          <w:szCs w:val="16"/>
          <w:color w:val="auto"/>
        </w:rPr>
        <w:t>The Bank of New York Mellon Trust Company, N.A. is the trustee under the senior indenture and the subordinated</w:t>
      </w:r>
      <w:r>
        <w:rPr>
          <w:rFonts w:ascii="Arial" w:cs="Arial" w:eastAsia="Arial" w:hAnsi="Arial"/>
          <w:sz w:val="16"/>
          <w:szCs w:val="16"/>
          <w:i w:val="1"/>
          <w:iCs w:val="1"/>
          <w:color w:val="auto"/>
        </w:rPr>
        <w:t xml:space="preserve"> </w:t>
      </w:r>
      <w:r>
        <w:rPr>
          <w:rFonts w:ascii="Arial" w:cs="Arial" w:eastAsia="Arial" w:hAnsi="Arial"/>
          <w:sz w:val="16"/>
          <w:szCs w:val="16"/>
          <w:color w:val="auto"/>
        </w:rPr>
        <w:t>indenture. The Bank of New York Trust Company, N.A. serves as trustee or custodian relating to a number of series of debt obligations of Waste Management as of December 31, 2008. Certain of The Bank of New York Trust Company, N.A.’s affiliates perform certain commercial banking services for us for which they receive customary fees and act as a lender under our current credit facility.</w:t>
      </w:r>
    </w:p>
    <w:p>
      <w:pPr>
        <w:spacing w:after="0" w:line="60"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If an event of default occurs under an indenture and is continuing, the trustee under that indenture will be required to use the degree of care and skill of a prudent person in the conduct of that person’s own affairs. The trustee will become obligated to exercise any of its powers under that indenture at the request of any of the holders of any debt securities issued under that indenture only after those holders have offered the trustee indemnity satisfactory to it.</w:t>
      </w:r>
    </w:p>
    <w:p>
      <w:pPr>
        <w:spacing w:after="0" w:line="92"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Each indenture contains limitations on the right of the trustee, if it becomes our creditor, to obtain payment of claims or to realize on certain property received for any such claim, as security or otherwise. The trustee is permitted to engage in other transactions with us. If, however, it acquires any conflicting interest, it must eliminate that conflict or resign.</w:t>
      </w:r>
    </w:p>
    <w:p>
      <w:pPr>
        <w:spacing w:after="0" w:line="3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140" w:firstLine="397"/>
        <w:spacing w:after="0" w:line="259" w:lineRule="auto"/>
        <w:rPr>
          <w:sz w:val="20"/>
          <w:szCs w:val="20"/>
          <w:color w:val="auto"/>
        </w:rPr>
      </w:pPr>
      <w:r>
        <w:rPr>
          <w:rFonts w:ascii="Arial" w:cs="Arial" w:eastAsia="Arial" w:hAnsi="Arial"/>
          <w:sz w:val="18"/>
          <w:szCs w:val="18"/>
          <w:i w:val="1"/>
          <w:iCs w:val="1"/>
          <w:color w:val="auto"/>
        </w:rPr>
        <w:t xml:space="preserve">Form, Exchange, Registration and Transfer. </w:t>
      </w:r>
      <w:r>
        <w:rPr>
          <w:rFonts w:ascii="Arial" w:cs="Arial" w:eastAsia="Arial" w:hAnsi="Arial"/>
          <w:sz w:val="18"/>
          <w:szCs w:val="18"/>
          <w:color w:val="auto"/>
        </w:rPr>
        <w:t>The debt securities may be issued in registered form, without interest coupons, or in</w:t>
      </w:r>
      <w:r>
        <w:rPr>
          <w:rFonts w:ascii="Arial" w:cs="Arial" w:eastAsia="Arial" w:hAnsi="Arial"/>
          <w:sz w:val="18"/>
          <w:szCs w:val="18"/>
          <w:i w:val="1"/>
          <w:iCs w:val="1"/>
          <w:color w:val="auto"/>
        </w:rPr>
        <w:t xml:space="preserve"> </w:t>
      </w:r>
      <w:r>
        <w:rPr>
          <w:rFonts w:ascii="Arial" w:cs="Arial" w:eastAsia="Arial" w:hAnsi="Arial"/>
          <w:sz w:val="18"/>
          <w:szCs w:val="18"/>
          <w:color w:val="auto"/>
        </w:rPr>
        <w:t>bearer form, with interest coupons attached, or both, as described in the prospectus supplement. There will be no service charge for any registration of transfer or exchange of the debt securities. However, payment of any transfer tax or similar governmental charge payable for that registration may be required.</w:t>
      </w:r>
    </w:p>
    <w:p>
      <w:pPr>
        <w:spacing w:after="0" w:line="92" w:lineRule="exact"/>
        <w:rPr>
          <w:sz w:val="20"/>
          <w:szCs w:val="20"/>
          <w:color w:val="auto"/>
        </w:rPr>
      </w:pPr>
    </w:p>
    <w:p>
      <w:pPr>
        <w:ind w:left="700" w:right="200" w:firstLine="397"/>
        <w:spacing w:after="0" w:line="302" w:lineRule="auto"/>
        <w:rPr>
          <w:sz w:val="20"/>
          <w:szCs w:val="20"/>
          <w:color w:val="auto"/>
        </w:rPr>
      </w:pPr>
      <w:r>
        <w:rPr>
          <w:rFonts w:ascii="Arial" w:cs="Arial" w:eastAsia="Arial" w:hAnsi="Arial"/>
          <w:sz w:val="16"/>
          <w:szCs w:val="16"/>
          <w:color w:val="auto"/>
        </w:rPr>
        <w:t>Debt securities of any series will be exchangeable for other debt securities of the same series, the same total principal amount and the same terms but in different authorized denominations in accordance with the applicable indenture. Holders may present debt securities for registration of transfer at the office of the security registrar or any transfer agent we designate. The security registrar or transfer agent will affect the transfer or exchange if its requirements and the requirements of the applicable indenture are met.</w:t>
      </w:r>
    </w:p>
    <w:p>
      <w:pPr>
        <w:spacing w:after="0" w:line="60"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The trustee will be appointed as security registrar for the debt securities. If a prospectus supplement refers to any transfer agents we initially designate, we may at any time rescind that designation or approve a change in the location through which any transfer agent acts. We are required to maintain an office or agency for transfers and exchanges in each place of payment. We may at any time designate additional transfer agents for any series of debt securities.</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 the case of any redemption, we will not be required to register the transfer or exchange of:</w:t>
      </w:r>
    </w:p>
    <w:p>
      <w:pPr>
        <w:spacing w:after="0" w:line="131" w:lineRule="exact"/>
        <w:rPr>
          <w:sz w:val="20"/>
          <w:szCs w:val="20"/>
          <w:color w:val="auto"/>
        </w:rPr>
      </w:pPr>
    </w:p>
    <w:p>
      <w:pPr>
        <w:ind w:left="1300" w:right="660" w:hanging="202"/>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debt security during a period beginning 15 business days prior to the mailing of the relevant notice of redemption or repurchase and ending on the close of business on the day of mailing of such notice; or</w:t>
      </w:r>
    </w:p>
    <w:p>
      <w:pPr>
        <w:spacing w:after="0" w:line="62" w:lineRule="exact"/>
        <w:rPr>
          <w:rFonts w:ascii="Arial" w:cs="Arial" w:eastAsia="Arial" w:hAnsi="Arial"/>
          <w:sz w:val="18"/>
          <w:szCs w:val="18"/>
          <w:color w:val="auto"/>
        </w:rPr>
      </w:pPr>
    </w:p>
    <w:p>
      <w:pPr>
        <w:ind w:left="1300" w:right="360" w:hanging="202"/>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debt security that has been called for redemption in whole or in part, except the unredeemed portion of any debt security being redeemed in part.</w:t>
      </w:r>
    </w:p>
    <w:p>
      <w:pPr>
        <w:spacing w:after="0" w:line="76"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i w:val="1"/>
          <w:iCs w:val="1"/>
          <w:color w:val="auto"/>
        </w:rPr>
        <w:t xml:space="preserve">Payment and Paying Agents. </w:t>
      </w:r>
      <w:r>
        <w:rPr>
          <w:rFonts w:ascii="Arial" w:cs="Arial" w:eastAsia="Arial" w:hAnsi="Arial"/>
          <w:sz w:val="17"/>
          <w:szCs w:val="17"/>
          <w:color w:val="auto"/>
        </w:rPr>
        <w:t>Unless we inform you otherwise in a prospectus supplement, payments on the debt securities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made in U.S. dollars at the office of the trustee and any paying agent. At our option, however, payments may be made by wire transfer for global debt securities or by check mailed to the address of the person entitled to the payment as it appears in the security register. Unless we inform you otherwise in a prospectus supplement, interest payments may be made to the person in whose name the debt security is registered at the close of business on the record date for the interest payment.</w:t>
      </w:r>
    </w:p>
    <w:p>
      <w:pPr>
        <w:spacing w:after="0" w:line="78" w:lineRule="exact"/>
        <w:rPr>
          <w:sz w:val="20"/>
          <w:szCs w:val="20"/>
          <w:color w:val="auto"/>
        </w:rPr>
      </w:pPr>
    </w:p>
    <w:p>
      <w:pPr>
        <w:ind w:left="700" w:right="320" w:firstLine="397"/>
        <w:spacing w:after="0" w:line="312" w:lineRule="auto"/>
        <w:rPr>
          <w:sz w:val="20"/>
          <w:szCs w:val="20"/>
          <w:color w:val="auto"/>
        </w:rPr>
      </w:pPr>
      <w:r>
        <w:rPr>
          <w:rFonts w:ascii="Arial" w:cs="Arial" w:eastAsia="Arial" w:hAnsi="Arial"/>
          <w:sz w:val="16"/>
          <w:szCs w:val="16"/>
          <w:color w:val="auto"/>
        </w:rPr>
        <w:t>Unless we inform you otherwise in a prospectus supplement, the trustee under the applicable indenture will be designated as the paying agent for payments on debt securities issued under that indenture. We may at any time designate additional paying agents or rescind the designation of any paying agent or approve a change in the office through which any paying agent acts.</w:t>
      </w:r>
    </w:p>
    <w:p>
      <w:pPr>
        <w:spacing w:after="0" w:line="52" w:lineRule="exact"/>
        <w:rPr>
          <w:sz w:val="20"/>
          <w:szCs w:val="20"/>
          <w:color w:val="auto"/>
        </w:rPr>
      </w:pPr>
    </w:p>
    <w:p>
      <w:pPr>
        <w:ind w:left="700" w:right="100" w:firstLine="397"/>
        <w:spacing w:after="0" w:line="257" w:lineRule="auto"/>
        <w:rPr>
          <w:sz w:val="20"/>
          <w:szCs w:val="20"/>
          <w:color w:val="auto"/>
        </w:rPr>
      </w:pPr>
      <w:r>
        <w:rPr>
          <w:rFonts w:ascii="Arial" w:cs="Arial" w:eastAsia="Arial" w:hAnsi="Arial"/>
          <w:sz w:val="18"/>
          <w:szCs w:val="18"/>
          <w:color w:val="auto"/>
        </w:rPr>
        <w:t>If the principal of or any premium or interest on debt securities of a series is payable on a day that is not a business day, the payment will be made on the following business day. For these purposes, unless we inform you otherwise in a prospectus supplement, a “business day” is any day that is not a Saturday, a Sunday or a day on which banking institutions in any of New York, New York; Houston, Texas or a place of payment on the debt securities of that series is authorized or obligated by law, regulation or executive order to remain closed.</w:t>
      </w:r>
    </w:p>
    <w:p>
      <w:pPr>
        <w:spacing w:after="0" w:line="94"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Subject to the requirements of any applicable abandoned property laws, the trustee and paying agent will pay to us upon written request any money held by them for payments on the debt securities that remains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92" w:lineRule="exact"/>
        <w:rPr>
          <w:sz w:val="20"/>
          <w:szCs w:val="20"/>
          <w:color w:val="auto"/>
        </w:rPr>
      </w:pPr>
    </w:p>
    <w:p>
      <w:pPr>
        <w:jc w:val="both"/>
        <w:ind w:left="700" w:right="380" w:firstLine="397"/>
        <w:spacing w:after="0" w:line="279" w:lineRule="auto"/>
        <w:rPr>
          <w:sz w:val="20"/>
          <w:szCs w:val="20"/>
          <w:color w:val="auto"/>
        </w:rPr>
      </w:pPr>
      <w:r>
        <w:rPr>
          <w:rFonts w:ascii="Arial" w:cs="Arial" w:eastAsia="Arial" w:hAnsi="Arial"/>
          <w:sz w:val="17"/>
          <w:szCs w:val="17"/>
          <w:i w:val="1"/>
          <w:iCs w:val="1"/>
          <w:color w:val="auto"/>
        </w:rPr>
        <w:t xml:space="preserve">Book-Entry Debt Securities. </w:t>
      </w:r>
      <w:r>
        <w:rPr>
          <w:rFonts w:ascii="Arial" w:cs="Arial" w:eastAsia="Arial" w:hAnsi="Arial"/>
          <w:sz w:val="17"/>
          <w:szCs w:val="17"/>
          <w:color w:val="auto"/>
        </w:rPr>
        <w:t>The debt securities of a series may be issued in the form of one or more global debt securities that</w:t>
      </w:r>
      <w:r>
        <w:rPr>
          <w:rFonts w:ascii="Arial" w:cs="Arial" w:eastAsia="Arial" w:hAnsi="Arial"/>
          <w:sz w:val="17"/>
          <w:szCs w:val="17"/>
          <w:i w:val="1"/>
          <w:iCs w:val="1"/>
          <w:color w:val="auto"/>
        </w:rPr>
        <w:t xml:space="preserve"> </w:t>
      </w:r>
      <w:r>
        <w:rPr>
          <w:rFonts w:ascii="Arial" w:cs="Arial" w:eastAsia="Arial" w:hAnsi="Arial"/>
          <w:sz w:val="17"/>
          <w:szCs w:val="17"/>
          <w:color w:val="auto"/>
        </w:rPr>
        <w:t>would be deposited with a depositary or its nominee identified in the prospectus supplement. Global debt securities may be issued in either temporary or permanent form. We will describe in the prospectus supplement the terms of any depositary arrangement and the rights and limitations of owners of beneficial interests in any global debt security.</w:t>
      </w:r>
    </w:p>
    <w:p>
      <w:pPr>
        <w:spacing w:after="0" w:line="36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Provisions Applicable Solely to Senior Debt Securities</w:t>
      </w:r>
    </w:p>
    <w:p>
      <w:pPr>
        <w:spacing w:after="0" w:line="135" w:lineRule="exact"/>
        <w:rPr>
          <w:sz w:val="20"/>
          <w:szCs w:val="20"/>
          <w:color w:val="auto"/>
        </w:rPr>
      </w:pPr>
    </w:p>
    <w:p>
      <w:pPr>
        <w:ind w:left="700" w:right="40" w:firstLine="397"/>
        <w:spacing w:after="0" w:line="272" w:lineRule="auto"/>
        <w:rPr>
          <w:sz w:val="20"/>
          <w:szCs w:val="20"/>
          <w:color w:val="auto"/>
        </w:rPr>
      </w:pPr>
      <w:r>
        <w:rPr>
          <w:rFonts w:ascii="Arial" w:cs="Arial" w:eastAsia="Arial" w:hAnsi="Arial"/>
          <w:sz w:val="17"/>
          <w:szCs w:val="17"/>
          <w:i w:val="1"/>
          <w:iCs w:val="1"/>
          <w:color w:val="auto"/>
        </w:rPr>
        <w:t xml:space="preserve">Ranking and Guarantee. </w:t>
      </w:r>
      <w:r>
        <w:rPr>
          <w:rFonts w:ascii="Arial" w:cs="Arial" w:eastAsia="Arial" w:hAnsi="Arial"/>
          <w:sz w:val="17"/>
          <w:szCs w:val="17"/>
          <w:color w:val="auto"/>
        </w:rPr>
        <w:t>The senior debt securities will constitute senior debt of Waste Management and will rank equally with all</w:t>
      </w:r>
      <w:r>
        <w:rPr>
          <w:rFonts w:ascii="Arial" w:cs="Arial" w:eastAsia="Arial" w:hAnsi="Arial"/>
          <w:sz w:val="17"/>
          <w:szCs w:val="17"/>
          <w:i w:val="1"/>
          <w:iCs w:val="1"/>
          <w:color w:val="auto"/>
        </w:rPr>
        <w:t xml:space="preserve"> </w:t>
      </w:r>
      <w:r>
        <w:rPr>
          <w:rFonts w:ascii="Arial" w:cs="Arial" w:eastAsia="Arial" w:hAnsi="Arial"/>
          <w:sz w:val="17"/>
          <w:szCs w:val="17"/>
          <w:color w:val="auto"/>
        </w:rPr>
        <w:t>of the other series of debt securities issued under the senior indenture and will rank senior to all series of subordinated securities issued and outstanding from time to time. However, if the senior debt securities are not guaranteed by Waste Management Holdings, then such securities will be structurally subordinated to all senior debt that is so guaranteed. If provided in a prospectus supplement, Waste Management Holdings may fully and unconditionally guarantee on a senior unsecured basis the full and prompt payment of the principal of and any premium and interest on the senior debt securities issued by Waste Management when and as the payment becomes due and payable, whether at maturity or otherwise.</w:t>
      </w:r>
    </w:p>
    <w:p>
      <w:pPr>
        <w:spacing w:after="0" w:line="83" w:lineRule="exact"/>
        <w:rPr>
          <w:sz w:val="20"/>
          <w:szCs w:val="20"/>
          <w:color w:val="auto"/>
        </w:rPr>
      </w:pPr>
    </w:p>
    <w:p>
      <w:pPr>
        <w:ind w:left="700" w:firstLine="397"/>
        <w:spacing w:after="0" w:line="279" w:lineRule="auto"/>
        <w:rPr>
          <w:sz w:val="20"/>
          <w:szCs w:val="20"/>
          <w:color w:val="auto"/>
        </w:rPr>
      </w:pPr>
      <w:r>
        <w:rPr>
          <w:rFonts w:ascii="Arial" w:cs="Arial" w:eastAsia="Arial" w:hAnsi="Arial"/>
          <w:sz w:val="17"/>
          <w:szCs w:val="17"/>
          <w:i w:val="1"/>
          <w:iCs w:val="1"/>
          <w:color w:val="auto"/>
        </w:rPr>
        <w:t xml:space="preserve">Restrictive Covenants. </w:t>
      </w:r>
      <w:r>
        <w:rPr>
          <w:rFonts w:ascii="Arial" w:cs="Arial" w:eastAsia="Arial" w:hAnsi="Arial"/>
          <w:sz w:val="17"/>
          <w:szCs w:val="17"/>
          <w:color w:val="auto"/>
        </w:rPr>
        <w:t>We have agreed to two principal restrictions on our activities for the benefit of holders of the senior debt</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The restrictive covenants summarized below will apply to a series of senior debt securities (unless waived or amended) as long as any of those debt securities are outstanding, unless the prospectus supplement for the series states otherwise. We have used in this summary description capitalized terms that we have defined below under “Glossary.”</w:t>
      </w:r>
    </w:p>
    <w:p>
      <w:pPr>
        <w:spacing w:after="0" w:line="18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Limitation on Liens</w:t>
      </w:r>
    </w:p>
    <w:p>
      <w:pPr>
        <w:spacing w:after="0" w:line="131"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We have agreed that we and our Restricted Subsidiaries will create, issue, incur or assume Indebtedness secured by a lien upon a Principal Property only if the outstanding senior debt securities are secured equally and ratably with or prior to the Indebtedness secured by that lien. This covenant has exceptions that permit:</w:t>
      </w:r>
    </w:p>
    <w:p>
      <w:pPr>
        <w:spacing w:after="0" w:line="87" w:lineRule="exact"/>
        <w:rPr>
          <w:sz w:val="20"/>
          <w:szCs w:val="20"/>
          <w:color w:val="auto"/>
        </w:rPr>
      </w:pPr>
    </w:p>
    <w:p>
      <w:pPr>
        <w:ind w:left="1080" w:right="100" w:firstLine="391"/>
        <w:spacing w:after="0" w:line="277" w:lineRule="auto"/>
        <w:tabs>
          <w:tab w:leader="none" w:pos="1706"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on the property or assets existing at the time of acquisition which secure obligations assumed by us or our Restricted Subsidiaries;</w:t>
      </w:r>
    </w:p>
    <w:p>
      <w:pPr>
        <w:spacing w:after="0" w:line="75" w:lineRule="exact"/>
        <w:rPr>
          <w:rFonts w:ascii="Arial" w:cs="Arial" w:eastAsia="Arial" w:hAnsi="Arial"/>
          <w:sz w:val="18"/>
          <w:szCs w:val="18"/>
          <w:color w:val="auto"/>
        </w:rPr>
      </w:pPr>
    </w:p>
    <w:p>
      <w:pPr>
        <w:ind w:left="1720" w:hanging="249"/>
        <w:spacing w:after="0"/>
        <w:tabs>
          <w:tab w:leader="none" w:pos="1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conditional sales agreements with respect to any property or assets acquired by us or a Restricted Subsidiary;</w:t>
      </w:r>
    </w:p>
    <w:p>
      <w:pPr>
        <w:spacing w:after="0" w:line="130" w:lineRule="exact"/>
        <w:rPr>
          <w:rFonts w:ascii="Arial" w:cs="Arial" w:eastAsia="Arial" w:hAnsi="Arial"/>
          <w:sz w:val="18"/>
          <w:szCs w:val="18"/>
          <w:color w:val="auto"/>
        </w:rPr>
      </w:pPr>
    </w:p>
    <w:p>
      <w:pPr>
        <w:ind w:left="1080" w:firstLine="391"/>
        <w:spacing w:after="0" w:line="277" w:lineRule="auto"/>
        <w:tabs>
          <w:tab w:leader="none" w:pos="1706"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on the property, assets or stock of an entity at the time the entity is merged into or consolidated with us or a Restricted Subsidiary or at the time the entity becomes a Restricted Subsidiary;</w:t>
      </w:r>
    </w:p>
    <w:p>
      <w:pPr>
        <w:spacing w:after="0" w:line="75" w:lineRule="exact"/>
        <w:rPr>
          <w:rFonts w:ascii="Arial" w:cs="Arial" w:eastAsia="Arial" w:hAnsi="Arial"/>
          <w:sz w:val="18"/>
          <w:szCs w:val="18"/>
          <w:color w:val="auto"/>
        </w:rPr>
      </w:pPr>
    </w:p>
    <w:p>
      <w:pPr>
        <w:ind w:left="1080" w:right="500" w:firstLine="391"/>
        <w:spacing w:after="0" w:line="277" w:lineRule="auto"/>
        <w:tabs>
          <w:tab w:leader="none" w:pos="1716"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liens on the property, assets or stock of an entity that becomes us in accordance with </w:t>
      </w:r>
      <w:r>
        <w:rPr>
          <w:rFonts w:ascii="Arial" w:cs="Arial" w:eastAsia="Arial" w:hAnsi="Arial"/>
          <w:sz w:val="18"/>
          <w:szCs w:val="18"/>
          <w:i w:val="1"/>
          <w:iCs w:val="1"/>
          <w:color w:val="auto"/>
        </w:rPr>
        <w:t>“Provisions Applicable to Debt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Securities — Consolidation, Merger and Sale of Assets,” </w:t>
      </w:r>
      <w:r>
        <w:rPr>
          <w:rFonts w:ascii="Arial" w:cs="Arial" w:eastAsia="Arial" w:hAnsi="Arial"/>
          <w:sz w:val="18"/>
          <w:szCs w:val="18"/>
          <w:color w:val="auto"/>
        </w:rPr>
        <w:t>above;</w:t>
      </w:r>
    </w:p>
    <w:p>
      <w:pPr>
        <w:spacing w:after="0" w:line="75" w:lineRule="exact"/>
        <w:rPr>
          <w:rFonts w:ascii="Arial" w:cs="Arial" w:eastAsia="Arial" w:hAnsi="Arial"/>
          <w:sz w:val="18"/>
          <w:szCs w:val="18"/>
          <w:color w:val="auto"/>
        </w:rPr>
      </w:pPr>
    </w:p>
    <w:p>
      <w:pPr>
        <w:ind w:left="1720" w:hanging="249"/>
        <w:spacing w:after="0"/>
        <w:tabs>
          <w:tab w:leader="none" w:pos="1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on assets either:</w:t>
      </w:r>
    </w:p>
    <w:p>
      <w:pPr>
        <w:spacing w:after="0" w:line="130" w:lineRule="exact"/>
        <w:rPr>
          <w:rFonts w:ascii="Arial" w:cs="Arial" w:eastAsia="Arial" w:hAnsi="Arial"/>
          <w:sz w:val="18"/>
          <w:szCs w:val="18"/>
          <w:color w:val="auto"/>
        </w:rPr>
      </w:pPr>
    </w:p>
    <w:p>
      <w:pPr>
        <w:ind w:left="1700" w:hanging="211"/>
        <w:spacing w:after="0"/>
        <w:tabs>
          <w:tab w:leader="none" w:pos="17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existing at the time of, or created within 360 days after, the acquisition of the assets, or</w:t>
      </w:r>
    </w:p>
    <w:p>
      <w:pPr>
        <w:spacing w:after="0" w:line="117" w:lineRule="exact"/>
        <w:rPr>
          <w:rFonts w:ascii="Arial" w:cs="Arial" w:eastAsia="Arial" w:hAnsi="Arial"/>
          <w:sz w:val="18"/>
          <w:szCs w:val="18"/>
          <w:color w:val="auto"/>
        </w:rPr>
      </w:pPr>
    </w:p>
    <w:p>
      <w:pPr>
        <w:ind w:left="1700" w:right="40" w:hanging="211"/>
        <w:spacing w:after="0" w:line="259" w:lineRule="auto"/>
        <w:tabs>
          <w:tab w:leader="none" w:pos="17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securing Indebtedness incurred to finance all or part of the purchase price of the assets or the cost of constructing, improving, developing or expanding the assets that was incurred before, at the time of, or created within 360 days after, the later of the completion of construction, improvement, development or expansion or the commencement of commercial operation of the assets;</w:t>
      </w:r>
    </w:p>
    <w:p>
      <w:pPr>
        <w:spacing w:after="0" w:line="92" w:lineRule="exact"/>
        <w:rPr>
          <w:rFonts w:ascii="Arial" w:cs="Arial" w:eastAsia="Arial" w:hAnsi="Arial"/>
          <w:sz w:val="18"/>
          <w:szCs w:val="18"/>
          <w:color w:val="auto"/>
        </w:rPr>
      </w:pPr>
    </w:p>
    <w:p>
      <w:pPr>
        <w:ind w:left="1700" w:hanging="229"/>
        <w:spacing w:after="0"/>
        <w:tabs>
          <w:tab w:leader="none" w:pos="1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intercompany liens;</w:t>
      </w:r>
    </w:p>
    <w:p>
      <w:pPr>
        <w:spacing w:after="0" w:line="130" w:lineRule="exact"/>
        <w:rPr>
          <w:rFonts w:ascii="Arial" w:cs="Arial" w:eastAsia="Arial" w:hAnsi="Arial"/>
          <w:sz w:val="18"/>
          <w:szCs w:val="18"/>
          <w:color w:val="auto"/>
        </w:rPr>
      </w:pPr>
    </w:p>
    <w:p>
      <w:pPr>
        <w:ind w:left="1720" w:hanging="249"/>
        <w:spacing w:after="0"/>
        <w:tabs>
          <w:tab w:leader="none" w:pos="1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mechanics’, materialmen’s and like liens incurred in the ordinary course of business;</w:t>
      </w:r>
    </w:p>
    <w:p>
      <w:pPr>
        <w:spacing w:after="0" w:line="130" w:lineRule="exact"/>
        <w:rPr>
          <w:rFonts w:ascii="Arial" w:cs="Arial" w:eastAsia="Arial" w:hAnsi="Arial"/>
          <w:sz w:val="18"/>
          <w:szCs w:val="18"/>
          <w:color w:val="auto"/>
        </w:rPr>
      </w:pPr>
    </w:p>
    <w:p>
      <w:pPr>
        <w:ind w:left="1720" w:hanging="249"/>
        <w:spacing w:after="0"/>
        <w:tabs>
          <w:tab w:leader="none" w:pos="17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liens arising by deposits or security given to governmental agencies required in order to do business with the government;</w:t>
      </w:r>
    </w:p>
    <w:p>
      <w:pPr>
        <w:spacing w:after="0" w:line="153" w:lineRule="exact"/>
        <w:rPr>
          <w:rFonts w:ascii="Arial" w:cs="Arial" w:eastAsia="Arial" w:hAnsi="Arial"/>
          <w:sz w:val="16"/>
          <w:szCs w:val="16"/>
          <w:color w:val="auto"/>
        </w:rPr>
      </w:pPr>
    </w:p>
    <w:p>
      <w:pPr>
        <w:ind w:left="1680" w:hanging="209"/>
        <w:spacing w:after="0"/>
        <w:tabs>
          <w:tab w:leader="none" w:pos="1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not yet delinquent or being contested in good faith;</w:t>
      </w:r>
    </w:p>
    <w:p>
      <w:pPr>
        <w:spacing w:after="0" w:line="130" w:lineRule="exact"/>
        <w:rPr>
          <w:rFonts w:ascii="Arial" w:cs="Arial" w:eastAsia="Arial" w:hAnsi="Arial"/>
          <w:sz w:val="18"/>
          <w:szCs w:val="18"/>
          <w:color w:val="auto"/>
        </w:rPr>
      </w:pPr>
    </w:p>
    <w:p>
      <w:pPr>
        <w:ind w:left="1680" w:hanging="209"/>
        <w:spacing w:after="0"/>
        <w:tabs>
          <w:tab w:leader="none" w:pos="16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liens in connection with legal proceedings so long as the proceeding is being contested in good faith or execution thereon is</w:t>
      </w:r>
    </w:p>
    <w:p>
      <w:pPr>
        <w:spacing w:after="0" w:line="46"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stayed;</w:t>
      </w:r>
    </w:p>
    <w:p>
      <w:pPr>
        <w:spacing w:after="0" w:line="116" w:lineRule="exact"/>
        <w:rPr>
          <w:rFonts w:ascii="Arial" w:cs="Arial" w:eastAsia="Arial" w:hAnsi="Arial"/>
          <w:sz w:val="16"/>
          <w:szCs w:val="16"/>
          <w:color w:val="auto"/>
        </w:rPr>
      </w:pPr>
    </w:p>
    <w:p>
      <w:pPr>
        <w:ind w:left="1720" w:hanging="249"/>
        <w:spacing w:after="0"/>
        <w:tabs>
          <w:tab w:leader="none" w:pos="17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landlord’s liens on fixtures located on property leased by us or Restricted Subsidiaries in the ordinary course of business;</w:t>
      </w:r>
    </w:p>
    <w:p>
      <w:pPr>
        <w:spacing w:after="0" w:line="200" w:lineRule="exact"/>
        <w:rPr>
          <w:sz w:val="20"/>
          <w:szCs w:val="20"/>
          <w:color w:val="auto"/>
        </w:rPr>
      </w:pPr>
    </w:p>
    <w:p>
      <w:pPr>
        <w:spacing w:after="0" w:line="23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00" w:firstLine="391"/>
        <w:spacing w:after="0" w:line="277" w:lineRule="auto"/>
        <w:tabs>
          <w:tab w:leader="none" w:pos="1676"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in favor of any governmental authority in connection with the financing of the cost of construction or acquisition of property;</w:t>
      </w:r>
    </w:p>
    <w:p>
      <w:pPr>
        <w:spacing w:after="0" w:line="75" w:lineRule="exact"/>
        <w:rPr>
          <w:rFonts w:ascii="Arial" w:cs="Arial" w:eastAsia="Arial" w:hAnsi="Arial"/>
          <w:sz w:val="18"/>
          <w:szCs w:val="18"/>
          <w:color w:val="auto"/>
        </w:rPr>
      </w:pPr>
    </w:p>
    <w:p>
      <w:pPr>
        <w:ind w:left="1080" w:right="160" w:firstLine="391"/>
        <w:spacing w:after="0" w:line="277" w:lineRule="auto"/>
        <w:tabs>
          <w:tab w:leader="none" w:pos="1766"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arising due to deposits to qualify us or a Restricted Subsidiary to do business, maintain self-insurance or obtain the benefit of or comply with laws;</w:t>
      </w:r>
    </w:p>
    <w:p>
      <w:pPr>
        <w:spacing w:after="0" w:line="75" w:lineRule="exact"/>
        <w:rPr>
          <w:rFonts w:ascii="Arial" w:cs="Arial" w:eastAsia="Arial" w:hAnsi="Arial"/>
          <w:sz w:val="18"/>
          <w:szCs w:val="18"/>
          <w:color w:val="auto"/>
        </w:rPr>
      </w:pPr>
    </w:p>
    <w:p>
      <w:pPr>
        <w:ind w:left="1720" w:hanging="249"/>
        <w:spacing w:after="0"/>
        <w:tabs>
          <w:tab w:leader="none" w:pos="17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liens securing industrial development, pollution control or other revenue bonds of a domestic government entity;</w:t>
      </w:r>
    </w:p>
    <w:p>
      <w:pPr>
        <w:spacing w:after="0" w:line="142" w:lineRule="exact"/>
        <w:rPr>
          <w:rFonts w:ascii="Arial" w:cs="Arial" w:eastAsia="Arial" w:hAnsi="Arial"/>
          <w:sz w:val="17"/>
          <w:szCs w:val="17"/>
          <w:color w:val="auto"/>
        </w:rPr>
      </w:pPr>
    </w:p>
    <w:p>
      <w:pPr>
        <w:ind w:left="1720" w:hanging="249"/>
        <w:spacing w:after="0"/>
        <w:tabs>
          <w:tab w:leader="none" w:pos="1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arising in connection with the sale of accounts receivable; and</w:t>
      </w:r>
    </w:p>
    <w:p>
      <w:pPr>
        <w:spacing w:after="0" w:line="130" w:lineRule="exact"/>
        <w:rPr>
          <w:rFonts w:ascii="Arial" w:cs="Arial" w:eastAsia="Arial" w:hAnsi="Arial"/>
          <w:sz w:val="18"/>
          <w:szCs w:val="18"/>
          <w:color w:val="auto"/>
        </w:rPr>
      </w:pPr>
    </w:p>
    <w:p>
      <w:pPr>
        <w:ind w:left="1080" w:right="80" w:firstLine="391"/>
        <w:spacing w:after="0" w:line="277" w:lineRule="auto"/>
        <w:tabs>
          <w:tab w:leader="none" w:pos="1716"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extensions, substitutions, replacements or renewals of the above-described liens or any Indebtedness secured by these liens if the lien is limited to the property (plus any improvements) secured by the original lien.</w:t>
      </w:r>
    </w:p>
    <w:p>
      <w:pPr>
        <w:spacing w:after="0" w:line="76" w:lineRule="exact"/>
        <w:rPr>
          <w:sz w:val="20"/>
          <w:szCs w:val="20"/>
          <w:color w:val="auto"/>
        </w:rPr>
      </w:pPr>
    </w:p>
    <w:p>
      <w:pPr>
        <w:ind w:left="700" w:right="80"/>
        <w:spacing w:after="0" w:line="293" w:lineRule="auto"/>
        <w:rPr>
          <w:sz w:val="20"/>
          <w:szCs w:val="20"/>
          <w:color w:val="auto"/>
        </w:rPr>
      </w:pPr>
      <w:r>
        <w:rPr>
          <w:rFonts w:ascii="Arial" w:cs="Arial" w:eastAsia="Arial" w:hAnsi="Arial"/>
          <w:sz w:val="16"/>
          <w:szCs w:val="16"/>
          <w:color w:val="auto"/>
        </w:rPr>
        <w:t>In addition, without securing the senior debt securities as described above, we and our Restricted Subsidiaries may issue, assume or guarantee Indebtedness that this covenant would otherwise restrict in a total principal amount that, when added to all other outstanding Indebtedness that this covenant would otherwise restrict and the total amount of Attributable Debt outstanding for Sale/Leaseback Transactions, does not exceed 15% of Consolidated Net Tangible Assets. When calculating this total principal amount, we exclude from the calculation Attributable Debt from Sale/Leaseback Transactions in connection with which we have purchased property or retired or defeased Indebtedness as described in clause (b) below under “Limitation on Sale/Leaseback Transactions.”</w:t>
      </w:r>
    </w:p>
    <w:p>
      <w:pPr>
        <w:spacing w:after="0" w:line="178"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Limitation on Sale/Leaseback Transactions</w:t>
      </w:r>
    </w:p>
    <w:p>
      <w:pPr>
        <w:spacing w:after="0" w:line="131" w:lineRule="exact"/>
        <w:rPr>
          <w:sz w:val="20"/>
          <w:szCs w:val="20"/>
          <w:color w:val="auto"/>
        </w:rPr>
      </w:pPr>
    </w:p>
    <w:p>
      <w:pPr>
        <w:ind w:left="700" w:right="360" w:firstLine="397"/>
        <w:spacing w:after="0" w:line="277" w:lineRule="auto"/>
        <w:rPr>
          <w:sz w:val="20"/>
          <w:szCs w:val="20"/>
          <w:color w:val="auto"/>
        </w:rPr>
      </w:pPr>
      <w:r>
        <w:rPr>
          <w:rFonts w:ascii="Arial" w:cs="Arial" w:eastAsia="Arial" w:hAnsi="Arial"/>
          <w:sz w:val="18"/>
          <w:szCs w:val="18"/>
          <w:color w:val="auto"/>
        </w:rPr>
        <w:t>Unless provided otherwise in a prospectus supplement, we and our Restricted Subsidiaries will not enter into a Sale/Leaseback Transaction unless at least one of the following applies:</w:t>
      </w:r>
    </w:p>
    <w:p>
      <w:pPr>
        <w:spacing w:after="0" w:line="76" w:lineRule="exact"/>
        <w:rPr>
          <w:sz w:val="20"/>
          <w:szCs w:val="20"/>
          <w:color w:val="auto"/>
        </w:rPr>
      </w:pPr>
    </w:p>
    <w:p>
      <w:pPr>
        <w:ind w:left="1080" w:right="360" w:firstLine="391"/>
        <w:spacing w:after="0" w:line="264" w:lineRule="auto"/>
        <w:tabs>
          <w:tab w:leader="none" w:pos="1706"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or that Restricted Subsidiary could incur Indebtedness in a principal amount equal to the Attributable Debt for that Sale/Leaseback Transaction and, without violating the “Limitation on Liens” covenant, could secure that debt by a lien on the property to be leased without equally and ratably securing the senior debt securities;</w:t>
      </w:r>
    </w:p>
    <w:p>
      <w:pPr>
        <w:spacing w:after="0" w:line="86" w:lineRule="exact"/>
        <w:rPr>
          <w:rFonts w:ascii="Arial" w:cs="Arial" w:eastAsia="Arial" w:hAnsi="Arial"/>
          <w:sz w:val="18"/>
          <w:szCs w:val="18"/>
          <w:color w:val="auto"/>
        </w:rPr>
      </w:pPr>
    </w:p>
    <w:p>
      <w:pPr>
        <w:ind w:left="1080" w:firstLine="391"/>
        <w:spacing w:after="0" w:line="264" w:lineRule="auto"/>
        <w:tabs>
          <w:tab w:leader="none" w:pos="1716"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within 180 days after the effective date of any Sale/Leaseback Transaction, we will apply the net proceeds of the Sale/Leaseback Transaction to the voluntary defeasance or retirement of any senior debt securities issued under the senior indenture or to the acquisition or capital improvement of a Principal Property; or</w:t>
      </w:r>
    </w:p>
    <w:p>
      <w:pPr>
        <w:spacing w:after="0" w:line="86" w:lineRule="exact"/>
        <w:rPr>
          <w:rFonts w:ascii="Arial" w:cs="Arial" w:eastAsia="Arial" w:hAnsi="Arial"/>
          <w:sz w:val="18"/>
          <w:szCs w:val="18"/>
          <w:color w:val="auto"/>
        </w:rPr>
      </w:pPr>
    </w:p>
    <w:p>
      <w:pPr>
        <w:ind w:left="1080" w:right="120" w:firstLine="391"/>
        <w:spacing w:after="0" w:line="264" w:lineRule="auto"/>
        <w:tabs>
          <w:tab w:leader="none" w:pos="1706"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within 180 days after entering into the Sale/Leaseback Transaction, we have entered into a commitment to expend for the acquisition or capital improvement of a Principal Property an amount equal to the fair value (as determined by our Board of Directors) of the property to be leased.</w:t>
      </w:r>
    </w:p>
    <w:p>
      <w:pPr>
        <w:spacing w:after="0" w:line="87" w:lineRule="exact"/>
        <w:rPr>
          <w:sz w:val="20"/>
          <w:szCs w:val="20"/>
          <w:color w:val="auto"/>
        </w:rPr>
      </w:pPr>
    </w:p>
    <w:p>
      <w:pPr>
        <w:ind w:left="1080" w:right="20"/>
        <w:spacing w:after="0" w:line="259" w:lineRule="auto"/>
        <w:rPr>
          <w:sz w:val="20"/>
          <w:szCs w:val="20"/>
          <w:color w:val="auto"/>
        </w:rPr>
      </w:pPr>
      <w:r>
        <w:rPr>
          <w:rFonts w:ascii="Arial" w:cs="Arial" w:eastAsia="Arial" w:hAnsi="Arial"/>
          <w:sz w:val="18"/>
          <w:szCs w:val="18"/>
          <w:color w:val="auto"/>
        </w:rPr>
        <w:t>Notwithstanding the above, we and our Restricted Subsidiaries may effect a Sale/Leaseback Transaction that is not allowable under the clauses above provided that the Attributable Debt associated with the transaction, together with the aggregate principal amount of debt secured by liens on Principal Property not acceptable under the “Limitation on Liens” covenant, do not exceed 15% of Consolidated Net Tangible Assets.</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Glossary</w:t>
      </w:r>
    </w:p>
    <w:p>
      <w:pPr>
        <w:spacing w:after="0" w:line="131" w:lineRule="exact"/>
        <w:rPr>
          <w:sz w:val="20"/>
          <w:szCs w:val="20"/>
          <w:color w:val="auto"/>
        </w:rPr>
      </w:pPr>
    </w:p>
    <w:p>
      <w:pPr>
        <w:ind w:left="700" w:right="40" w:firstLine="397"/>
        <w:spacing w:after="0" w:line="297" w:lineRule="auto"/>
        <w:rPr>
          <w:sz w:val="20"/>
          <w:szCs w:val="20"/>
          <w:color w:val="auto"/>
        </w:rPr>
      </w:pPr>
      <w:r>
        <w:rPr>
          <w:rFonts w:ascii="Arial" w:cs="Arial" w:eastAsia="Arial" w:hAnsi="Arial"/>
          <w:sz w:val="16"/>
          <w:szCs w:val="16"/>
          <w:i w:val="1"/>
          <w:iCs w:val="1"/>
          <w:color w:val="auto"/>
        </w:rPr>
        <w:t xml:space="preserve">“Attributable Debt” </w:t>
      </w:r>
      <w:r>
        <w:rPr>
          <w:rFonts w:ascii="Arial" w:cs="Arial" w:eastAsia="Arial" w:hAnsi="Arial"/>
          <w:sz w:val="16"/>
          <w:szCs w:val="16"/>
          <w:color w:val="auto"/>
        </w:rPr>
        <w:t>means the present value of the rental payments during the remaining term of the lease included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Sale/Leaseback Transaction. To determine that present value, we use a discount rate equal to the lease rate of the Sale/Leaseback Transaction. For these purposes, rental payments do not include any amounts required to be paid for taxes, maintenance, repairs, insurance, assessments, utilities, operating and labor costs and other items that do not constitute payments for property rights. In the case of any lease that the lessee may terminate by paying a penalty, if the net amount (including payment of the penalty) would be</w:t>
      </w:r>
    </w:p>
    <w:p>
      <w:pPr>
        <w:spacing w:after="0" w:line="3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reduced if the lessee terminated the lease on the first date that it could be terminated, then this lower net amount will be used.</w:t>
      </w:r>
    </w:p>
    <w:p>
      <w:pPr>
        <w:spacing w:after="0" w:line="142" w:lineRule="exact"/>
        <w:rPr>
          <w:sz w:val="20"/>
          <w:szCs w:val="20"/>
          <w:color w:val="auto"/>
        </w:rPr>
      </w:pPr>
    </w:p>
    <w:p>
      <w:pPr>
        <w:ind w:left="1080"/>
        <w:spacing w:after="0"/>
        <w:rPr>
          <w:sz w:val="20"/>
          <w:szCs w:val="20"/>
          <w:color w:val="auto"/>
        </w:rPr>
      </w:pPr>
      <w:r>
        <w:rPr>
          <w:rFonts w:ascii="Arial" w:cs="Arial" w:eastAsia="Arial" w:hAnsi="Arial"/>
          <w:sz w:val="16"/>
          <w:szCs w:val="16"/>
          <w:i w:val="1"/>
          <w:iCs w:val="1"/>
          <w:color w:val="auto"/>
        </w:rPr>
        <w:t xml:space="preserve">“Consolidated Net Tangible Assets” </w:t>
      </w:r>
      <w:r>
        <w:rPr>
          <w:rFonts w:ascii="Arial" w:cs="Arial" w:eastAsia="Arial" w:hAnsi="Arial"/>
          <w:sz w:val="16"/>
          <w:szCs w:val="16"/>
          <w:color w:val="auto"/>
        </w:rPr>
        <w:t>means the total amount of assets of Waste Management, Inc. and its consolidated subsidiaries</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less:</w:t>
      </w:r>
    </w:p>
    <w:p>
      <w:pPr>
        <w:spacing w:after="0" w:line="116" w:lineRule="exact"/>
        <w:rPr>
          <w:sz w:val="20"/>
          <w:szCs w:val="20"/>
          <w:color w:val="auto"/>
        </w:rPr>
      </w:pPr>
    </w:p>
    <w:p>
      <w:pPr>
        <w:ind w:left="1300" w:right="120" w:hanging="202"/>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current liabilities (excluding liabilities that are extendable or renewable at our option to a date more than 12 months after the date of calculation and excluding current maturities of long-term debt);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value of all intangible assets.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will calculate Consolidated Net Tangible Assets based on our most recent quarterly balance sheet.</w:t>
      </w:r>
    </w:p>
    <w:p>
      <w:pPr>
        <w:spacing w:after="0" w:line="131" w:lineRule="exact"/>
        <w:rPr>
          <w:sz w:val="20"/>
          <w:szCs w:val="20"/>
          <w:color w:val="auto"/>
        </w:rPr>
      </w:pPr>
    </w:p>
    <w:p>
      <w:pPr>
        <w:ind w:left="700" w:right="260" w:firstLine="397"/>
        <w:spacing w:after="0" w:line="277" w:lineRule="auto"/>
        <w:rPr>
          <w:sz w:val="20"/>
          <w:szCs w:val="20"/>
          <w:color w:val="auto"/>
        </w:rPr>
      </w:pPr>
      <w:r>
        <w:rPr>
          <w:rFonts w:ascii="Arial" w:cs="Arial" w:eastAsia="Arial" w:hAnsi="Arial"/>
          <w:sz w:val="18"/>
          <w:szCs w:val="18"/>
          <w:i w:val="1"/>
          <w:iCs w:val="1"/>
          <w:color w:val="auto"/>
        </w:rPr>
        <w:t xml:space="preserve">“Indebtedness” </w:t>
      </w:r>
      <w:r>
        <w:rPr>
          <w:rFonts w:ascii="Arial" w:cs="Arial" w:eastAsia="Arial" w:hAnsi="Arial"/>
          <w:sz w:val="18"/>
          <w:szCs w:val="18"/>
          <w:color w:val="auto"/>
        </w:rPr>
        <w:t>means (a) all obligations for borrowed money or on which interest charges are customarily paid, all as shown on</w:t>
      </w:r>
      <w:r>
        <w:rPr>
          <w:rFonts w:ascii="Arial" w:cs="Arial" w:eastAsia="Arial" w:hAnsi="Arial"/>
          <w:sz w:val="18"/>
          <w:szCs w:val="18"/>
          <w:i w:val="1"/>
          <w:iCs w:val="1"/>
          <w:color w:val="auto"/>
        </w:rPr>
        <w:t xml:space="preserve"> </w:t>
      </w:r>
      <w:r>
        <w:rPr>
          <w:rFonts w:ascii="Arial" w:cs="Arial" w:eastAsia="Arial" w:hAnsi="Arial"/>
          <w:sz w:val="18"/>
          <w:szCs w:val="18"/>
          <w:color w:val="auto"/>
        </w:rPr>
        <w:t>the balance sheet of the indebted party and (b) all guarantees of Indebtedness.</w:t>
      </w:r>
    </w:p>
    <w:p>
      <w:pPr>
        <w:spacing w:after="0" w:line="76" w:lineRule="exact"/>
        <w:rPr>
          <w:sz w:val="20"/>
          <w:szCs w:val="20"/>
          <w:color w:val="auto"/>
        </w:rPr>
      </w:pPr>
    </w:p>
    <w:p>
      <w:pPr>
        <w:ind w:left="700" w:right="160" w:firstLine="397"/>
        <w:spacing w:after="0" w:line="286" w:lineRule="auto"/>
        <w:rPr>
          <w:sz w:val="20"/>
          <w:szCs w:val="20"/>
          <w:color w:val="auto"/>
        </w:rPr>
      </w:pPr>
      <w:r>
        <w:rPr>
          <w:rFonts w:ascii="Arial" w:cs="Arial" w:eastAsia="Arial" w:hAnsi="Arial"/>
          <w:sz w:val="17"/>
          <w:szCs w:val="17"/>
          <w:i w:val="1"/>
          <w:iCs w:val="1"/>
          <w:color w:val="auto"/>
        </w:rPr>
        <w:t xml:space="preserve">“Restricted Subsidiary” </w:t>
      </w:r>
      <w:r>
        <w:rPr>
          <w:rFonts w:ascii="Arial" w:cs="Arial" w:eastAsia="Arial" w:hAnsi="Arial"/>
          <w:sz w:val="17"/>
          <w:szCs w:val="17"/>
          <w:color w:val="auto"/>
        </w:rPr>
        <w:t>means any Subsidiary (a) principally engaged in, or whose principal assets consist of property used by us</w:t>
      </w:r>
      <w:r>
        <w:rPr>
          <w:rFonts w:ascii="Arial" w:cs="Arial" w:eastAsia="Arial" w:hAnsi="Arial"/>
          <w:sz w:val="17"/>
          <w:szCs w:val="17"/>
          <w:i w:val="1"/>
          <w:iCs w:val="1"/>
          <w:color w:val="auto"/>
        </w:rPr>
        <w:t xml:space="preserve"> </w:t>
      </w:r>
      <w:r>
        <w:rPr>
          <w:rFonts w:ascii="Arial" w:cs="Arial" w:eastAsia="Arial" w:hAnsi="Arial"/>
          <w:sz w:val="17"/>
          <w:szCs w:val="17"/>
          <w:color w:val="auto"/>
        </w:rPr>
        <w:t>or any Restricted Subsidiary in the storage, collection, transfer, interim processing or disposal of waste within the United States or Canada or (b) which we designate as a Restricted Subsidiary in an officer’s certificate delivered to the trustee.</w:t>
      </w:r>
    </w:p>
    <w:p>
      <w:pPr>
        <w:spacing w:after="0" w:line="71" w:lineRule="exact"/>
        <w:rPr>
          <w:sz w:val="20"/>
          <w:szCs w:val="20"/>
          <w:color w:val="auto"/>
        </w:rPr>
      </w:pPr>
    </w:p>
    <w:p>
      <w:pPr>
        <w:ind w:left="700" w:right="200" w:firstLine="397"/>
        <w:spacing w:after="0" w:line="255" w:lineRule="auto"/>
        <w:rPr>
          <w:sz w:val="20"/>
          <w:szCs w:val="20"/>
          <w:color w:val="auto"/>
        </w:rPr>
      </w:pPr>
      <w:r>
        <w:rPr>
          <w:rFonts w:ascii="Arial" w:cs="Arial" w:eastAsia="Arial" w:hAnsi="Arial"/>
          <w:sz w:val="18"/>
          <w:szCs w:val="18"/>
          <w:i w:val="1"/>
          <w:iCs w:val="1"/>
          <w:color w:val="auto"/>
        </w:rPr>
        <w:t xml:space="preserve">“Principal Property” </w:t>
      </w:r>
      <w:r>
        <w:rPr>
          <w:rFonts w:ascii="Arial" w:cs="Arial" w:eastAsia="Arial" w:hAnsi="Arial"/>
          <w:sz w:val="18"/>
          <w:szCs w:val="18"/>
          <w:color w:val="auto"/>
        </w:rPr>
        <w:t>means any waste processing, waste disposal or resource recovery plant or similar facility located within the</w:t>
      </w:r>
      <w:r>
        <w:rPr>
          <w:rFonts w:ascii="Arial" w:cs="Arial" w:eastAsia="Arial" w:hAnsi="Arial"/>
          <w:sz w:val="18"/>
          <w:szCs w:val="18"/>
          <w:i w:val="1"/>
          <w:iCs w:val="1"/>
          <w:color w:val="auto"/>
        </w:rPr>
        <w:t xml:space="preserve"> </w:t>
      </w:r>
      <w:r>
        <w:rPr>
          <w:rFonts w:ascii="Arial" w:cs="Arial" w:eastAsia="Arial" w:hAnsi="Arial"/>
          <w:sz w:val="18"/>
          <w:szCs w:val="18"/>
          <w:color w:val="auto"/>
        </w:rPr>
        <w:t>United States or Canada and owned by, or leased to, us by any Restricted Subsidiary except (a) any such plant or facility (i) owned or leased jointly or in common with one or more persons other than us and any Restricted Subsidiaries in which our and our Restricted Subsidiaries’ interest does not exceed 50%, or (ii) which our Board of Directors determines is not material in importance to our total business or (b) any portion of such plant or facility which our Board of Directors determines in good faith not to be of material importance to the use or operation thereof.</w:t>
      </w:r>
    </w:p>
    <w:p>
      <w:pPr>
        <w:spacing w:after="0" w:line="99"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i w:val="1"/>
          <w:iCs w:val="1"/>
          <w:color w:val="auto"/>
        </w:rPr>
        <w:t xml:space="preserve">“Sale/Leaseback Transaction” </w:t>
      </w:r>
      <w:r>
        <w:rPr>
          <w:rFonts w:ascii="Arial" w:cs="Arial" w:eastAsia="Arial" w:hAnsi="Arial"/>
          <w:sz w:val="18"/>
          <w:szCs w:val="18"/>
          <w:color w:val="auto"/>
        </w:rPr>
        <w:t>means any arrangement with anyone under which we or our Restricted Subsidiaries lease any</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Property that we or such Restricted Subsidiary has sold or transferred or will sell or transfer to that person. This term excludes the following:</w:t>
      </w:r>
    </w:p>
    <w:p>
      <w:pPr>
        <w:spacing w:after="0" w:line="87" w:lineRule="exact"/>
        <w:rPr>
          <w:sz w:val="20"/>
          <w:szCs w:val="20"/>
          <w:color w:val="auto"/>
        </w:rPr>
      </w:pPr>
    </w:p>
    <w:p>
      <w:pPr>
        <w:ind w:left="1300" w:hanging="202"/>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temporary leases for a term of not more than three years;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intercompany leases.</w:t>
      </w:r>
    </w:p>
    <w:p>
      <w:pPr>
        <w:spacing w:after="0" w:line="131" w:lineRule="exact"/>
        <w:rPr>
          <w:sz w:val="20"/>
          <w:szCs w:val="20"/>
          <w:color w:val="auto"/>
        </w:rPr>
      </w:pPr>
    </w:p>
    <w:p>
      <w:pPr>
        <w:ind w:left="700" w:right="180" w:firstLine="397"/>
        <w:spacing w:after="0" w:line="277" w:lineRule="auto"/>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an entity at least a majority of the outstanding voting stock of which is owned, directly or indirectly, by us or</w:t>
      </w:r>
      <w:r>
        <w:rPr>
          <w:rFonts w:ascii="Arial" w:cs="Arial" w:eastAsia="Arial" w:hAnsi="Arial"/>
          <w:sz w:val="18"/>
          <w:szCs w:val="18"/>
          <w:i w:val="1"/>
          <w:iCs w:val="1"/>
          <w:color w:val="auto"/>
        </w:rPr>
        <w:t xml:space="preserve"> </w:t>
      </w:r>
      <w:r>
        <w:rPr>
          <w:rFonts w:ascii="Arial" w:cs="Arial" w:eastAsia="Arial" w:hAnsi="Arial"/>
          <w:sz w:val="18"/>
          <w:szCs w:val="18"/>
          <w:color w:val="auto"/>
        </w:rPr>
        <w:t>by one or more other Subsidiaries, or by us and one or more other Subsidiaries.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Provisions Applicable Solely to Subordinated Debt Securities</w:t>
      </w:r>
    </w:p>
    <w:p>
      <w:pPr>
        <w:spacing w:after="0" w:line="135"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i w:val="1"/>
          <w:iCs w:val="1"/>
          <w:color w:val="auto"/>
        </w:rPr>
        <w:t xml:space="preserve">Ranking. </w:t>
      </w:r>
      <w:r>
        <w:rPr>
          <w:rFonts w:ascii="Arial" w:cs="Arial" w:eastAsia="Arial" w:hAnsi="Arial"/>
          <w:sz w:val="18"/>
          <w:szCs w:val="18"/>
          <w:color w:val="auto"/>
        </w:rPr>
        <w:t>The subordinated debt securities will rank junior to all of our senior debt and may rank equally with or senior to our other</w:t>
      </w:r>
      <w:r>
        <w:rPr>
          <w:rFonts w:ascii="Arial" w:cs="Arial" w:eastAsia="Arial" w:hAnsi="Arial"/>
          <w:sz w:val="18"/>
          <w:szCs w:val="18"/>
          <w:i w:val="1"/>
          <w:iCs w:val="1"/>
          <w:color w:val="auto"/>
        </w:rPr>
        <w:t xml:space="preserve"> </w:t>
      </w:r>
      <w:r>
        <w:rPr>
          <w:rFonts w:ascii="Arial" w:cs="Arial" w:eastAsia="Arial" w:hAnsi="Arial"/>
          <w:sz w:val="18"/>
          <w:szCs w:val="18"/>
          <w:color w:val="auto"/>
        </w:rPr>
        <w:t>subordinated debt that may be outstanding from time to time.</w:t>
      </w:r>
    </w:p>
    <w:p>
      <w:pPr>
        <w:spacing w:after="0" w:line="76"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i w:val="1"/>
          <w:iCs w:val="1"/>
          <w:color w:val="auto"/>
        </w:rPr>
        <w:t xml:space="preserve">Subordination. </w:t>
      </w:r>
      <w:r>
        <w:rPr>
          <w:rFonts w:ascii="Arial" w:cs="Arial" w:eastAsia="Arial" w:hAnsi="Arial"/>
          <w:sz w:val="18"/>
          <w:szCs w:val="18"/>
          <w:color w:val="auto"/>
        </w:rPr>
        <w:t>Under the subordinated indenture, payment of the principal of and any premium and interest on the subordinated</w:t>
      </w:r>
      <w:r>
        <w:rPr>
          <w:rFonts w:ascii="Arial" w:cs="Arial" w:eastAsia="Arial" w:hAnsi="Arial"/>
          <w:sz w:val="18"/>
          <w:szCs w:val="18"/>
          <w:i w:val="1"/>
          <w:iCs w:val="1"/>
          <w:color w:val="auto"/>
        </w:rPr>
        <w:t xml:space="preserve"> </w:t>
      </w:r>
      <w:r>
        <w:rPr>
          <w:rFonts w:ascii="Arial" w:cs="Arial" w:eastAsia="Arial" w:hAnsi="Arial"/>
          <w:sz w:val="18"/>
          <w:szCs w:val="18"/>
          <w:color w:val="auto"/>
        </w:rPr>
        <w:t>debt securities will generally be subordinated and junior in right of payment to the prior payment in full of all senior indebtedness. Unless we inform you otherwise in the prospectus supplement, we may not make any payment of principal of or any premium or interest on the subordinated debt securities if we fail to pay the principal, interest, premium or any other amounts on any senior indebtedness when due. The subordination does not affect our obligation to make payments in our capital stock pursuant to any conversion right or otherwise made on our capital stock.</w:t>
      </w:r>
    </w:p>
    <w:p>
      <w:pPr>
        <w:spacing w:after="0" w:line="99"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The subordinated indenture does not limit the amount of senior indebtedness that we may incur. As a result of the subordination of the subordinated debt securities, if we become insolvent, holders of subordinated debt securities may receive less on a proportionate basis than other creditors.</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DESCRIPTION OF GUARANTEES</w:t>
      </w:r>
    </w:p>
    <w:p>
      <w:pPr>
        <w:spacing w:after="0" w:line="135" w:lineRule="exact"/>
        <w:rPr>
          <w:sz w:val="20"/>
          <w:szCs w:val="20"/>
          <w:color w:val="auto"/>
        </w:rPr>
      </w:pPr>
    </w:p>
    <w:p>
      <w:pPr>
        <w:ind w:left="700" w:right="120" w:firstLine="397"/>
        <w:spacing w:after="0" w:line="259" w:lineRule="auto"/>
        <w:rPr>
          <w:sz w:val="20"/>
          <w:szCs w:val="20"/>
          <w:color w:val="auto"/>
        </w:rPr>
      </w:pPr>
      <w:r>
        <w:rPr>
          <w:rFonts w:ascii="Arial" w:cs="Arial" w:eastAsia="Arial" w:hAnsi="Arial"/>
          <w:sz w:val="18"/>
          <w:szCs w:val="18"/>
          <w:color w:val="auto"/>
        </w:rPr>
        <w:t>Waste Management Holdings may fully and unconditionally guarantee our payment obligations under any series of debt securities. If a series of debt securities is so guaranteed, Waste Management Holdings will execute a separate guarantee agreement or a supplemental indenture as further evidence of its guarantee. We will provide the specific terms of any guarantee in the prospectus supplement.</w:t>
      </w:r>
    </w:p>
    <w:p>
      <w:pPr>
        <w:spacing w:after="0" w:line="92"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The obligations of Waste Management Holdings under its guarantee will be limited to the maximum amount that will not result in the obligations of Waste Management Holdings under the guarantee constituting a fraudulent conveyance or fraudulent transfer under federal or state law. The specific provisions under which Waste Management Holdings may be released and discharged from its guarantee will be set forth in the prospectus supplement.</w:t>
      </w:r>
    </w:p>
    <w:p>
      <w:pPr>
        <w:spacing w:after="0" w:line="92" w:lineRule="exact"/>
        <w:rPr>
          <w:sz w:val="20"/>
          <w:szCs w:val="20"/>
          <w:color w:val="auto"/>
        </w:rPr>
      </w:pPr>
    </w:p>
    <w:p>
      <w:pPr>
        <w:jc w:val="both"/>
        <w:ind w:left="700" w:right="160" w:firstLine="397"/>
        <w:spacing w:after="0" w:line="264" w:lineRule="auto"/>
        <w:rPr>
          <w:sz w:val="20"/>
          <w:szCs w:val="20"/>
          <w:color w:val="auto"/>
        </w:rPr>
      </w:pPr>
      <w:r>
        <w:rPr>
          <w:rFonts w:ascii="Arial" w:cs="Arial" w:eastAsia="Arial" w:hAnsi="Arial"/>
          <w:sz w:val="18"/>
          <w:szCs w:val="18"/>
          <w:color w:val="auto"/>
        </w:rPr>
        <w:t>If a series of debt securities is guaranteed by and is designated as subordinate to our senior indebtedness, then those guarantees by Waste Management Holdings will be subordinated to the senior indebtedness of Waste Management Holdings on substantially the same extent as the series is subordinated to our senior indebtedness.</w:t>
      </w:r>
    </w:p>
    <w:p>
      <w:pPr>
        <w:spacing w:after="0" w:line="299"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DESCRIPTION OF CAPITAL STOCK</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ind w:left="700" w:right="220" w:firstLine="397"/>
        <w:spacing w:after="0" w:line="264" w:lineRule="auto"/>
        <w:rPr>
          <w:sz w:val="20"/>
          <w:szCs w:val="20"/>
          <w:color w:val="auto"/>
        </w:rPr>
      </w:pPr>
      <w:r>
        <w:rPr>
          <w:rFonts w:ascii="Arial" w:cs="Arial" w:eastAsia="Arial" w:hAnsi="Arial"/>
          <w:sz w:val="18"/>
          <w:szCs w:val="18"/>
          <w:color w:val="auto"/>
        </w:rPr>
        <w:t>We may issue shares of our common stock to purchasers or in order to settle litigation or other claims or to satisfy judgment or arbitration awards. We may also issue shares of common stock to persons upon exercise of any convertible securities issued hereunder. The terms of any offering of common stock will be provided in a prospectus supplement.</w:t>
      </w:r>
    </w:p>
    <w:p>
      <w:pPr>
        <w:spacing w:after="0" w:line="87" w:lineRule="exact"/>
        <w:rPr>
          <w:sz w:val="20"/>
          <w:szCs w:val="20"/>
          <w:color w:val="auto"/>
        </w:rPr>
      </w:pPr>
    </w:p>
    <w:p>
      <w:pPr>
        <w:ind w:left="700" w:right="60" w:firstLine="397"/>
        <w:spacing w:after="0" w:line="342" w:lineRule="auto"/>
        <w:rPr>
          <w:sz w:val="20"/>
          <w:szCs w:val="20"/>
          <w:color w:val="auto"/>
        </w:rPr>
      </w:pPr>
      <w:r>
        <w:rPr>
          <w:rFonts w:ascii="Arial" w:cs="Arial" w:eastAsia="Arial" w:hAnsi="Arial"/>
          <w:sz w:val="16"/>
          <w:szCs w:val="16"/>
          <w:color w:val="auto"/>
        </w:rPr>
        <w:t>We are authorized to issue 1,500,000,000 shares of common stock, of which 490,957,915 shares were outstanding at September 18, 2009. We are also authorized to issue 10,000,000 shares of preferred stock, none of which were outstanding on that date.</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Common stock</w:t>
      </w:r>
    </w:p>
    <w:p>
      <w:pPr>
        <w:spacing w:after="0" w:line="135" w:lineRule="exact"/>
        <w:rPr>
          <w:sz w:val="20"/>
          <w:szCs w:val="20"/>
          <w:color w:val="auto"/>
        </w:rPr>
      </w:pPr>
    </w:p>
    <w:p>
      <w:pPr>
        <w:ind w:left="700" w:right="220" w:firstLine="397"/>
        <w:spacing w:after="0" w:line="308" w:lineRule="auto"/>
        <w:rPr>
          <w:sz w:val="20"/>
          <w:szCs w:val="20"/>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Holders of common stock are entitled to receive dividends when declared by our Board of Directors. In certain cases,</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stockholders may not receive dividends until we satisfy our obligations to any preferred stockholders.</w:t>
      </w:r>
    </w:p>
    <w:p>
      <w:pPr>
        <w:spacing w:after="0" w:line="52"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Each share of common stock is entitled to one vote in the election of directors and in each other matter we may ask</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to vote on. Common stockholders do not have cumulative voting rights. Accordingly, the holders of a majority of shares voting for the election of directors can elect all of the directors standing for election.</w:t>
      </w:r>
    </w:p>
    <w:p>
      <w:pPr>
        <w:spacing w:after="0" w:line="87"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i w:val="1"/>
          <w:iCs w:val="1"/>
          <w:color w:val="auto"/>
        </w:rPr>
        <w:t xml:space="preserve">Fully Paid Status. </w:t>
      </w:r>
      <w:r>
        <w:rPr>
          <w:rFonts w:ascii="Arial" w:cs="Arial" w:eastAsia="Arial" w:hAnsi="Arial"/>
          <w:sz w:val="18"/>
          <w:szCs w:val="18"/>
          <w:color w:val="auto"/>
        </w:rPr>
        <w:t>All outstanding shares of our common stock are validly issued, fully paid and non-assessable. The shares offered</w:t>
      </w:r>
      <w:r>
        <w:rPr>
          <w:rFonts w:ascii="Arial" w:cs="Arial" w:eastAsia="Arial" w:hAnsi="Arial"/>
          <w:sz w:val="18"/>
          <w:szCs w:val="18"/>
          <w:i w:val="1"/>
          <w:iCs w:val="1"/>
          <w:color w:val="auto"/>
        </w:rPr>
        <w:t xml:space="preserve"> </w:t>
      </w:r>
      <w:r>
        <w:rPr>
          <w:rFonts w:ascii="Arial" w:cs="Arial" w:eastAsia="Arial" w:hAnsi="Arial"/>
          <w:sz w:val="18"/>
          <w:szCs w:val="18"/>
          <w:color w:val="auto"/>
        </w:rPr>
        <w:t>hereby will also be, upon issuance and sale, validly issued, fully paid and non-assessable.</w:t>
      </w:r>
    </w:p>
    <w:p>
      <w:pPr>
        <w:spacing w:after="0" w:line="76"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i w:val="1"/>
          <w:iCs w:val="1"/>
          <w:color w:val="auto"/>
        </w:rPr>
        <w:t xml:space="preserve">Liquidation or Dissolution. </w:t>
      </w:r>
      <w:r>
        <w:rPr>
          <w:rFonts w:ascii="Arial" w:cs="Arial" w:eastAsia="Arial" w:hAnsi="Arial"/>
          <w:sz w:val="18"/>
          <w:szCs w:val="18"/>
          <w:color w:val="auto"/>
        </w:rPr>
        <w:t>If we liquidate, dissolve or wind up our business, whether or not voluntarily, common stockholders will</w:t>
      </w:r>
      <w:r>
        <w:rPr>
          <w:rFonts w:ascii="Arial" w:cs="Arial" w:eastAsia="Arial" w:hAnsi="Arial"/>
          <w:sz w:val="18"/>
          <w:szCs w:val="18"/>
          <w:i w:val="1"/>
          <w:iCs w:val="1"/>
          <w:color w:val="auto"/>
        </w:rPr>
        <w:t xml:space="preserve"> </w:t>
      </w:r>
      <w:r>
        <w:rPr>
          <w:rFonts w:ascii="Arial" w:cs="Arial" w:eastAsia="Arial" w:hAnsi="Arial"/>
          <w:sz w:val="18"/>
          <w:szCs w:val="18"/>
          <w:color w:val="auto"/>
        </w:rPr>
        <w:t>share ratably in the assets remaining after we pay our creditors and any preferred stockholders.</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Listing. </w:t>
      </w:r>
      <w:r>
        <w:rPr>
          <w:rFonts w:ascii="Arial" w:cs="Arial" w:eastAsia="Arial" w:hAnsi="Arial"/>
          <w:sz w:val="18"/>
          <w:szCs w:val="18"/>
          <w:color w:val="auto"/>
        </w:rPr>
        <w:t>Our common stock is listed on the New York Stock Exchange under the trading symbol “WM.”</w:t>
      </w:r>
    </w:p>
    <w:p>
      <w:pPr>
        <w:spacing w:after="0" w:line="131"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i w:val="1"/>
          <w:iCs w:val="1"/>
          <w:color w:val="auto"/>
        </w:rPr>
        <w:t xml:space="preserve">Transfer Agent and Registrar. </w:t>
      </w:r>
      <w:r>
        <w:rPr>
          <w:rFonts w:ascii="Arial" w:cs="Arial" w:eastAsia="Arial" w:hAnsi="Arial"/>
          <w:sz w:val="18"/>
          <w:szCs w:val="18"/>
          <w:color w:val="auto"/>
        </w:rPr>
        <w:t>The transfer agent and registrar for our common stock is BNY Mellon Shareowner Services in Jersey</w:t>
      </w:r>
      <w:r>
        <w:rPr>
          <w:rFonts w:ascii="Arial" w:cs="Arial" w:eastAsia="Arial" w:hAnsi="Arial"/>
          <w:sz w:val="18"/>
          <w:szCs w:val="18"/>
          <w:i w:val="1"/>
          <w:iCs w:val="1"/>
          <w:color w:val="auto"/>
        </w:rPr>
        <w:t xml:space="preserve"> </w:t>
      </w:r>
      <w:r>
        <w:rPr>
          <w:rFonts w:ascii="Arial" w:cs="Arial" w:eastAsia="Arial" w:hAnsi="Arial"/>
          <w:sz w:val="18"/>
          <w:szCs w:val="18"/>
          <w:color w:val="auto"/>
        </w:rPr>
        <w:t>City, New Jersey.</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Preferred stock</w:t>
      </w:r>
    </w:p>
    <w:p>
      <w:pPr>
        <w:spacing w:after="0" w:line="135" w:lineRule="exact"/>
        <w:rPr>
          <w:sz w:val="20"/>
          <w:szCs w:val="20"/>
          <w:color w:val="auto"/>
        </w:rPr>
      </w:pPr>
    </w:p>
    <w:p>
      <w:pPr>
        <w:ind w:left="700" w:right="40" w:firstLine="397"/>
        <w:spacing w:after="0" w:line="273" w:lineRule="auto"/>
        <w:rPr>
          <w:sz w:val="20"/>
          <w:szCs w:val="20"/>
          <w:color w:val="auto"/>
        </w:rPr>
      </w:pPr>
      <w:r>
        <w:rPr>
          <w:rFonts w:ascii="Arial" w:cs="Arial" w:eastAsia="Arial" w:hAnsi="Arial"/>
          <w:sz w:val="17"/>
          <w:szCs w:val="17"/>
          <w:color w:val="auto"/>
        </w:rPr>
        <w:t>The Board of Directors is authorized, without obtaining stockholder approval, to issue one or more series of preferred stock. The Board’s authority includes determining the number of shares of each series and the rights, preferences and limitations of each series, including voting rights, dividend rights, conversion rights, redemption rights and any liquidation preferences. In this regard, the Board may issue preferred stock with voting and conversion rights that could adversely affect the voting power of the holders of common stock, and dividend or liquidation preferences that would restrict common stock dividends or adversely affect the assets available for distribution to holders of shares of common stock in the event of our dissolution.</w:t>
      </w:r>
    </w:p>
    <w:p>
      <w:pPr>
        <w:spacing w:after="0" w:line="13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Authorized but unissued shares</w:t>
      </w:r>
    </w:p>
    <w:p>
      <w:pPr>
        <w:spacing w:after="0" w:line="135" w:lineRule="exact"/>
        <w:rPr>
          <w:sz w:val="20"/>
          <w:szCs w:val="20"/>
          <w:color w:val="auto"/>
        </w:rPr>
      </w:pPr>
    </w:p>
    <w:p>
      <w:pPr>
        <w:ind w:left="700" w:right="300" w:firstLine="397"/>
        <w:spacing w:after="0" w:line="312" w:lineRule="auto"/>
        <w:rPr>
          <w:sz w:val="20"/>
          <w:szCs w:val="20"/>
          <w:color w:val="auto"/>
        </w:rPr>
      </w:pPr>
      <w:r>
        <w:rPr>
          <w:rFonts w:ascii="Arial" w:cs="Arial" w:eastAsia="Arial" w:hAnsi="Arial"/>
          <w:sz w:val="16"/>
          <w:szCs w:val="16"/>
          <w:color w:val="auto"/>
        </w:rPr>
        <w:t>Authorized but unissued shares of common stock or preferred stock can be reserved for issuance by the Board of Directors from time to time, without stockholder action, for stock dividends or stock splits, to raise equity capital and to structure future corporate transactions, including acquisitions, as well as for other proper corporate purposes. Stockholders have no preemptive rights.</w:t>
      </w:r>
    </w:p>
    <w:p>
      <w:pPr>
        <w:spacing w:after="0" w:line="10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Delaware law and certain provisions of our Certificate of Incorporation</w:t>
      </w:r>
    </w:p>
    <w:p>
      <w:pPr>
        <w:spacing w:after="0" w:line="135" w:lineRule="exact"/>
        <w:rPr>
          <w:sz w:val="20"/>
          <w:szCs w:val="20"/>
          <w:color w:val="auto"/>
        </w:rPr>
      </w:pPr>
    </w:p>
    <w:p>
      <w:pPr>
        <w:ind w:left="700" w:right="60" w:firstLine="397"/>
        <w:spacing w:after="0" w:line="342" w:lineRule="auto"/>
        <w:rPr>
          <w:sz w:val="20"/>
          <w:szCs w:val="20"/>
          <w:color w:val="auto"/>
        </w:rPr>
      </w:pPr>
      <w:r>
        <w:rPr>
          <w:rFonts w:ascii="Arial" w:cs="Arial" w:eastAsia="Arial" w:hAnsi="Arial"/>
          <w:sz w:val="16"/>
          <w:szCs w:val="16"/>
          <w:color w:val="auto"/>
        </w:rPr>
        <w:t>We are a Delaware corporation and are governed by the Delaware General Corporation Law, in addition to our Certificate of Incorporation and Bylaws, certain provisions of which are summarized below. You should read the actual provisions of these documents.</w:t>
      </w:r>
    </w:p>
    <w:p>
      <w:pPr>
        <w:spacing w:after="0" w:line="29"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Section 203 of the Delaware law provides that an “Interested Stockholder,” which is generally defined to mean any beneficial owner of 15% to 85% of the corporation’s voting stock, may not engage in any “business combination” with the corporation for a period of three years after the date on which the person became an Interested Stockholder, unless:</w:t>
      </w:r>
    </w:p>
    <w:p>
      <w:pPr>
        <w:spacing w:after="0" w:line="87" w:lineRule="exact"/>
        <w:rPr>
          <w:sz w:val="20"/>
          <w:szCs w:val="20"/>
          <w:color w:val="auto"/>
        </w:rPr>
      </w:pPr>
    </w:p>
    <w:p>
      <w:pPr>
        <w:ind w:left="1300" w:right="180" w:hanging="202"/>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prior to such date, the corporation’s board of directors approved either the business combination or the transaction in which the stockholder became an Interested Stockholder; or</w:t>
      </w:r>
    </w:p>
    <w:p>
      <w:pPr>
        <w:spacing w:after="0" w:line="62" w:lineRule="exact"/>
        <w:rPr>
          <w:rFonts w:ascii="Arial" w:cs="Arial" w:eastAsia="Arial" w:hAnsi="Arial"/>
          <w:sz w:val="18"/>
          <w:szCs w:val="18"/>
          <w:color w:val="auto"/>
        </w:rPr>
      </w:pPr>
    </w:p>
    <w:p>
      <w:pPr>
        <w:ind w:left="1300" w:right="180" w:hanging="202"/>
        <w:spacing w:after="0" w:line="264"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subsequent to such date, the business combination is approved by the corporation’s board of directors and authorized at a stockholders’ meeting by a vote of at least two-thirds of the corporation’s outstanding voting stock not owned by the Interested Stockholder.</w:t>
      </w:r>
    </w:p>
    <w:p>
      <w:pPr>
        <w:spacing w:after="0" w:line="87" w:lineRule="exact"/>
        <w:rPr>
          <w:sz w:val="20"/>
          <w:szCs w:val="20"/>
          <w:color w:val="auto"/>
        </w:rPr>
      </w:pPr>
    </w:p>
    <w:p>
      <w:pPr>
        <w:ind w:left="700" w:right="220" w:firstLine="397"/>
        <w:spacing w:after="0" w:line="277" w:lineRule="auto"/>
        <w:rPr>
          <w:sz w:val="20"/>
          <w:szCs w:val="20"/>
          <w:color w:val="auto"/>
        </w:rPr>
      </w:pPr>
      <w:r>
        <w:rPr>
          <w:rFonts w:ascii="Arial" w:cs="Arial" w:eastAsia="Arial" w:hAnsi="Arial"/>
          <w:sz w:val="18"/>
          <w:szCs w:val="18"/>
          <w:color w:val="auto"/>
        </w:rPr>
        <w:t>Section 203 defines the term “business combination” to include mergers, asset sales and other transactions resulting in a financial benefit to the Interested Stockholder.</w:t>
      </w:r>
    </w:p>
    <w:p>
      <w:pPr>
        <w:spacing w:after="0" w:line="76"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The provisions of Section 203, combined with the Board of Directors’ authority to issue preferred stock without further stockholder action, could delay or frustrate a change in control or discourage, impede or prevent a merger, tender offer or proxy contest involving us, even if such an event would be favorable to the interests of our stockholders. Our stockholders, by adopting an amendment to the Certificate of Incorporation, may elect not to be governed by Section 203. Such an election would be effective 12 months after its adoption.</w:t>
      </w:r>
    </w:p>
    <w:p>
      <w:pPr>
        <w:spacing w:after="0" w:line="14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Limitation of liability and indemnification of officers and directors</w:t>
      </w:r>
    </w:p>
    <w:p>
      <w:pPr>
        <w:spacing w:after="0" w:line="135" w:lineRule="exact"/>
        <w:rPr>
          <w:sz w:val="20"/>
          <w:szCs w:val="20"/>
          <w:color w:val="auto"/>
        </w:rPr>
      </w:pPr>
    </w:p>
    <w:p>
      <w:pPr>
        <w:jc w:val="both"/>
        <w:ind w:left="700" w:right="40" w:firstLine="397"/>
        <w:spacing w:after="0" w:line="286" w:lineRule="auto"/>
        <w:rPr>
          <w:sz w:val="20"/>
          <w:szCs w:val="20"/>
          <w:color w:val="auto"/>
        </w:rPr>
      </w:pPr>
      <w:r>
        <w:rPr>
          <w:rFonts w:ascii="Arial" w:cs="Arial" w:eastAsia="Arial" w:hAnsi="Arial"/>
          <w:sz w:val="17"/>
          <w:szCs w:val="17"/>
          <w:color w:val="auto"/>
        </w:rPr>
        <w:t>Our Certificate of Incorporation provides that our directors are not liable for monetary damages for breaches of their fiduciary duty as directors, unless they violated their duty of loyalty to us or our stockholders, acted in bad faith, knowingly or intentionally violated the law, authorized illegal dividends or redemptions or derived an improper personal benefit from their action as directors.</w:t>
      </w:r>
    </w:p>
    <w:p>
      <w:pPr>
        <w:spacing w:after="0" w:line="71"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Our Bylaws provide for indemnification of each officer and director to the fullest extent permitted by Delaware law. Section 145 of the Delaware General Corporation Law grants us the power to indemnify each officer and director against liabilities and expenses incurred by reason of the fact that he is or was an officer or director if the individual (1) acted in good faith and in a manner he reasonably believed to be in or not opposed to the best interests of the company, and (2) with respect to any criminal action or proceeding, he had no reasonable cause to believe his conduct was unlawful. In addition, we have entered into indemnification agreements with each of our directors as well as certain of our executive officers. These agreements generally provide that the individuals will be indemnified to the fullest extent of Delaware law.</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We have also purchased directors’ and officers’ liability insurance. Section 145 of the Delaware General Corporation Law allows us to purchase such insurance whether or not we would have the power to indemnify an officer or director under the provisions of Section 145.</w:t>
      </w:r>
    </w:p>
    <w:p>
      <w:pPr>
        <w:spacing w:after="0" w:line="87" w:lineRule="exact"/>
        <w:rPr>
          <w:sz w:val="20"/>
          <w:szCs w:val="20"/>
          <w:color w:val="auto"/>
        </w:rPr>
      </w:pPr>
    </w:p>
    <w:p>
      <w:pPr>
        <w:ind w:left="700" w:right="460" w:firstLine="397"/>
        <w:spacing w:after="0" w:line="286"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our directors, officers or controlling persons pursuant to the foregoing provisions, we have been informed that in the opinion of the Commission such indemnification is against public policy as expressed in the Securities Act and is therefore unenforceable.</w:t>
      </w:r>
    </w:p>
    <w:p>
      <w:pPr>
        <w:spacing w:after="0" w:line="175"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DESCRIPTION OF OTHER SECURITIES</w:t>
      </w:r>
    </w:p>
    <w:p>
      <w:pPr>
        <w:spacing w:after="0" w:line="135"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We will set forth in the applicable prospectus supplement a description of any warrants or units that may be offered pursuant to this prospectus.</w:t>
      </w:r>
    </w:p>
    <w:p>
      <w:pPr>
        <w:spacing w:after="0" w:line="18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PLAN OF DISTRIBUTION</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securities being offered by this prospectus may be sold by us or by a selling securityholder:</w:t>
      </w:r>
    </w:p>
    <w:p>
      <w:pPr>
        <w:spacing w:after="0" w:line="131" w:lineRule="exact"/>
        <w:rPr>
          <w:sz w:val="20"/>
          <w:szCs w:val="20"/>
          <w:color w:val="auto"/>
        </w:rPr>
      </w:pPr>
    </w:p>
    <w:p>
      <w:pPr>
        <w:ind w:left="1300" w:hanging="202"/>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or through underwriters,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through broker-dealers (acting as agent or principal),</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directly by us or a selling securityholder to purchasers, through a specific bidding or auction process or otherwise,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through a combination of any such methods of sale,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through any other methods described in a prospectus supplement</w:t>
      </w:r>
    </w:p>
    <w:p>
      <w:pPr>
        <w:spacing w:after="0" w:line="131" w:lineRule="exact"/>
        <w:rPr>
          <w:sz w:val="20"/>
          <w:szCs w:val="20"/>
          <w:color w:val="auto"/>
        </w:rPr>
      </w:pPr>
    </w:p>
    <w:p>
      <w:pPr>
        <w:ind w:left="700" w:right="20" w:firstLine="397"/>
        <w:spacing w:after="0" w:line="270" w:lineRule="auto"/>
        <w:rPr>
          <w:sz w:val="20"/>
          <w:szCs w:val="20"/>
          <w:color w:val="auto"/>
        </w:rPr>
      </w:pPr>
      <w:r>
        <w:rPr>
          <w:rFonts w:ascii="Arial" w:cs="Arial" w:eastAsia="Arial" w:hAnsi="Arial"/>
          <w:sz w:val="17"/>
          <w:szCs w:val="17"/>
          <w:color w:val="auto"/>
        </w:rPr>
        <w:t>The distribution of securities may be effected from time to time in one or more transactions, including block transactions and transactions on the New York Stock Exchange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87"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w:t>
      </w:r>
    </w:p>
    <w:p>
      <w:pPr>
        <w:spacing w:after="0" w:line="94" w:lineRule="exact"/>
        <w:rPr>
          <w:sz w:val="20"/>
          <w:szCs w:val="20"/>
          <w:color w:val="auto"/>
        </w:rPr>
      </w:pPr>
    </w:p>
    <w:p>
      <w:pPr>
        <w:ind w:left="700" w:right="20" w:firstLine="397"/>
        <w:spacing w:after="0" w:line="253" w:lineRule="auto"/>
        <w:rPr>
          <w:sz w:val="20"/>
          <w:szCs w:val="20"/>
          <w:color w:val="auto"/>
        </w:rPr>
      </w:pPr>
      <w:r>
        <w:rPr>
          <w:rFonts w:ascii="Arial" w:cs="Arial" w:eastAsia="Arial" w:hAnsi="Arial"/>
          <w:sz w:val="18"/>
          <w:szCs w:val="18"/>
          <w:color w:val="auto"/>
        </w:rPr>
        <w:t>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the applicable prospectus supplement will be used by the underwriters to resell the securities.</w:t>
      </w:r>
    </w:p>
    <w:p>
      <w:pPr>
        <w:spacing w:after="0" w:line="38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120" w:firstLine="397"/>
        <w:spacing w:after="0" w:line="312" w:lineRule="auto"/>
        <w:rPr>
          <w:sz w:val="20"/>
          <w:szCs w:val="20"/>
          <w:color w:val="auto"/>
        </w:rPr>
      </w:pPr>
      <w:r>
        <w:rPr>
          <w:rFonts w:ascii="Arial" w:cs="Arial" w:eastAsia="Arial" w:hAnsi="Arial"/>
          <w:sz w:val="16"/>
          <w:szCs w:val="16"/>
          <w:color w:val="auto"/>
        </w:rPr>
        <w:t>If a dealer is used in the sale of the securities, we, a selling securityholder,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transactions.</w:t>
      </w:r>
    </w:p>
    <w:p>
      <w:pPr>
        <w:spacing w:after="0" w:line="52"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We or a selling securityholder may directly solicit offers to purchase the securities and we or a selling securityholder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92" w:lineRule="exact"/>
        <w:rPr>
          <w:sz w:val="20"/>
          <w:szCs w:val="20"/>
          <w:color w:val="auto"/>
        </w:rPr>
      </w:pPr>
    </w:p>
    <w:p>
      <w:pPr>
        <w:ind w:left="700" w:right="480" w:firstLine="397"/>
        <w:spacing w:after="0" w:line="276" w:lineRule="auto"/>
        <w:rPr>
          <w:sz w:val="20"/>
          <w:szCs w:val="20"/>
          <w:color w:val="auto"/>
        </w:rPr>
      </w:pPr>
      <w:r>
        <w:rPr>
          <w:rFonts w:ascii="Arial" w:cs="Arial" w:eastAsia="Arial" w:hAnsi="Arial"/>
          <w:sz w:val="17"/>
          <w:szCs w:val="17"/>
          <w:color w:val="auto"/>
        </w:rPr>
        <w:t>Agents, underwriters and dealers may be entitled under agreements that may be entered into with us to indemnification by us against specified liabilities, including liabilities incurred under the Securities Act, or to contribution by us to payments they may be required to make in respect of such liabilities. If required, the prospectus supplement will describe the terms and conditions of such indemnification or contribution. Some of the agents, underwriters or dealers, or their affiliates may be customers of, engage in transactions with or perform services for us or our subsidiaries in the ordinary course of business.</w:t>
      </w:r>
    </w:p>
    <w:p>
      <w:pPr>
        <w:spacing w:after="0" w:line="78"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Under the securities laws of some states, the securities offered by this prospectus may be sold in those states only through registered or licensed brokers or dealers.</w:t>
      </w:r>
    </w:p>
    <w:p>
      <w:pPr>
        <w:spacing w:after="0" w:line="76" w:lineRule="exact"/>
        <w:rPr>
          <w:sz w:val="20"/>
          <w:szCs w:val="20"/>
          <w:color w:val="auto"/>
        </w:rPr>
      </w:pPr>
    </w:p>
    <w:p>
      <w:pPr>
        <w:ind w:left="700" w:right="100" w:firstLine="397"/>
        <w:spacing w:after="0" w:line="273" w:lineRule="auto"/>
        <w:rPr>
          <w:sz w:val="20"/>
          <w:szCs w:val="20"/>
          <w:color w:val="auto"/>
        </w:rPr>
      </w:pPr>
      <w:r>
        <w:rPr>
          <w:rFonts w:ascii="Arial" w:cs="Arial" w:eastAsia="Arial" w:hAnsi="Arial"/>
          <w:sz w:val="17"/>
          <w:szCs w:val="17"/>
          <w:color w:val="auto"/>
        </w:rPr>
        <w:t>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spacing w:after="0" w:line="84" w:lineRule="exact"/>
        <w:rPr>
          <w:sz w:val="20"/>
          <w:szCs w:val="20"/>
          <w:color w:val="auto"/>
        </w:rPr>
      </w:pPr>
    </w:p>
    <w:p>
      <w:pPr>
        <w:jc w:val="both"/>
        <w:ind w:left="700" w:right="60" w:firstLine="397"/>
        <w:spacing w:after="0" w:line="286" w:lineRule="auto"/>
        <w:rPr>
          <w:sz w:val="20"/>
          <w:szCs w:val="20"/>
          <w:color w:val="auto"/>
        </w:rPr>
      </w:pPr>
      <w:r>
        <w:rPr>
          <w:rFonts w:ascii="Arial" w:cs="Arial" w:eastAsia="Arial" w:hAnsi="Arial"/>
          <w:sz w:val="17"/>
          <w:szCs w:val="17"/>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spacing w:after="0" w:line="175"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SELLING SECURITYHOLDERS</w:t>
      </w:r>
    </w:p>
    <w:p>
      <w:pPr>
        <w:spacing w:after="0" w:line="135" w:lineRule="exact"/>
        <w:rPr>
          <w:sz w:val="20"/>
          <w:szCs w:val="20"/>
          <w:color w:val="auto"/>
        </w:rPr>
      </w:pPr>
    </w:p>
    <w:p>
      <w:pPr>
        <w:ind w:left="700" w:right="640" w:firstLine="397"/>
        <w:spacing w:after="0" w:line="308" w:lineRule="auto"/>
        <w:rPr>
          <w:sz w:val="20"/>
          <w:szCs w:val="20"/>
          <w:color w:val="auto"/>
        </w:rPr>
      </w:pPr>
      <w:r>
        <w:rPr>
          <w:rFonts w:ascii="Arial" w:cs="Arial" w:eastAsia="Arial" w:hAnsi="Arial"/>
          <w:sz w:val="17"/>
          <w:szCs w:val="17"/>
          <w:color w:val="auto"/>
        </w:rPr>
        <w:t>Information about selling securityholders, where applicable, will be set forth in a prospectus supplement, in a post-effective amendment, or in filings we make with the SEC under the Exchange Act that are incorporated by reference.</w:t>
      </w:r>
    </w:p>
    <w:p>
      <w:pPr>
        <w:spacing w:after="0" w:line="15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LEGAL MATTERS</w:t>
      </w:r>
    </w:p>
    <w:p>
      <w:pPr>
        <w:spacing w:after="0" w:line="135" w:lineRule="exact"/>
        <w:rPr>
          <w:sz w:val="20"/>
          <w:szCs w:val="20"/>
          <w:color w:val="auto"/>
        </w:rPr>
      </w:pPr>
    </w:p>
    <w:p>
      <w:pPr>
        <w:ind w:left="700" w:right="380" w:firstLine="397"/>
        <w:spacing w:after="0" w:line="342" w:lineRule="auto"/>
        <w:rPr>
          <w:sz w:val="20"/>
          <w:szCs w:val="20"/>
          <w:color w:val="auto"/>
        </w:rPr>
      </w:pPr>
      <w:r>
        <w:rPr>
          <w:rFonts w:ascii="Arial" w:cs="Arial" w:eastAsia="Arial" w:hAnsi="Arial"/>
          <w:sz w:val="16"/>
          <w:szCs w:val="16"/>
          <w:color w:val="auto"/>
        </w:rPr>
        <w:t>In connection with particular offerings of the securities in the future, and if stated in the applicable prospectus supplements, the validity of those securities will be passed upon for us by counsel named in the applicable prospectus supplement.</w:t>
      </w:r>
    </w:p>
    <w:p>
      <w:pPr>
        <w:spacing w:after="0" w:line="13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EXPERTS</w:t>
      </w:r>
    </w:p>
    <w:p>
      <w:pPr>
        <w:spacing w:after="0" w:line="135"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The consolidated financial statements of Waste Management, Inc. appearing in Waste Management, Inc.’s Annual Report (Form 10-K) for the year ended December 31, 2008 including the schedule appearing therein, and the effectiveness of Waste Management, Inc.’s internal control over financial reporting as of December 31, 2008,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205740</wp:posOffset>
            </wp:positionV>
            <wp:extent cx="630301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03010" cy="342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4960"/>
        <w:spacing w:after="0"/>
        <w:rPr>
          <w:sz w:val="20"/>
          <w:szCs w:val="20"/>
          <w:color w:val="auto"/>
        </w:rPr>
      </w:pPr>
      <w:r>
        <w:rPr>
          <w:rFonts w:ascii="Arial" w:cs="Arial" w:eastAsia="Arial" w:hAnsi="Arial"/>
          <w:sz w:val="25"/>
          <w:szCs w:val="25"/>
          <w:b w:val="1"/>
          <w:bCs w:val="1"/>
          <w:color w:val="auto"/>
        </w:rPr>
        <w:t>$600,000,000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63500</wp:posOffset>
            </wp:positionV>
            <wp:extent cx="1269365" cy="4457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6936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6.125% Senior Notes due 2039</w:t>
      </w:r>
    </w:p>
    <w:p>
      <w:pPr>
        <w:spacing w:after="0" w:line="120" w:lineRule="exact"/>
        <w:rPr>
          <w:sz w:val="20"/>
          <w:szCs w:val="20"/>
          <w:color w:val="auto"/>
        </w:rPr>
      </w:pPr>
    </w:p>
    <w:p>
      <w:pPr>
        <w:jc w:val="center"/>
        <w:ind w:right="-1080"/>
        <w:spacing w:after="0"/>
        <w:rPr>
          <w:sz w:val="20"/>
          <w:szCs w:val="20"/>
          <w:color w:val="auto"/>
        </w:rPr>
      </w:pPr>
      <w:r>
        <w:rPr>
          <w:rFonts w:ascii="Arial" w:cs="Arial" w:eastAsia="Arial" w:hAnsi="Arial"/>
          <w:sz w:val="16"/>
          <w:szCs w:val="16"/>
          <w:i w:val="1"/>
          <w:iCs w:val="1"/>
          <w:color w:val="auto"/>
        </w:rPr>
        <w:t>Joint Book-Running and Joint Lead Managers</w:t>
      </w:r>
    </w:p>
    <w:p>
      <w:pPr>
        <w:spacing w:after="0" w:line="167" w:lineRule="exact"/>
        <w:rPr>
          <w:sz w:val="20"/>
          <w:szCs w:val="20"/>
          <w:color w:val="auto"/>
        </w:rPr>
      </w:pPr>
    </w:p>
    <w:p>
      <w:pPr>
        <w:jc w:val="center"/>
        <w:ind w:right="-1080"/>
        <w:spacing w:after="0"/>
        <w:rPr>
          <w:sz w:val="20"/>
          <w:szCs w:val="20"/>
          <w:color w:val="auto"/>
        </w:rPr>
      </w:pPr>
      <w:r>
        <w:rPr>
          <w:rFonts w:ascii="Arial" w:cs="Arial" w:eastAsia="Arial" w:hAnsi="Arial"/>
          <w:sz w:val="32"/>
          <w:szCs w:val="32"/>
          <w:b w:val="1"/>
          <w:bCs w:val="1"/>
          <w:color w:val="auto"/>
        </w:rPr>
        <w:t>BNP PARIBAS</w:t>
      </w:r>
    </w:p>
    <w:p>
      <w:pPr>
        <w:spacing w:after="0" w:line="29" w:lineRule="exact"/>
        <w:rPr>
          <w:sz w:val="20"/>
          <w:szCs w:val="20"/>
          <w:color w:val="auto"/>
        </w:rPr>
      </w:pPr>
    </w:p>
    <w:p>
      <w:pPr>
        <w:jc w:val="center"/>
        <w:ind w:right="-1080"/>
        <w:spacing w:after="0"/>
        <w:rPr>
          <w:sz w:val="20"/>
          <w:szCs w:val="20"/>
          <w:color w:val="auto"/>
        </w:rPr>
      </w:pPr>
      <w:r>
        <w:rPr>
          <w:rFonts w:ascii="Arial" w:cs="Arial" w:eastAsia="Arial" w:hAnsi="Arial"/>
          <w:sz w:val="32"/>
          <w:szCs w:val="32"/>
          <w:b w:val="1"/>
          <w:bCs w:val="1"/>
          <w:color w:val="auto"/>
        </w:rPr>
        <w:t>J.P. Morgan</w:t>
      </w:r>
    </w:p>
    <w:p>
      <w:pPr>
        <w:jc w:val="center"/>
        <w:ind w:right="-1080"/>
        <w:spacing w:after="0" w:line="237" w:lineRule="auto"/>
        <w:rPr>
          <w:sz w:val="20"/>
          <w:szCs w:val="20"/>
          <w:color w:val="auto"/>
        </w:rPr>
      </w:pPr>
      <w:r>
        <w:rPr>
          <w:rFonts w:ascii="Arial" w:cs="Arial" w:eastAsia="Arial" w:hAnsi="Arial"/>
          <w:sz w:val="32"/>
          <w:szCs w:val="32"/>
          <w:b w:val="1"/>
          <w:bCs w:val="1"/>
          <w:color w:val="auto"/>
        </w:rPr>
        <w:t>Scotia Capital</w:t>
      </w:r>
    </w:p>
    <w:p>
      <w:pPr>
        <w:spacing w:after="0" w:line="1" w:lineRule="exact"/>
        <w:rPr>
          <w:sz w:val="20"/>
          <w:szCs w:val="20"/>
          <w:color w:val="auto"/>
        </w:rPr>
      </w:pPr>
    </w:p>
    <w:p>
      <w:pPr>
        <w:jc w:val="center"/>
        <w:ind w:right="-1080"/>
        <w:spacing w:after="0"/>
        <w:rPr>
          <w:sz w:val="20"/>
          <w:szCs w:val="20"/>
          <w:color w:val="auto"/>
        </w:rPr>
      </w:pPr>
      <w:r>
        <w:rPr>
          <w:rFonts w:ascii="Arial" w:cs="Arial" w:eastAsia="Arial" w:hAnsi="Arial"/>
          <w:sz w:val="31"/>
          <w:szCs w:val="31"/>
          <w:b w:val="1"/>
          <w:bCs w:val="1"/>
          <w:color w:val="auto"/>
        </w:rPr>
        <w:t>Wells Fargo Securities</w:t>
      </w:r>
    </w:p>
    <w:p>
      <w:pPr>
        <w:spacing w:after="0" w:line="229" w:lineRule="exact"/>
        <w:rPr>
          <w:sz w:val="20"/>
          <w:szCs w:val="20"/>
          <w:color w:val="auto"/>
        </w:rPr>
      </w:pPr>
    </w:p>
    <w:p>
      <w:pPr>
        <w:ind w:left="5160"/>
        <w:spacing w:after="0"/>
        <w:rPr>
          <w:sz w:val="20"/>
          <w:szCs w:val="20"/>
          <w:color w:val="auto"/>
        </w:rPr>
      </w:pPr>
      <w:r>
        <w:rPr>
          <w:rFonts w:ascii="Arial" w:cs="Arial" w:eastAsia="Arial" w:hAnsi="Arial"/>
          <w:sz w:val="18"/>
          <w:szCs w:val="18"/>
          <w:i w:val="1"/>
          <w:iCs w:val="1"/>
          <w:color w:val="auto"/>
        </w:rPr>
        <w:t>Co-Managers</w:t>
      </w:r>
    </w:p>
    <w:p>
      <w:pPr>
        <w:spacing w:after="0" w:line="158" w:lineRule="exact"/>
        <w:rPr>
          <w:sz w:val="20"/>
          <w:szCs w:val="20"/>
          <w:color w:val="auto"/>
        </w:rPr>
      </w:pPr>
    </w:p>
    <w:p>
      <w:pPr>
        <w:jc w:val="center"/>
        <w:ind w:right="-1080"/>
        <w:spacing w:after="0"/>
        <w:rPr>
          <w:sz w:val="20"/>
          <w:szCs w:val="20"/>
          <w:color w:val="auto"/>
        </w:rPr>
      </w:pPr>
      <w:r>
        <w:rPr>
          <w:rFonts w:ascii="Arial" w:cs="Arial" w:eastAsia="Arial" w:hAnsi="Arial"/>
          <w:sz w:val="22"/>
          <w:szCs w:val="22"/>
          <w:b w:val="1"/>
          <w:bCs w:val="1"/>
          <w:color w:val="auto"/>
        </w:rPr>
        <w:t>CALYON</w:t>
      </w:r>
    </w:p>
    <w:p>
      <w:pPr>
        <w:spacing w:after="0" w:line="4" w:lineRule="exact"/>
        <w:rPr>
          <w:sz w:val="20"/>
          <w:szCs w:val="20"/>
          <w:color w:val="auto"/>
        </w:rPr>
      </w:pPr>
    </w:p>
    <w:p>
      <w:pPr>
        <w:jc w:val="center"/>
        <w:ind w:right="-1080"/>
        <w:spacing w:after="0"/>
        <w:rPr>
          <w:sz w:val="20"/>
          <w:szCs w:val="20"/>
          <w:color w:val="auto"/>
        </w:rPr>
      </w:pPr>
      <w:r>
        <w:rPr>
          <w:rFonts w:ascii="Arial" w:cs="Arial" w:eastAsia="Arial" w:hAnsi="Arial"/>
          <w:sz w:val="22"/>
          <w:szCs w:val="22"/>
          <w:b w:val="1"/>
          <w:bCs w:val="1"/>
          <w:color w:val="auto"/>
        </w:rPr>
        <w:t>Citi</w:t>
      </w:r>
    </w:p>
    <w:p>
      <w:pPr>
        <w:jc w:val="center"/>
        <w:ind w:right="-1080"/>
        <w:spacing w:after="0" w:line="230" w:lineRule="auto"/>
        <w:rPr>
          <w:sz w:val="20"/>
          <w:szCs w:val="20"/>
          <w:color w:val="auto"/>
        </w:rPr>
      </w:pPr>
      <w:r>
        <w:rPr>
          <w:rFonts w:ascii="Arial" w:cs="Arial" w:eastAsia="Arial" w:hAnsi="Arial"/>
          <w:sz w:val="22"/>
          <w:szCs w:val="22"/>
          <w:b w:val="1"/>
          <w:bCs w:val="1"/>
          <w:color w:val="auto"/>
        </w:rPr>
        <w:t>Comerica Securities</w:t>
      </w:r>
    </w:p>
    <w:p>
      <w:pPr>
        <w:jc w:val="center"/>
        <w:ind w:right="-1080"/>
        <w:spacing w:after="0" w:line="231" w:lineRule="auto"/>
        <w:rPr>
          <w:sz w:val="20"/>
          <w:szCs w:val="20"/>
          <w:color w:val="auto"/>
        </w:rPr>
      </w:pPr>
      <w:r>
        <w:rPr>
          <w:rFonts w:ascii="Arial" w:cs="Arial" w:eastAsia="Arial" w:hAnsi="Arial"/>
          <w:sz w:val="22"/>
          <w:szCs w:val="22"/>
          <w:b w:val="1"/>
          <w:bCs w:val="1"/>
          <w:color w:val="auto"/>
        </w:rPr>
        <w:t>Daiwa Securities America Inc.</w:t>
      </w:r>
    </w:p>
    <w:p>
      <w:pPr>
        <w:jc w:val="center"/>
        <w:ind w:right="-1080"/>
        <w:spacing w:after="0" w:line="230" w:lineRule="auto"/>
        <w:rPr>
          <w:sz w:val="20"/>
          <w:szCs w:val="20"/>
          <w:color w:val="auto"/>
        </w:rPr>
      </w:pPr>
      <w:r>
        <w:rPr>
          <w:rFonts w:ascii="Arial" w:cs="Arial" w:eastAsia="Arial" w:hAnsi="Arial"/>
          <w:sz w:val="22"/>
          <w:szCs w:val="22"/>
          <w:b w:val="1"/>
          <w:bCs w:val="1"/>
          <w:color w:val="auto"/>
        </w:rPr>
        <w:t>Goldman, Sachs &amp; Co.</w:t>
      </w:r>
    </w:p>
    <w:p>
      <w:pPr>
        <w:jc w:val="center"/>
        <w:ind w:right="-1080"/>
        <w:spacing w:after="0" w:line="231" w:lineRule="auto"/>
        <w:rPr>
          <w:sz w:val="20"/>
          <w:szCs w:val="20"/>
          <w:color w:val="auto"/>
        </w:rPr>
      </w:pPr>
      <w:r>
        <w:rPr>
          <w:rFonts w:ascii="Arial" w:cs="Arial" w:eastAsia="Arial" w:hAnsi="Arial"/>
          <w:sz w:val="22"/>
          <w:szCs w:val="22"/>
          <w:b w:val="1"/>
          <w:bCs w:val="1"/>
          <w:color w:val="auto"/>
        </w:rPr>
        <w:t>Mitsubishi UFJ Securities</w:t>
      </w:r>
    </w:p>
    <w:p>
      <w:pPr>
        <w:jc w:val="center"/>
        <w:ind w:right="-1080"/>
        <w:spacing w:after="0" w:line="231" w:lineRule="auto"/>
        <w:rPr>
          <w:sz w:val="20"/>
          <w:szCs w:val="20"/>
          <w:color w:val="auto"/>
        </w:rPr>
      </w:pPr>
      <w:r>
        <w:rPr>
          <w:rFonts w:ascii="Arial" w:cs="Arial" w:eastAsia="Arial" w:hAnsi="Arial"/>
          <w:sz w:val="22"/>
          <w:szCs w:val="22"/>
          <w:b w:val="1"/>
          <w:bCs w:val="1"/>
          <w:color w:val="auto"/>
        </w:rPr>
        <w:t>Mizuho Securities USA Inc.</w:t>
      </w:r>
    </w:p>
    <w:p>
      <w:pPr>
        <w:jc w:val="center"/>
        <w:ind w:right="-1080"/>
        <w:spacing w:after="0"/>
        <w:rPr>
          <w:sz w:val="20"/>
          <w:szCs w:val="20"/>
          <w:color w:val="auto"/>
        </w:rPr>
      </w:pPr>
      <w:r>
        <w:rPr>
          <w:rFonts w:ascii="Arial" w:cs="Arial" w:eastAsia="Arial" w:hAnsi="Arial"/>
          <w:sz w:val="21"/>
          <w:szCs w:val="21"/>
          <w:b w:val="1"/>
          <w:bCs w:val="1"/>
          <w:color w:val="auto"/>
        </w:rPr>
        <w:t>Morgan Keegan &amp; Company, Inc.</w:t>
      </w:r>
    </w:p>
    <w:p>
      <w:pPr>
        <w:jc w:val="center"/>
        <w:ind w:right="-1080"/>
        <w:spacing w:after="0" w:line="232" w:lineRule="auto"/>
        <w:rPr>
          <w:sz w:val="20"/>
          <w:szCs w:val="20"/>
          <w:color w:val="auto"/>
        </w:rPr>
      </w:pPr>
      <w:r>
        <w:rPr>
          <w:rFonts w:ascii="Arial" w:cs="Arial" w:eastAsia="Arial" w:hAnsi="Arial"/>
          <w:sz w:val="22"/>
          <w:szCs w:val="22"/>
          <w:b w:val="1"/>
          <w:bCs w:val="1"/>
          <w:color w:val="auto"/>
        </w:rPr>
        <w:t>SunTrust Robinson Humphrey</w:t>
      </w:r>
    </w:p>
    <w:p>
      <w:pPr>
        <w:jc w:val="center"/>
        <w:ind w:right="-1080"/>
        <w:spacing w:after="0"/>
        <w:rPr>
          <w:sz w:val="20"/>
          <w:szCs w:val="20"/>
          <w:color w:val="auto"/>
        </w:rPr>
      </w:pPr>
      <w:r>
        <w:rPr>
          <w:rFonts w:ascii="Arial" w:cs="Arial" w:eastAsia="Arial" w:hAnsi="Arial"/>
          <w:sz w:val="22"/>
          <w:szCs w:val="22"/>
          <w:b w:val="1"/>
          <w:bCs w:val="1"/>
          <w:color w:val="auto"/>
        </w:rPr>
        <w:t>U.S. Bancorp Investments,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141605</wp:posOffset>
            </wp:positionV>
            <wp:extent cx="630301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03010" cy="26035"/>
                    </a:xfrm>
                    <a:prstGeom prst="rect">
                      <a:avLst/>
                    </a:prstGeom>
                    <a:noFill/>
                  </pic:spPr>
                </pic:pic>
              </a:graphicData>
            </a:graphic>
          </wp:anchor>
        </w:drawing>
      </w:r>
    </w:p>
    <w:sectPr>
      <w:pgSz w:w="11900" w:h="16838" w:orient="portrait"/>
      <w:cols w:equalWidth="0" w:num="1">
        <w:col w:w="10219"/>
      </w:cols>
      <w:pgMar w:left="240" w:top="4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decimal"/>
      <w:start w:val="1"/>
    </w:lvl>
  </w:abstractNum>
  <w:abstractNum w:abstractNumId="1">
    <w:nsid w:val="333AB105"/>
    <w:multiLevelType w:val="hybridMultilevel"/>
    <w:lvl w:ilvl="0">
      <w:lvlJc w:val="left"/>
      <w:lvlText w:val="(%1)"/>
      <w:numFmt w:val="decimal"/>
      <w:start w:val="713"/>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1)"/>
      <w:numFmt w:val="lowerLetter"/>
      <w:start w:val="1"/>
    </w:lvl>
  </w:abstractNum>
  <w:abstractNum w:abstractNumId="7">
    <w:nsid w:val="8EDBDAB"/>
    <w:multiLevelType w:val="hybridMultilevel"/>
    <w:lvl w:ilvl="0">
      <w:lvlJc w:val="left"/>
      <w:lvlText w:val="(%1)"/>
      <w:numFmt w:val="lowerLetter"/>
      <w:start w:val="3"/>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1)"/>
      <w:numFmt w:val="decimal"/>
      <w:start w:val="1"/>
    </w:lvl>
    <w:lvl w:ilvl="1">
      <w:lvlJc w:val="left"/>
      <w:lvlText w:val="(%2)"/>
      <w:numFmt w:val="lowerLetter"/>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1)"/>
      <w:numFmt w:val="lowerRoman"/>
      <w:start w:val="2"/>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1)"/>
      <w:numFmt w:val="lowerLetter"/>
      <w:start w:val="1"/>
    </w:lvl>
    <w:lvl w:ilvl="1">
      <w:lvlJc w:val="left"/>
      <w:lvlText w:val="•"/>
      <w:numFmt w:val="bullet"/>
      <w:start w:val="1"/>
    </w:lvl>
  </w:abstractNum>
  <w:abstractNum w:abstractNumId="35">
    <w:nsid w:val="2463B9EA"/>
    <w:multiLevelType w:val="hybridMultilevel"/>
    <w:lvl w:ilvl="0">
      <w:lvlJc w:val="left"/>
      <w:lvlText w:val="(%1)"/>
      <w:numFmt w:val="lowerLetter"/>
      <w:start w:val="12"/>
    </w:lvl>
  </w:abstractNum>
  <w:abstractNum w:abstractNumId="36">
    <w:nsid w:val="5E884ADC"/>
    <w:multiLevelType w:val="hybridMultilevel"/>
    <w:lvl w:ilvl="0">
      <w:lvlJc w:val="left"/>
      <w:lvlText w:val="(%1)"/>
      <w:numFmt w:val="lowerLetter"/>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
      <w:numFmt w:val="bullet"/>
      <w:start w:val="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2019-12-16T13:27:11Z</dcterms:created>
  <dcterms:modified xsi:type="dcterms:W3CDTF">2019-12-16T13:27:11Z</dcterms:modified>
</cp:coreProperties>
</file>