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8"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18, 2013 was 468,776,225 (excluding treasury shares of 161,506,236).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Accounts receivable, net of allowance for doubtful accounts of $51 and $45,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91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 of $16,540 and $16,112,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12,469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5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3,022</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1"/>
        </w:trPr>
        <w:tc>
          <w:tcPr>
            <w:tcW w:w="91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162,137,511 and 166,062,235 shares, respectively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(5,148)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22"/>
        </w:trPr>
        <w:tc>
          <w:tcPr>
            <w:tcW w:w="9160" w:type="dxa"/>
            <w:vAlign w:val="bottom"/>
          </w:tcPr>
          <w:p>
            <w:pPr>
              <w:ind w:left="6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tcPr>
          <w:p>
            <w:pPr>
              <w:ind w:left="6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3,459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6,862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2,311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2,260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2,993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5,950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5,887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412</w:t>
            </w:r>
          </w:p>
        </w:tc>
        <w:tc>
          <w:tcPr>
            <w:tcW w:w="4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0.365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0.355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256</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219</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432</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and losses on derivative instruments: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3"/>
              </w:rPr>
              <w:t>Unrealized gains (losses), resulting from changes in fair value, net of tax expense (benefit) of $10, $(10), $10</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and $(8), respectively</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(16)</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Reclassification adjustment for (gains) losses included in net income, net of tax (expense) benefit of $(3), $(2),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 and $0, respectively</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Unrealized gains (losses) on available-for-sale securities, net of tax expense (benefit) of $0, $0, $0 and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(37)</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(69)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Change in funded status of post-retirement benefit obligation, net of tax benefit of $0, $0, $0 and $0, respectively</w:t>
            </w:r>
          </w:p>
        </w:tc>
        <w:tc>
          <w:tcPr>
            <w:tcW w:w="7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(26)</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(43)</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(59)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353</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432</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662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1,122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(210)</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(deposits to) restricted trust and escrow accounts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(693)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(268)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(341)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(465)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194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154</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0"/>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2012</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$6,675</w:t>
            </w: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4,549</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6,879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(166,062)</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(5,273)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144</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3,921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4"/>
                <w:szCs w:val="14"/>
                <w:color w:val="auto"/>
              </w:rPr>
              <w:t>Balance, June 30, 2013</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6,818</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630,282</w:t>
            </w:r>
          </w:p>
        </w:tc>
        <w:tc>
          <w:tcPr>
            <w:tcW w:w="4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4,569</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6,948</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134</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(162,138)</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(5,148)</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14.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geographic Areas from 22 to 17.</w:t>
      </w:r>
    </w:p>
    <w:p>
      <w:pPr>
        <w:spacing w:after="0" w:line="32"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Following our reorganization, our senior management now evaluates, oversees and manages the financial performance of our Solid Waste business subsidiaries through these 17 Areas. Our reportable segments have been realigned to conform with our new organizational structure. Our Wheelabrator business provides waste-to-energy services and manages waste-to-energy facilities and independent power production plants. We also provide additional services that are not managed through our Solid Waste or Wheelabrator businesses, including our strategic accounts program that expanded with the acquisition of Oakleaf Global Holdings on July 28, 2011 (“Oakleaf”), which are presented in this report as “Other.” Additional information related to our segments can be found in Note 8.</w:t>
      </w:r>
    </w:p>
    <w:p>
      <w:pPr>
        <w:spacing w:after="0" w:line="1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June 30, 2013 and for the three and six months ended June 30, 2013 and 2012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2012.</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In February 2013, the Financial Accounting Standards Board issued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our prior period consolidated financial information in order to conform to the current year presentation.</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2013</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1,459</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1,338</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2012 and the six months ended June 30, 2013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$1,292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1,380</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2013:</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8"/>
        </w:trPr>
        <w:tc>
          <w:tcPr>
            <w:tcW w:w="83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8"/>
              </w:rPr>
              <w:t>$2.0 billion revolving credit facility, maturing May 2016 (weighted average interest rate of 1.4% at June 30,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and December 31, 2012)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Letter of credit facilities, maturing through June 2015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maturing November 2017 (weighted average effective interest rate of 2.7% at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2013 and 2.9% at December 31, 2012)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6"/>
              </w:rPr>
              <w:t>Senior notes and debentures, maturing through 2039, interest rates ranging from 2.60% to 7.75% (weighted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average interest rate of 5.7% at June 30, 2013 and December 31, 2012)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6,296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2041, fixed and variable interest rates ranging from 0.1% to 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2.5% at June 30, 2013 and 2.8% at December 31, 2012)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2,659</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9,770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8,994</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June 30, 2013, we had (i) $902 million of debt maturing within the next 12 months, including $335 million of borrowings outstanding under the revolving credit facility, U.S.$24 million of advances outstanding under our Canadian credit facility, $350 million of 5.0% senior notes that mature in March 2014 and $110 million of tax-exempt bonds and (ii) $577 million of tax-exempt borrowings subject to repricing within the next 12 months. Based on our intent and ability to refinance a portion of this debt on a long-term basis as of June 30, 2013, we have classified $703 million of this debt as long-term and the remaining $776 million as current obligations.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June 30, 2013, we had an aggregate committed capacity of $2.4 billion for letters of credit under various credit facilities. Our $2.0 billion revolving credit facility is our primary source of letter of credit capacity. As of June 30, 2013, we had an aggregate of $1.4 billion of letters of credit outstanding under various credit facilities. Approximately $961 million of these letters of credit have been issued under our revolving credit facility. We had $335 million of outstanding borrowings under our revolving credit facility as of June 30, 2013, leaving $704 million of unused and available capacity.</w:t>
      </w:r>
    </w:p>
    <w:p>
      <w:pPr>
        <w:spacing w:after="0" w:line="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July 2013, we amended and restated our $2.0 billion revolving credit facility, increasing our total credit capacity to $2.25 billion and extending the term through July 2018.</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Changes in Debt Balances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Debt Repayments — </w:t>
      </w:r>
      <w:r>
        <w:rPr>
          <w:rFonts w:ascii="Arial" w:cs="Arial" w:eastAsia="Arial" w:hAnsi="Arial"/>
          <w:sz w:val="18"/>
          <w:szCs w:val="18"/>
          <w:color w:val="auto"/>
        </w:rPr>
        <w:t>We had net debt repayments of $197 million during the six months ended June 30, 2013, largely attributable to (i) $65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net repayments under our revolving credit facility; (ii) U.S.$50 million of repayments of net advances under our Canadian credit facility; and (iii) the repayment of $67 million of tax-exempt bonds.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had increases in our other obligations during the six months ended June 30, 2013, primarily related to the deferred purchase price of (i) land</w:t>
      </w:r>
      <w:r>
        <w:rPr>
          <w:rFonts w:ascii="Arial" w:cs="Arial" w:eastAsia="Arial" w:hAnsi="Arial"/>
          <w:sz w:val="18"/>
          <w:szCs w:val="18"/>
          <w:i w:val="1"/>
          <w:iCs w:val="1"/>
          <w:color w:val="auto"/>
        </w:rPr>
        <w:t xml:space="preserve"> </w:t>
      </w:r>
      <w:r>
        <w:rPr>
          <w:rFonts w:ascii="Arial" w:cs="Arial" w:eastAsia="Arial" w:hAnsi="Arial"/>
          <w:sz w:val="18"/>
          <w:szCs w:val="18"/>
          <w:color w:val="auto"/>
        </w:rPr>
        <w:t>needed to support a landfill expansion and (ii) Greenstar, LLC, which is discussed further in Note 9.</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1720" w:type="dxa"/>
            <w:vAlign w:val="bottom"/>
          </w:tcPr>
          <w:p>
            <w:pPr>
              <w:spacing w:after="0"/>
              <w:rPr>
                <w:sz w:val="14"/>
                <w:szCs w:val="14"/>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auto"/>
            </w:tcBorders>
            <w:vMerge w:val="continue"/>
          </w:tcPr>
          <w:p>
            <w:pPr>
              <w:spacing w:after="0"/>
              <w:rPr>
                <w:sz w:val="14"/>
                <w:szCs w:val="14"/>
                <w:color w:val="auto"/>
              </w:rPr>
            </w:pPr>
          </w:p>
        </w:tc>
        <w:tc>
          <w:tcPr>
            <w:tcW w:w="17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3"/>
              </w:rPr>
              <w:t>2013</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17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Electricity commodity derivatives</w:t>
            </w:r>
          </w:p>
        </w:tc>
        <w:tc>
          <w:tcPr>
            <w:tcW w:w="17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Current other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17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Interest rate derivatives</w:t>
            </w:r>
          </w:p>
        </w:tc>
        <w:tc>
          <w:tcPr>
            <w:tcW w:w="1720" w:type="dxa"/>
            <w:vAlign w:val="bottom"/>
          </w:tcPr>
          <w:p>
            <w:pPr>
              <w:spacing w:after="0" w:line="20" w:lineRule="exact"/>
              <w:rPr>
                <w:sz w:val="1"/>
                <w:szCs w:val="1"/>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17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7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Current accrued liabilities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17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Total derivative liabilities</w:t>
            </w:r>
          </w:p>
        </w:tc>
        <w:tc>
          <w:tcPr>
            <w:tcW w:w="17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13.</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prior years, we used interest rate swaps to maintain a portion of our debt obligations at variable market interest rates. As of June 30, 2013 and December 31, 2012, we did not have any of these swaps outstanding. In April 2012, we elected to terminate our interest rate swaps related to the interest payments on $1 billion of our senior notes and, upon termination, we received $76 million in cash for their fair value plus accrued interest receivable. The terminated interest rate swaps were associated with senior notes with maturities between November 2012 and 2018. The associated fair value adjustments to long-term debt are being amortized as a reduction to interest expense over the remaining terms of the underlying debt using the effective interest method.</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designated our interest rate swaps as fair value hedges of our fixed-rate senior notes. Fair value hedge accounting for interest rate swap contracts increased the carrying value of our debt instruments by $69 million as of June 30, 2013 and $79 million as of December 31, 2012, representing the unamortized portion of our terminated swaps.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recognize the impacts of (i) net periodic settlements of current interest on our active interest rate swaps, if any,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ectPr>
          <w:pgSz w:w="11900" w:h="16838" w:orient="portrait"/>
          <w:cols w:equalWidth="0" w:num="1">
            <w:col w:w="11420"/>
          </w:cols>
          <w:pgMar w:left="240" w:top="274" w:right="2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Decrease to Interest Expense Due to Hedge Accounting for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08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Periodic settlements of active swap agreements(a)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Terminated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2013</w:t>
            </w: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r>
      <w:tr>
        <w:trPr>
          <w:trHeight w:val="201"/>
        </w:trPr>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2</w:t>
            </w:r>
          </w:p>
        </w:tc>
        <w:tc>
          <w:tcPr>
            <w:tcW w:w="6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10</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10</w:t>
            </w:r>
          </w:p>
        </w:tc>
        <w:tc>
          <w:tcPr>
            <w:tcW w:w="9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16</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6860" w:space="720"/>
            <w:col w:w="3840"/>
          </w:cols>
          <w:pgMar w:left="240" w:top="27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92" w:lineRule="exact"/>
        <w:rPr>
          <w:sz w:val="20"/>
          <w:szCs w:val="20"/>
          <w:color w:val="auto"/>
        </w:rPr>
      </w:pPr>
    </w:p>
    <w:p>
      <w:pPr>
        <w:jc w:val="both"/>
        <w:ind w:left="46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These amounts represent the net of our periodic variable-rate interest obligations and the swap counterparties’ fixed-rate interest obligations. Our variable-rate obligations were based on a spread from the three-month LIBOR. Periodic settlements of active swap agreements have decreased due to our election to terminate our interest rate swap portfolio with a notional amount of $1 billion in April 2012.</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prior years,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third quarter of 2012, $200 million of these forward-starting interest rate swaps were terminated contemporaneously with the actual issuance of senior notes in September 2012, and we paid cash of $59 million to settle the liabilities related to these swap agreements. The ineffectiveness recognized upon termination of these hedges was immaterial. At June 30, 2013 and December 31, 2012, our “Accumulated other comprehensive income” included $36 million and $39 million, respectively, of after-tax deferred losses related to all previously terminated swaps, which are being amortized as an increase to interest expense over the ten-year life of the related senior note issuances using the effective interest method. As of June 30, 2013, $7 million (on a pre-tax basis) is scheduled to be reclassified as an increase to interest expense over the next 12 months.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June 30, 2013 relate to an anticipated debt issuance to repay the $350 million of 5.0% senior notes that mature in March 2014. As of June 30, 2013, the fair value of these active interest rate derivatives was comprised of $30 million of current liabilities compared with $42 million of long-term liabilities as of December 31,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both June 30, 2013 and December 31, 2012, our “Accumulated other comprehensive income” included $7 million of after-tax deferred losses associated with Treasury rate locks that had been executed in previous years in anticipation of senior note issuances. These deferred losses are reclassified as an increase to interest expense over the life of the related senior note issuances, which extend through 2032. As of June 30, 2013, $2 million (on a pre-tax basis) is scheduled to be reclassified as an increase to interest expense over the next 12 months.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one of its Canadian subsidiaries. As of June 30, 2013, we had foreign currency forward contracts outstanding for all of the anticipated cash flows associated with a debt arrangement between these wholly-owned subsidiaries. The hedged cash flows as of June 30, 2013 include C$370 million of principal and C$10 million of interest which are scheduled to be repaid on October 31, 2013. We designated these forward contracts as cash flow hedges. Gains or losses on the underlying hedged items attributable to foreign currency exchange risk are recognized in current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use “receive fixed, pay variable” electricity commodity swaps to reduce the variability in our revenues and cash flows caused by fluctuations in the market prices for electricity. We hedged 628,800 megawatt hours, or approximately 20%, of Wheelabrator’s full year 2012 merchant electricity sales and the swaps executed through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June 30, 2013 are expected to hedge about 1.75 million megawatt hours, or approximately 55%, of Wheelabrator’s full year 2013 merchant electricity sales. For the three-month periods ended June 30, 2013 and 2012, we hedged 56% and 16%, respectively, of our merchant electricity sales. For the six-month periods ended June 30, 2013 and 2012, we hedged 54% and 24%, respectively, of our merchant electricity sales.</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Amounts reported in other comprehensive income and accumulated other comprehensive income are reported net of tax. The following table summarizes the pre-tax impacts of our cash flow derivatives on our comprehensive income and results of operations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
              <w:spacing w:after="0"/>
              <w:rPr>
                <w:sz w:val="20"/>
                <w:szCs w:val="20"/>
                <w:color w:val="auto"/>
              </w:rPr>
            </w:pPr>
            <w:r>
              <w:rPr>
                <w:rFonts w:ascii="Arial" w:cs="Arial" w:eastAsia="Arial" w:hAnsi="Arial"/>
                <w:sz w:val="14"/>
                <w:szCs w:val="14"/>
                <w:b w:val="1"/>
                <w:bCs w:val="1"/>
                <w:color w:val="auto"/>
                <w:w w:val="90"/>
              </w:rPr>
              <w:t>Derivative Gain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Amount of Derivative</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0"/>
              </w:rPr>
              <w:t>(Loss)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5"/>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Gain (Loss)</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Reclassified from</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Recognized in OCI</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(Effective Portion)</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5"/>
          </w:tcPr>
          <w:p>
            <w:pPr>
              <w:jc w:val="center"/>
              <w:ind w:right="36"/>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center"/>
              <w:ind w:left="23"/>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5"/>
              </w:rPr>
              <w:t>Ended June 30,</w:t>
            </w:r>
          </w:p>
        </w:tc>
        <w:tc>
          <w:tcPr>
            <w:tcW w:w="1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Statement of</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23"/>
              <w:spacing w:after="0"/>
              <w:rPr>
                <w:sz w:val="20"/>
                <w:szCs w:val="20"/>
                <w:color w:val="auto"/>
              </w:rPr>
            </w:pPr>
            <w:r>
              <w:rPr>
                <w:rFonts w:ascii="Arial" w:cs="Arial" w:eastAsia="Arial" w:hAnsi="Arial"/>
                <w:sz w:val="14"/>
                <w:szCs w:val="14"/>
                <w:b w:val="1"/>
                <w:bCs w:val="1"/>
                <w:color w:val="auto"/>
                <w:w w:val="87"/>
              </w:rPr>
              <w:t>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Designated as Cash Flow Hedges</w:t>
            </w:r>
          </w:p>
        </w:tc>
        <w:tc>
          <w:tcPr>
            <w:tcW w:w="1320" w:type="dxa"/>
            <w:vAlign w:val="bottom"/>
          </w:tcPr>
          <w:p>
            <w:pPr>
              <w:spacing w:after="0"/>
              <w:rPr>
                <w:sz w:val="14"/>
                <w:szCs w:val="14"/>
                <w:color w:val="auto"/>
              </w:rPr>
            </w:pPr>
          </w:p>
        </w:tc>
        <w:tc>
          <w:tcPr>
            <w:tcW w:w="12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96"/>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Operations Classification</w:t>
            </w: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7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540" w:type="dxa"/>
            <w:vAlign w:val="bottom"/>
            <w:vMerge w:val="continue"/>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260" w:type="dxa"/>
            <w:vAlign w:val="bottom"/>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w:t>
            </w:r>
          </w:p>
        </w:tc>
        <w:tc>
          <w:tcPr>
            <w:tcW w:w="4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Treasury rate locks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Electricity commodity derivatives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w w:val="97"/>
              </w:rPr>
              <w:t>Operating revenues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center"/>
              <w:ind w:left="3"/>
              <w:spacing w:after="0"/>
              <w:rPr>
                <w:sz w:val="20"/>
                <w:szCs w:val="20"/>
                <w:color w:val="auto"/>
              </w:rPr>
            </w:pPr>
            <w:r>
              <w:rPr>
                <w:rFonts w:ascii="Arial" w:cs="Arial" w:eastAsia="Arial" w:hAnsi="Arial"/>
                <w:sz w:val="14"/>
                <w:szCs w:val="14"/>
                <w:b w:val="1"/>
                <w:bCs w:val="1"/>
                <w:color w:val="auto"/>
                <w:w w:val="90"/>
              </w:rPr>
              <w:t>Derivative Gain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Amount of Derivative</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0"/>
              </w:rPr>
              <w:t>(Loss)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Gain (Loss)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Reclassified from</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Recognized in OCI</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(Effective Portion)</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4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center"/>
              <w:ind w:left="23"/>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5"/>
              </w:rPr>
              <w:t>Ended June 30,</w:t>
            </w:r>
          </w:p>
        </w:tc>
        <w:tc>
          <w:tcPr>
            <w:tcW w:w="1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Statement of</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23"/>
              <w:spacing w:after="0"/>
              <w:rPr>
                <w:sz w:val="20"/>
                <w:szCs w:val="20"/>
                <w:color w:val="auto"/>
              </w:rPr>
            </w:pPr>
            <w:r>
              <w:rPr>
                <w:rFonts w:ascii="Arial" w:cs="Arial" w:eastAsia="Arial" w:hAnsi="Arial"/>
                <w:sz w:val="14"/>
                <w:szCs w:val="14"/>
                <w:b w:val="1"/>
                <w:bCs w:val="1"/>
                <w:color w:val="auto"/>
                <w:w w:val="87"/>
              </w:rPr>
              <w:t>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Designated as Cash Flow Hedges</w:t>
            </w:r>
          </w:p>
        </w:tc>
        <w:tc>
          <w:tcPr>
            <w:tcW w:w="1320" w:type="dxa"/>
            <w:vAlign w:val="bottom"/>
          </w:tcPr>
          <w:p>
            <w:pPr>
              <w:spacing w:after="0"/>
              <w:rPr>
                <w:sz w:val="14"/>
                <w:szCs w:val="14"/>
                <w:color w:val="auto"/>
              </w:rPr>
            </w:pPr>
          </w:p>
        </w:tc>
        <w:tc>
          <w:tcPr>
            <w:tcW w:w="12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96"/>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Operations Classification</w:t>
            </w: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gridSpan w:val="2"/>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7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260" w:type="dxa"/>
            <w:vAlign w:val="bottom"/>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4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Treasury rate locks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Electricity commodity derivatives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w w:val="97"/>
              </w:rPr>
              <w:t>Operating revenues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right="1100" w:firstLine="228"/>
        <w:spacing w:after="0" w:line="391" w:lineRule="auto"/>
        <w:rPr>
          <w:sz w:val="20"/>
          <w:szCs w:val="20"/>
          <w:color w:val="auto"/>
        </w:rPr>
      </w:pPr>
      <w:r>
        <w:rPr>
          <w:rFonts w:ascii="Arial" w:cs="Arial" w:eastAsia="Arial" w:hAnsi="Arial"/>
          <w:sz w:val="18"/>
          <w:szCs w:val="18"/>
          <w:color w:val="auto"/>
        </w:rPr>
        <w:t xml:space="preserve">There was no significant ineffectiveness associated with our cash flow hedges during the three and six months ended June 30, 2013 or 2012. </w:t>
      </w:r>
      <w:r>
        <w:rPr>
          <w:rFonts w:ascii="Arial" w:cs="Arial" w:eastAsia="Arial" w:hAnsi="Arial"/>
          <w:sz w:val="18"/>
          <w:szCs w:val="18"/>
          <w:b w:val="1"/>
          <w:bCs w:val="1"/>
          <w:i w:val="1"/>
          <w:iCs w:val="1"/>
          <w:color w:val="auto"/>
        </w:rPr>
        <w:t>Credit-Risk-Related Contingent Features</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June 30, 2013 and December 31, 2012, we did not have any interest rate derivatives outstanding that contained these credit-risk-related features.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effective income tax rate for the three and six months ended June 30, 2013 was 33.2% and 33.0%, respectively, compared with 34.3% and 33.6%, respectively, for the comparable prior year periods. We evaluate our effective income tax rate at each interim period and adjust it as facts and circumstances warrant. The differences between federal income taxes computed at the federal statutory rate and reported income taxes for the reported periods were primarily due to the favorable impact of federal and state tax credits and tax audit settlements offset in part by the unfavorable impact of state and local income taxes.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and other reductions in “Equity in net losses of unconsolidated entities,” within our Condensed Consolidated Statements of Operations. During the three and six months ended June 30, 2013, we recognized $2 million and $3 million of net losses resulting from our share of the entity’s operating losses and $1 million and $2 million during the three and six months ended June 30, 2012. Our tax provision for the three and six months ended June 30, 2013 was reduced by $6 million and $9 million, respectively, primarily as a result of tax credits realized from this investment and by $5 million and $8 million for the three and six months ended June 30, 2012, respectively. See Note 14 for additional information related to this investment.</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Statements of Operations. The value of our investment decreases as the tax credits are generated and utilized. During the three and six months ended June 30, 2013, we recognized $6 million and $12 million of losses relating to our equity investment in this entity, $2 million and $3 million of interest expense, and a reduction in our tax provision of $10 million (including $7 million of tax credits) and $17 million (including $11 million of tax credits), respectively. During the three and six months ended June 30, 2012, we recognized $6 million and $12 million of losses relating to our equity investment in this entity, $2 million and $3 million of interest expense, and a reduction in our tax provision of $9 million (including $6 million of tax credits) and $16 million (including $10 million of tax credits), respectively. See Note 14 for additional information related to this investment.</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American Taxpayer Relief Act of 2012 was signed into law on January 2, 2013 and includes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can be depreciated immediately. The acceleration of deductions on 2013 qualifying capital expenditures resulting from the bonus depreciation provision will have no impact on our 2013 effective tax rate although it will reduce our cash taxes.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20" w:type="dxa"/>
            <w:vAlign w:val="bottom"/>
            <w:gridSpan w:val="2"/>
          </w:tcPr>
          <w:p>
            <w:pPr>
              <w:jc w:val="center"/>
              <w:ind w:left="3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left="342"/>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468.1</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463.0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468.1</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467.9</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463.4</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466.8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469.4</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464.0</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468.1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93"/>
              </w:rPr>
              <w:t>Number of anti-dilutive potentially issuable shares excluded from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for both consolidated and unconsolidated entities. Guarantee agreements outstanding as of June 30, 2013 include (i) guarantees of unconsolidated entities’ financial obligations maturing through 2020 for maximum future payments of $10 million; and (ii) agreements guaranteeing certain market value losses for approximately 850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$145 million higher than the $239 million recorded in the Condensed Consolidated Financial Statements as of June 30, 2013.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June 30, 2013, we had been notified by the government that we are a PRP in connection with 80 locations listed on the EPA’s Superfund National Priorities List, or NPL. Of the 80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 to receive any amounts due from other participating parties at or near the time that we make the remedial expenditures. The other 65 NPL sites, which we do not own, are at various procedural stages under the Comprehensive Environmental Response, Compensation and Liability Act of 1980, as amended, known as CERCLA or Superfund.</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32"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Additionally, the United States Attorney’s Office for the District of Hawaii has been conducting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From time to time, we are also named as defendants in personal injury and property damage lawsuits, including purported class actions, on the basis of having owned, operated or transported waste to a disposal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37"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also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 with the withdrawal of certain bargaining units from the Central States Pension Plan and other underfunded multiemployer pension plans.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October 2011, employees at the last of our affiliates with active participants in the Central States Pension Plan voted to decertify the union that represented them, withdrawing themselves from the Central States Pension Plan.</w:t>
      </w:r>
    </w:p>
    <w:p>
      <w:pPr>
        <w:spacing w:after="0" w:line="5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4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2012 and 2013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nine and 21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that date back to 2000. We are not currently under audit in Canada and, due to the expiration of statutes of limitations, all tax years prior to 2008 are closed. Oakleaf is subject to potential IRS examinations for years dating back to 2009.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w:t>
      </w:r>
    </w:p>
    <w:p>
      <w:pPr>
        <w:spacing w:after="0" w:line="2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subsidiaries through these 17 Areas. The 17 Areas constitute our operating segments and none of the Areas individually meet the quantitative criteria to be a separate reportable segment. We considered the similarities between our Areas, including the fact that our Solid Waste business is homogenous across geography with the same services offered across the Areas, and we concluded that aggregation of our Areas is appropriate for purposes of presenting our reportable segments. Accordingly, we have aggregated our 17 Areas into three tiers that we believe have similar economic characteristics and future prospects based in large part on a review of the Areas’ operating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Areas not included in Tier 1 or Tier 2. Our Wheelabrator business, which manages waste-to-energy facilities and independent power production plants, continues to be a separate reportable segment as it meets one of the quantitative disclosure thresholds. The operating segments not evaluated and overseen through the 17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Areas and Wheelabrator are presented herein as “Other” as these operating segments do not meet the criteria to be aggregated with other operating segments and do not meet the quantitative criteria to be separately reported.</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and six months ended June 30 is shown in the following table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Gross</w:t>
            </w:r>
          </w:p>
        </w:tc>
        <w:tc>
          <w:tcPr>
            <w:tcW w:w="8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Operating</w:t>
            </w:r>
          </w:p>
        </w:tc>
        <w:tc>
          <w:tcPr>
            <w:tcW w:w="3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Revenues</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40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9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(144)</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9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(313)</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4,172</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(646)</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3,526</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4,172</w:t>
            </w:r>
          </w:p>
        </w:tc>
        <w:tc>
          <w:tcPr>
            <w:tcW w:w="9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(646)</w:t>
            </w: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3,526</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5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9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(132)</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9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856</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544</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4,052</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4,052</w:t>
            </w:r>
          </w:p>
        </w:tc>
        <w:tc>
          <w:tcPr>
            <w:tcW w:w="9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w:t>
            </w: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0"/>
        </w:trPr>
        <w:tc>
          <w:tcPr>
            <w:tcW w:w="5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2013</w:t>
            </w:r>
          </w:p>
        </w:tc>
        <w:tc>
          <w:tcPr>
            <w:tcW w:w="420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w:t>
            </w:r>
          </w:p>
        </w:tc>
        <w:tc>
          <w:tcPr>
            <w:tcW w:w="9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(277)</w:t>
            </w: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3,157</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(588)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2,569</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8,096</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(1,234)</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6,862</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3"/>
            <w:vMerge w:val="restart"/>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gridSpan w:val="3"/>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8,096</w:t>
            </w:r>
          </w:p>
        </w:tc>
        <w:tc>
          <w:tcPr>
            <w:tcW w:w="9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(1,234)</w:t>
            </w:r>
          </w:p>
        </w:tc>
        <w:tc>
          <w:tcPr>
            <w:tcW w:w="50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6,862</w:t>
            </w:r>
          </w:p>
        </w:tc>
        <w:tc>
          <w:tcPr>
            <w:tcW w:w="940" w:type="dxa"/>
            <w:vAlign w:val="bottom"/>
            <w:gridSpan w:val="2"/>
          </w:tcPr>
          <w:p>
            <w:pPr>
              <w:ind w:left="86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June 30, 2012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w:t>
            </w:r>
          </w:p>
        </w:tc>
        <w:tc>
          <w:tcPr>
            <w:tcW w:w="96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(248)</w:t>
            </w:r>
          </w:p>
        </w:tc>
        <w:tc>
          <w:tcPr>
            <w:tcW w:w="5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2,587</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(244)</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7,865</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(1,111)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6,754</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3"/>
            <w:vMerge w:val="restart"/>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gridSpan w:val="3"/>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7,865</w:t>
            </w:r>
          </w:p>
        </w:tc>
        <w:tc>
          <w:tcPr>
            <w:tcW w:w="96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(1,111)</w:t>
            </w:r>
          </w:p>
        </w:tc>
        <w:tc>
          <w:tcPr>
            <w:tcW w:w="50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6,754</w:t>
            </w:r>
          </w:p>
        </w:tc>
        <w:tc>
          <w:tcPr>
            <w:tcW w:w="940" w:type="dxa"/>
            <w:vAlign w:val="bottom"/>
            <w:gridSpan w:val="2"/>
          </w:tcPr>
          <w:p>
            <w:pPr>
              <w:ind w:left="86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Greenstar, LLC — </w:t>
      </w:r>
      <w:r>
        <w:rPr>
          <w:rFonts w:ascii="Arial" w:cs="Arial" w:eastAsia="Arial" w:hAnsi="Arial"/>
          <w:sz w:val="16"/>
          <w:szCs w:val="16"/>
          <w:color w:val="auto"/>
        </w:rPr>
        <w:t>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a portion of this consideration is contingent based on changes in certain recyclable commodity indexes. This additional consideration had a preliminary estimated fair value at closing of $36 million. Greenstar is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three and six months ended June 30, 2013, Greenstar recognized revenues of $40 million and $65 million, respectively, and net losses of $4 million and $7 million, respectively, which are included in our Condensed Consolidated Statements of Operations.</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preliminary allocation of purchase price was primarily to “Other intangible assets,” consisting primarily of supplier relationships, which had an estimated fair value of $32 million; “Property and equipment,” which had an estimated fair value of $57 million; and “Goodwill” of $122 million. Goodwill is the result of synergies expected to be achieved from combining the operations of Greenstar with those of the Company. Goodwill has been assigned predominantly to our Areas and, to a lesser extent, our recycling brokerage services, as they are expected to benefit from the synergies of the combination. Goodwill related to this acquisition is deductible for income tax purposes. Adjustments to the preliminary allocation of the purchase price of Greenstar were immaterial for the three and six months ended June 30, 2013.</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first half of 2013, we also paid approximately $40 million primarily to acquire seven businesses related to our collection and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operations. During the first half of 2012, we paid $94 million for interests in oil and gas producing properties through two transactions. The purchase price was allocated primarily to “Property and equipment.” Additionally, we acquired eight other businesses related to our collection and recycling operations in the first half of 2012.</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2013, we recognized a total of $10 million of pre-tax restructuring charges, of which $3 million was related to employee severance and benefit costs, including costs associated with our acquisition of Greenstar and our 2012 restructuring. The remaining charges were primarily related to operating lease obligations for property that will no longer be utilized.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first half of 2012, we recognized a total of $7 million of employee severance and benefit restructuring charges, including $3 million associated with the reorganization of Oakleaf and certain other actions taken by the Company.</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Through June 30, 2013, we had recognized charges of $77 million related to employee severance and benefits associated with our restructuring efforts beginning in 2011 and we have paid approximately $65 million of these costs. At June 30, 2013, we had approximately $9 million of accrued employee severance related to our restructuring efforts, which will be paid through the end of 2014.</w:t>
      </w:r>
    </w:p>
    <w:p>
      <w:pPr>
        <w:spacing w:after="0" w:line="13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first half of 2013, we recognized net charges of $15 million, primarily related to a $14 million impairment charge at a waste-to-energy facility as a result of projected operating losses. We wrote down the carrying value of the facility’s property, plant and equipment to its estimated fair value. Also included are (i) $6 million of losses on divestitures related to investments in oil and gas producing properties and (ii) $4 million of charges primarily to impair goodwill related to certain of our operations, which are included in our “Other” operations in Note 8. These charges were offset, in part, by gains on divestures of $9 million, largely attributable to the sale of a transfer station in our Greater Mid-Atlantic Area.</w:t>
      </w:r>
    </w:p>
    <w:p>
      <w:pPr>
        <w:spacing w:after="0" w:line="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first half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8.</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first quarter of 2013, we recognized impairment charges of $11 million relating to other-than-temporary declines in the value of two investments in waste diversion technologies accounted for under the cost method. Partially offsetting these charges was a $4 million gain on the sale of a similar investment recognized in the second quarter of 2013. These net charges are recorded in “Other, net” in our Condensed Consolidated Statement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2012</w:t>
      </w:r>
    </w:p>
    <w:p>
      <w:pPr>
        <w:spacing w:after="0" w:line="23" w:lineRule="exact"/>
        <w:rPr>
          <w:sz w:val="20"/>
          <w:szCs w:val="20"/>
          <w:color w:val="auto"/>
        </w:rPr>
      </w:pPr>
    </w:p>
    <w:p>
      <w:pPr>
        <w:ind w:left="220" w:right="240"/>
        <w:spacing w:after="0" w:line="305" w:lineRule="auto"/>
        <w:rPr>
          <w:sz w:val="20"/>
          <w:szCs w:val="20"/>
          <w:color w:val="auto"/>
        </w:rPr>
      </w:pPr>
      <w:r>
        <w:rPr>
          <w:rFonts w:ascii="Arial" w:cs="Arial" w:eastAsia="Arial" w:hAnsi="Arial"/>
          <w:sz w:val="15"/>
          <w:szCs w:val="15"/>
          <w:color w:val="auto"/>
        </w:rPr>
        <w:t>Other comprehensive income (loss) before reclassifications Amounts reclassified from accumulated other comprehensive</w:t>
      </w:r>
    </w:p>
    <w:p>
      <w:pPr>
        <w:ind w:left="440"/>
        <w:spacing w:after="0"/>
        <w:rPr>
          <w:sz w:val="20"/>
          <w:szCs w:val="20"/>
          <w:color w:val="auto"/>
        </w:rPr>
      </w:pPr>
      <w:r>
        <w:rPr>
          <w:rFonts w:ascii="Arial" w:cs="Arial" w:eastAsia="Arial" w:hAnsi="Arial"/>
          <w:sz w:val="18"/>
          <w:szCs w:val="18"/>
          <w:color w:val="auto"/>
        </w:rPr>
        <w:t>income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Six Months Ended June 30, 2013(a)</w:t>
      </w:r>
    </w:p>
    <w:tbl>
      <w:tblPr>
        <w:tblLayout w:type="fixed"/>
        <w:tblInd w:w="0" w:type="dxa"/>
        <w:tblCellMar>
          <w:top w:w="0" w:type="dxa"/>
          <w:left w:w="0" w:type="dxa"/>
          <w:bottom w:w="0" w:type="dxa"/>
          <w:right w:w="0" w:type="dxa"/>
        </w:tblCellMar>
      </w:tblPr>
      <w:tr>
        <w:trPr>
          <w:trHeight w:val="129"/>
        </w:trPr>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Gains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Gains and</w:t>
            </w: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0"/>
              </w:rPr>
              <w:t>Losses on</w:t>
            </w: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Post-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77"/>
              </w:rPr>
              <w:t>Losses on</w:t>
            </w: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Available-</w:t>
            </w: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Currency</w:t>
            </w: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for-Sale</w:t>
            </w: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Benefit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Instruments</w:t>
            </w: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3"/>
              </w:rPr>
              <w:t>Securities</w:t>
            </w: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Plans</w:t>
            </w:r>
          </w:p>
        </w:tc>
        <w:tc>
          <w:tcPr>
            <w:tcW w:w="3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r>
      <w:tr>
        <w:trPr>
          <w:trHeight w:val="201"/>
        </w:trPr>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w:t>
            </w:r>
          </w:p>
        </w:tc>
        <w:tc>
          <w:tcPr>
            <w:tcW w:w="6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6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276</w:t>
            </w:r>
          </w:p>
        </w:tc>
        <w:tc>
          <w:tcPr>
            <w:tcW w:w="6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$193</w:t>
            </w:r>
          </w:p>
        </w:tc>
        <w:tc>
          <w:tcPr>
            <w:tcW w:w="6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28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-555625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-272415</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80" w:space="720"/>
            <w:col w:w="592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gridSpan w:val="3"/>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7"/>
                <w:szCs w:val="17"/>
                <w:color w:val="auto"/>
              </w:rPr>
            </w:pP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rPr>
              <w:t>10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300"/>
              <w:spacing w:after="0" w:line="204" w:lineRule="exact"/>
              <w:rPr>
                <w:sz w:val="20"/>
                <w:szCs w:val="20"/>
                <w:color w:val="auto"/>
              </w:rPr>
            </w:pPr>
            <w:r>
              <w:rPr>
                <w:rFonts w:ascii="Arial" w:cs="Arial" w:eastAsia="Arial" w:hAnsi="Arial"/>
                <w:sz w:val="18"/>
                <w:szCs w:val="18"/>
                <w:color w:val="auto"/>
              </w:rPr>
              <w:t>(69)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360"/>
              <w:spacing w:after="0" w:line="204"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 parentheses represent debits to accumulated other comprehensive income.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significant amounts reclassified out of each component of accumulated other comprehensive income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4"/>
              </w:rPr>
              <w:t>Amount Reclassified from 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Other Comprehensive Income(a)</w:t>
            </w:r>
          </w:p>
        </w:tc>
        <w:tc>
          <w:tcPr>
            <w:tcW w:w="1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00" w:type="dxa"/>
            <w:vAlign w:val="bottom"/>
          </w:tcPr>
          <w:p>
            <w:pPr>
              <w:spacing w:after="0"/>
              <w:rPr>
                <w:sz w:val="11"/>
                <w:szCs w:val="11"/>
                <w:color w:val="auto"/>
              </w:rPr>
            </w:pPr>
          </w:p>
        </w:tc>
        <w:tc>
          <w:tcPr>
            <w:tcW w:w="14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35"/>
        </w:trPr>
        <w:tc>
          <w:tcPr>
            <w:tcW w:w="54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1"/>
                <w:szCs w:val="11"/>
                <w:color w:val="auto"/>
              </w:rPr>
            </w:pPr>
          </w:p>
        </w:tc>
        <w:tc>
          <w:tcPr>
            <w:tcW w:w="880" w:type="dxa"/>
            <w:vAlign w:val="bottom"/>
          </w:tcPr>
          <w:p>
            <w:pPr>
              <w:jc w:val="right"/>
              <w:ind w:right="89"/>
              <w:spacing w:after="0" w:line="135"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Income Components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June 30, 2013</w:t>
            </w:r>
          </w:p>
        </w:tc>
        <w:tc>
          <w:tcPr>
            <w:tcW w:w="400" w:type="dxa"/>
            <w:vAlign w:val="bottom"/>
          </w:tcPr>
          <w:p>
            <w:pPr>
              <w:spacing w:after="0"/>
              <w:rPr>
                <w:sz w:val="15"/>
                <w:szCs w:val="15"/>
                <w:color w:val="auto"/>
              </w:rPr>
            </w:pPr>
          </w:p>
        </w:tc>
        <w:tc>
          <w:tcPr>
            <w:tcW w:w="19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98"/>
              </w:rPr>
              <w:t>June 30, 2013</w:t>
            </w:r>
          </w:p>
        </w:tc>
        <w:tc>
          <w:tcPr>
            <w:tcW w:w="2140" w:type="dxa"/>
            <w:vAlign w:val="bottom"/>
          </w:tcPr>
          <w:p>
            <w:pPr>
              <w:ind w:left="340"/>
              <w:spacing w:after="0"/>
              <w:rPr>
                <w:sz w:val="20"/>
                <w:szCs w:val="20"/>
                <w:color w:val="auto"/>
              </w:rPr>
            </w:pPr>
            <w:r>
              <w:rPr>
                <w:rFonts w:ascii="Arial" w:cs="Arial" w:eastAsia="Arial" w:hAnsi="Arial"/>
                <w:sz w:val="14"/>
                <w:szCs w:val="14"/>
                <w:b w:val="1"/>
                <w:bCs w:val="1"/>
                <w:color w:val="auto"/>
              </w:rPr>
              <w:t>Operations Classification</w:t>
            </w: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3"/>
          </w:tcPr>
          <w:p>
            <w:pPr>
              <w:ind w:left="10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80"/>
              <w:spacing w:after="0"/>
              <w:rPr>
                <w:sz w:val="20"/>
                <w:szCs w:val="20"/>
                <w:color w:val="auto"/>
              </w:rPr>
            </w:pPr>
            <w:r>
              <w:rPr>
                <w:rFonts w:ascii="Arial" w:cs="Arial" w:eastAsia="Arial" w:hAnsi="Arial"/>
                <w:sz w:val="18"/>
                <w:szCs w:val="18"/>
                <w:color w:val="auto"/>
                <w:w w:val="99"/>
              </w:rPr>
              <w:t>(4)</w:t>
            </w:r>
          </w:p>
        </w:tc>
        <w:tc>
          <w:tcPr>
            <w:tcW w:w="214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Treasury rate locks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(1)</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3"/>
          </w:tcPr>
          <w:p>
            <w:pPr>
              <w:ind w:left="10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8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(6)</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(3)</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120" w:type="dxa"/>
            <w:vAlign w:val="bottom"/>
            <w:gridSpan w:val="3"/>
          </w:tcPr>
          <w:p>
            <w:pPr>
              <w:ind w:left="540"/>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4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4540" w:hanging="5166"/>
        <w:spacing w:after="0" w:line="525" w:lineRule="auto"/>
        <w:tabs>
          <w:tab w:leader="none" w:pos="893"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Amounts in parentheses represent debits to the statement of operations classification. 21</w:t>
      </w:r>
    </w:p>
    <w:p>
      <w:pPr>
        <w:sectPr>
          <w:pgSz w:w="11900" w:h="16838" w:orient="portrait"/>
          <w:cols w:equalWidth="0" w:num="1">
            <w:col w:w="11420"/>
          </w:cols>
          <w:pgMar w:left="240" w:top="274"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5"/>
              </w:rPr>
              <w:t>June 30, 2013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$ 58</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37</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5"/>
                <w:szCs w:val="5"/>
                <w:color w:val="auto"/>
                <w:w w:val="70"/>
              </w:rPr>
              <w:t>8</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128</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45</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$ 30</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30</w:t>
            </w:r>
          </w:p>
        </w:tc>
        <w:tc>
          <w:tcPr>
            <w:tcW w:w="7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5"/>
                <w:szCs w:val="5"/>
                <w:color w:val="auto"/>
                <w:w w:val="70"/>
              </w:rPr>
              <w:t>4</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$ 34</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34</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4"/>
          </w:tcPr>
          <w:p>
            <w:pPr>
              <w:jc w:val="center"/>
              <w:ind w:left="2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6"/>
              </w:rPr>
              <w:t>December 31,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Quoted</w:t>
            </w:r>
          </w:p>
        </w:tc>
        <w:tc>
          <w:tcPr>
            <w:tcW w:w="78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$127</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37</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1</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38</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$ 42</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42</w:t>
            </w:r>
          </w:p>
        </w:tc>
        <w:tc>
          <w:tcPr>
            <w:tcW w:w="7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11</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460"/>
              <w:spacing w:after="0"/>
              <w:rPr>
                <w:sz w:val="20"/>
                <w:szCs w:val="20"/>
                <w:color w:val="auto"/>
              </w:rPr>
            </w:pPr>
            <w:r>
              <w:rPr>
                <w:rFonts w:ascii="Arial" w:cs="Arial" w:eastAsia="Arial" w:hAnsi="Arial"/>
                <w:sz w:val="10"/>
                <w:szCs w:val="10"/>
                <w:color w:val="auto"/>
                <w:w w:val="71"/>
              </w:rPr>
              <w:t>5</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58</w:t>
            </w:r>
          </w:p>
        </w:tc>
        <w:tc>
          <w:tcPr>
            <w:tcW w:w="7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have not been any significant changes in the fair value of the redeemable preferred stock since our initial investment.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June 30, 2013 and December 31, 2012, the carrying value of our debt was approximately $9.8 billion and $9.9 billion, respectively.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estimated fair value of our debt was approximately $10.5 billion at June 30, 2013 and approximately $11.3 billion at December 31, 2012.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June 30, 2013 with December 31, 2012 is primarily related to recent increases in long-term interest rates, which have caused a decline in market prices for fixed-rate corporate debt securities.</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June 30, 2013 and December 31, 2012. These amounts have not been revalued since those dates, and current estimates of fair value could differ significantly from the amounts presented.</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June 30, 2013 have been based on initial equity ownership percentages as the target returns have not yet been achieved for either LLC. We currently expect Hancock and CIT to achieve their targeted return on LLC II in late 2013 and Hancock to receive its targeted return on LLC I in late 2014. After the investors have achieved their targeted returns, the LLC agreements provide that we will receive 80% of the earnings of each of the LLCs and Hancock and CIT will be allocated the remaining 20%.</w:t>
      </w:r>
    </w:p>
    <w:p>
      <w:pPr>
        <w:spacing w:after="0" w:line="3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June 30, 2013 and December 31, 2012, our Condensed Consolidated Balance Sheets included $290 million and $296 million, respectively, of net property and equipment associated with the LLCs’ waste-to-energy facilities and $244 million and $245 million, respectively, in noncontrolling interests associated with Hancock’s and CIT’s interests in the LLCs. We recognized reductions in consolidated earnings of $11 million and $22 million for the three and six months ended June 30, 2013, respectively, and $12 million and $25 million for the three and six months ended June 30, 2012, respectively, for Hancock’s and CIT’s noncontrolling interests in the LLCs’ earnings, which are included in our consolidated net income. The LLCs’ earnings relate to the rental income generated from leasing the facilities to our subsidiaries, reduced by depreciation expense. The LLCs’ rental income is eliminated in WM’s consolidation.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5"/>
          <w:szCs w:val="15"/>
          <w:i w:val="1"/>
          <w:iCs w:val="1"/>
          <w:color w:val="auto"/>
        </w:rPr>
        <w:t xml:space="preserve">Investment in U.K. Waste-to-Energy and Recycling Entity — </w:t>
      </w:r>
      <w:r>
        <w:rPr>
          <w:rFonts w:ascii="Arial" w:cs="Arial" w:eastAsia="Arial" w:hAnsi="Arial"/>
          <w:sz w:val="15"/>
          <w:szCs w:val="15"/>
          <w:color w:val="auto"/>
        </w:rPr>
        <w:t>In the first quarter of 2012, we formed a U.K. joint venture (the “JV”), together with a</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 waste management company (“Partner”), to develop, construct, operate and maintain a waste-to-energy and recycling facility in England. We own a 50% interest in the JV. The total cost of constructing this facility is expected to be £200 million, or $304 million based on the exchange rate as of June 30, 2013. The JV will be funded primarily through loans from the joint venture partners and loans under the JV’s credit facility agreements with third-party financial institutions. The funds loaned under the credit facility agreements will be used for the development and construction of the facility. We are committed to provide up to £57 million, or $87 million based on the exchange rate as of June 30, 2013, of funding to the JV. Our actual commitment may be more or less depending on the actual cost of the facility. Through June 30, 2013, we had funded approximately £10 million, or $14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governmental authority that awarded the project to the JV. The impacts of gains or losses incurred on these derivatives will ultimately be remitted to or recoverable from the governmental authority under the terms of the project, and accordingly, are not reflected in our “Equity in net losses of unconsolidated entities”. We also have guaranteed the performance of certain management services for the project for which our maximum exposure is not material.</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addition, a wholly-owned subsidiary of WM will be responsible for constructing the waste-to-energy facility for the JV under a fixed-price construction contract. Once the facility is constructed, a majority-owned subsidiary of WM will be responsible for operating and maintaining the facility for the JV under a substantially fixed-price operating and maintenance contract. Under the operating and maintenance contract, we have guaranteed our ability to operate this facility at certain performance levels that we believe are achievable. We also will be jointly responsible, along with our Partner, for the performance of sales and marketing services for the JV through a 50%-owned unconsolidated entity. The fixed-price components of the above mentioned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were established based on estimates of expected construction, operation and maintenance costs. However, we may not achieve the financial results anticipated and could incur losses if the actual costs differ from the costs established in the contracts. A range of our exposure to potential loss under these contracts cannot presently be estimated.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JV as all decision-making responsibility is shared jointly with our Partner. As such, we do not have the power to individually direct the entity’s activities. Accordingly, we account for this investment under the equity method of accounting and do not consolidate this entity.</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another equity investor, we support the operations of the entity in exchange for a pro-rata share of the tax credits it generates. Our initial consideration for this investment consisted of a cash payment of $48 million. As of June 30, 2013 and December 31, 2012, our investment balance was $25 million and $19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Investment in Federal Low-Income Housing Tax Credits — </w:t>
      </w:r>
      <w:r>
        <w:rPr>
          <w:rFonts w:ascii="Arial" w:cs="Arial" w:eastAsia="Arial" w:hAnsi="Arial"/>
          <w:sz w:val="18"/>
          <w:szCs w:val="18"/>
          <w:color w:val="auto"/>
        </w:rPr>
        <w:t>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June 30, 2013 and December 31, 2012, our investment balance was $142 million and $153 million, respectively, and our debt balance was $140 million and $152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 </w:t>
      </w:r>
      <w:r>
        <w:rPr>
          <w:rFonts w:ascii="Arial" w:cs="Arial" w:eastAsia="Arial" w:hAnsi="Arial"/>
          <w:sz w:val="16"/>
          <w:szCs w:val="16"/>
          <w:color w:val="auto"/>
        </w:rPr>
        <w:t>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$126 million at June 30, 2013 and $125 million at December 31, 2012.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Balance Sheet, as appropriate. Our investments and receivables related to these trusts had an aggregate carrying value of $108 million as of June 30, 2013 and $110 million as of December 31, 2012.</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6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12,469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12,786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16,454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(33,039)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26,701</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(33,039)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240" w:type="dxa"/>
            <w:vAlign w:val="bottom"/>
            <w:gridSpan w:val="7"/>
          </w:tcPr>
          <w:p>
            <w:pPr>
              <w:jc w:val="right"/>
              <w:ind w:right="393"/>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(33,039)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17,338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(33,039)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5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236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12,878</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16,472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26,701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(33,039)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WM</w:t>
            </w: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WM</w:t>
            </w:r>
          </w:p>
        </w:tc>
        <w:tc>
          <w:tcPr>
            <w:tcW w:w="1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Holdings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2,222</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12,651</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12,686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16,697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(32,820)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7,966</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16,716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26,410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(32,820)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820" w:type="dxa"/>
            <w:vAlign w:val="bottom"/>
            <w:gridSpan w:val="7"/>
          </w:tcPr>
          <w:p>
            <w:pPr>
              <w:ind w:left="5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2,546</w:t>
            </w: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4,171</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16,254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16,566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(32,820)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16,254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16,887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(32,820)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16,716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26,410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(32,820)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Three Months Ended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460" w:type="dxa"/>
            <w:vAlign w:val="bottom"/>
            <w:gridSpan w:val="3"/>
          </w:tcPr>
          <w:p>
            <w:pPr>
              <w:jc w:val="right"/>
              <w:ind w:right="64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6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8"/>
              </w:rPr>
              <w:t>Three Months Ended June 30, 2012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WM</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2460" w:type="dxa"/>
            <w:vAlign w:val="bottom"/>
            <w:gridSpan w:val="3"/>
          </w:tcPr>
          <w:p>
            <w:pPr>
              <w:jc w:val="right"/>
              <w:ind w:right="6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6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146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28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WM</w:t>
            </w:r>
          </w:p>
        </w:tc>
        <w:tc>
          <w:tcPr>
            <w:tcW w:w="3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9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3"/>
              </w:rPr>
              <w:t>Holdings</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5,949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1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341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341</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(71)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412</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$ 412</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8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30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8"/>
              </w:rPr>
              <w:t>Six Months Ended June 30, 2012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160" w:type="dxa"/>
            <w:vAlign w:val="bottom"/>
            <w:gridSpan w:val="5"/>
          </w:tcPr>
          <w:p>
            <w:pPr>
              <w:jc w:val="center"/>
              <w:ind w:left="732"/>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Holdings</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Costs and expenses</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(176)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486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310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$ 379</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40" w:type="dxa"/>
            <w:vAlign w:val="bottom"/>
            <w:gridSpan w:val="4"/>
          </w:tcPr>
          <w:p>
            <w:pPr>
              <w:jc w:val="center"/>
              <w:ind w:left="1152"/>
              <w:spacing w:after="0"/>
              <w:rPr>
                <w:sz w:val="20"/>
                <w:szCs w:val="20"/>
                <w:color w:val="auto"/>
              </w:rPr>
            </w:pPr>
            <w:r>
              <w:rPr>
                <w:rFonts w:ascii="Arial" w:cs="Arial" w:eastAsia="Arial" w:hAnsi="Arial"/>
                <w:sz w:val="18"/>
                <w:szCs w:val="18"/>
                <w:color w:val="auto"/>
                <w:w w:val="89"/>
              </w:rPr>
              <w:t>29</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 2013</w:t>
            </w: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$252</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299</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283</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(604)</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299</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(604)</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 2012</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$190</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253</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(529)</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262</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(529)</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Six Months Ended June 30, 2013</w:t>
            </w:r>
          </w:p>
        </w:tc>
        <w:tc>
          <w:tcPr>
            <w:tcW w:w="27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4"/>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Six Months Ended June 30, 2012</w:t>
            </w:r>
          </w:p>
        </w:tc>
        <w:tc>
          <w:tcPr>
            <w:tcW w:w="274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4"/>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WM</w:t>
            </w: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412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521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(521)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Six Months Ended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$ 379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486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Proceeds from divestitures of businesses (net of cash divested) and</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sales of assets</w:t>
            </w: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w w:val="93"/>
              </w:rPr>
              <w:t>Net receipts from restricted trust and escrow accounts and other, net</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$ 112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w:t>
      </w:r>
    </w:p>
    <w:p>
      <w:pPr>
        <w:spacing w:after="0" w:line="96"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On July 5, 2013, we acquired substantially all of the assets of RCI Environnement Inc., the largest waste management company in Quebec, and certain related entities for a price of C$480 million, or $454 million. Total consideration, inclusive of amounts for estimated working capital, paid at closing was C$509 million, or $481 million, and is subject to certain post-closing adjustments. The acquisition was funded primarily with C$500 million, or $473 million, of cash proceeds from a term loan under our 2012 Canadian credit facility. Under the terms and conditions of our 2012 Canadian credit facility, interest on our term loan advances will be based on a 1.4% spread from the applicable Canadian Dealer Offered Rate (CDOR). Our initial CDOR-based advances, which have terms of one month and three months, have a weighted average effective rate of approximately 2.7%. While our outstanding advances have short-term maturities, they may be renewed under the terms of the facility through its maturity. The maturity date of the Canadian credit facility, including the term loan, is November 7, 2017. Waste Management of Canada Corporation and WM Quebec Inc. are the borrowers under the Canadian credit facility, and WM and WM Holdings are guarantors.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2012.</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2013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and oversight,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4" w:name="page35"/>
    <w:bookmarkEnd w:id="34"/>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right="20" w:hanging="246"/>
        <w:spacing w:after="0" w:line="332"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on terms we deem acceptable or to refinance our debt obligations, including near-term maturities, on acceptable terms and higher interest rates and market conditions may increase our expense;</w:t>
      </w:r>
    </w:p>
    <w:p>
      <w:pPr>
        <w:spacing w:after="0" w:line="4"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246" w:right="20"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6"/>
          </w:cols>
          <w:pgMar w:left="694" w:top="280" w:right="239" w:bottom="1440" w:gutter="0" w:footer="0" w:header="0"/>
        </w:sectPr>
      </w:pPr>
    </w:p>
    <w:bookmarkStart w:id="35" w:name="page36"/>
    <w:bookmarkEnd w:id="35"/>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could fail to achieve the financial results anticipated from the construction of new international waste-to-energy facilities;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Every day, Waste Management is helping industries, communities and individuals reduce, reuse and remove waste better through sound sustainability strategies. We are developing and implementing new ways to handle and extract value from waste, while maintaining our day-to-day focus on collecting and handling our customers’ waste efficiently and responsibly. Our employees are committed to delivering environmental performance — our mission is to maximize resource value, while minimizing environmental impact, so that both our economy and our environment can thrive. Drawing on our resources and experience, we actively pursue projects and initiatives that benefit the waste industry, the customers and communities we serve and the environment.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remains committed to providing long-term value to our stockholders by successfully executing on our strategic goals of knowing and servicing the customer better than anyone else, extracting more value from the materials we handle, and optimizing our business.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revenue growth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 in emerging technologies that offer alternatives to traditional disposal and generate additional value from the waste streams we manage.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waste management solutions.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90" w:lineRule="exact"/>
        <w:rPr>
          <w:sz w:val="20"/>
          <w:szCs w:val="20"/>
          <w:color w:val="auto"/>
        </w:rPr>
      </w:pPr>
    </w:p>
    <w:p>
      <w:pPr>
        <w:jc w:val="both"/>
        <w:ind w:left="700" w:hanging="246"/>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of $3,526 million compared with $3,459 million in the second quarter of 2012, an increase of $67 million, or 1.9%. This increase in revenues is primarily attributable to (i) positive revenue growth from yield on our collection and disposal operations of $60 million, or 2.1%, the highest since the first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jc w:val="both"/>
        <w:ind w:lef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 of 2011; and (ii) revenue from acquisitions, driven in large part by our acquisition of Greenstar, which increased revenue by $40 million. These increases were partially offset by lower recyclable commodity prices and lower volumes, which decreased our revenues by $45 million and $20 million, respectively;</w:t>
      </w:r>
    </w:p>
    <w:p>
      <w:pPr>
        <w:spacing w:after="0" w:line="59" w:lineRule="exact"/>
        <w:rPr>
          <w:sz w:val="20"/>
          <w:szCs w:val="20"/>
          <w:color w:val="auto"/>
        </w:rPr>
      </w:pPr>
    </w:p>
    <w:p>
      <w:pPr>
        <w:jc w:val="both"/>
        <w:ind w:left="700" w:hanging="246"/>
        <w:spacing w:after="0" w:line="25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expenses of $2,311 million, or 65.5% of revenues, compared with $2,260 million, or 65.3% of revenues, in the second quarter of 2012. This increase of $51 million is largely due to our acquisition of Greenstar, which increased operating expenses by $39 million, and was primarily related to cost of goods sold and to a lesser extent, labor and related benefits. Also contributing to the increase were the impacts of higher processing costs in our recycling business associated with outbound quality control. The increases attributable to Greenstar were offset by related revenue increases noted above;</w:t>
      </w:r>
    </w:p>
    <w:p>
      <w:pPr>
        <w:spacing w:after="0" w:line="61"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$21 million, or 5.6%, from $374 million in the second quarter of 2012 to $353 million in the second quarter of 2013, driven in large part by our restructuring efforts and cost control initiatives;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from operations of $510 million, or 14.5% of revenues, compared with $466 million, or 13.5% of revenues, in the second quarter of 2012;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$244 million, or $0.52 per diluted share, as compared with $208 million, or $0.45 per diluted share in the second quarter of 2012.</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comparability of our diluted earnings per share in the second quarter of 2013 has been affected by the recognition of impairment and restructuring charges primarily related to an impairment of a waste-to-energy facility as result of projected operating losses. These items had a negative impact of $0.02 on our diluted earnings per share.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second quarter of 2012 results were affected by the following:</w:t>
      </w:r>
    </w:p>
    <w:p>
      <w:pPr>
        <w:spacing w:after="0" w:line="90" w:lineRule="exact"/>
        <w:rPr>
          <w:sz w:val="20"/>
          <w:szCs w:val="20"/>
          <w:color w:val="auto"/>
        </w:rPr>
      </w:pPr>
    </w:p>
    <w:p>
      <w:pPr>
        <w:ind w:left="700" w:hanging="246"/>
        <w:spacing w:after="0" w:line="26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recognition of pre-tax impairment charges of $34 million, related primarily to two facilities in our medical waste services business, which had an unfavorable impact of $0.04 on our diluted earnings per share;</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recognition of a pre-tax non-cash charge of $10 million associated with the partial withdrawal from an underfunded multiemployer pension plan, which had a negative impact of $0.01 on our diluted earnings per share;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Pre-tax costs aggregating $5 million from a combination of restructuring charges and integration costs associated with our acquisition of Oakleaf, which had a negative impact of $0.01 on our diluted earnings per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6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2013</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$ 545</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$ 669</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1,122</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(235)</w:t>
            </w: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divestitures of businesses (net of cash divested) and other sales of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$ 347</w:t>
            </w:r>
          </w:p>
        </w:tc>
        <w:tc>
          <w:tcPr>
            <w:tcW w:w="54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w w:val="93"/>
              </w:rPr>
              <w:t>$ 332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695</w:t>
            </w:r>
          </w:p>
        </w:tc>
        <w:tc>
          <w:tcPr>
            <w:tcW w:w="5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0"/>
        </w:trPr>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comparing our cash flow from operating activities for the three and six months ended June 30, 2013 to the comparable periods in 2012, the decrease was primarily related to higher income tax payments, as well as a cash receipt of $72 million resulting from the termination of interest rate swaps in April 2012. The year-over-year decline was partially offset by higher cash earnings and the favorable impact of $86 million resulting from significantly lower annual incentive plan payments made in the first quarter of 2013 than were made in the first quarter of 2012.</w:t>
      </w:r>
    </w:p>
    <w:p>
      <w:pPr>
        <w:spacing w:after="0" w:line="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decrease in capital expenditures when comparing the first six months of 2013 with the prior year period can generally be attributed to increased focus on capital spending management and the impact of timing differences associated with cash payments for the previous years’ fourth quarter capital spending.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Greenstar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January 31, 2013, we paid $170 million inclusive of certain adjustments, to acquire Greenstar, LLC (“Greenstar”). Pursuant to the sale and purchase agreement, up to an additional $40 million is payable to the sellers during the period from 2014 to 2018; a portion of this consideration is contingent based on changes in certain recyclable commodity indexes. This additional consideration had a preliminary estimated fair value at closing of $36 million. Greenstar is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three and six months ended June 30, 2013, Greenstar recognized revenues of $40 million and $65 million, respectively, and net losses of $4 million and $7 million, respectively, which are included in our Condensed Consolidated Statements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On July 5, 2013, we acquired substantially all of the assets of RCI Environnement Inc., the largest waste management company in Quebec, and certain related entities for a price of C$480 million, or $454 million. Total consideration, inclusive of amounts for estimated working capital, paid at closing was C$509 million, or $481 million, and is subject to certain post-closing adjustments. The acquisition was funded primarily with C$500 million, or $473 million, of cash proceeds from a term loan under our 2012 Canadian credit facility. Under the terms and conditions of our 2012 Canadian credit facility, interest on our term loan advances will be based on a 1.4% spread from the applicable Canadian Dealer Offered Rate (CDOR). Our initial CDOR-based advances, which have terms of one month and three months, have a weighted average effective rate of approximately 2.7%. While our outstanding advances have short-term maturities, they may be renewed under the terms of the facility through its maturity. The maturity date of the Canadian credit facility, including the term loan, is November 7, 2017. Waste Management of Canada Corporation and WM Quebec Inc. are the borrowers under the Canadian credit facility, and WM and WM Holdings are guarantors.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Comprehensive Income — </w:t>
      </w:r>
      <w:r>
        <w:rPr>
          <w:rFonts w:ascii="Arial" w:cs="Arial" w:eastAsia="Arial" w:hAnsi="Arial"/>
          <w:sz w:val="18"/>
          <w:szCs w:val="18"/>
          <w:color w:val="auto"/>
        </w:rPr>
        <w:t>In February 2013, the Financial Accounting Standards Board issued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requires companies to provide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12 to the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2012. Actual results could differ materially from the estimates and assumptions that we use in the preparation of our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geographic Areas from 22 to 17.</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business subsidiaries through these 17 Areas. Our reportable segments have been realigned to conform with our new organizational structure. Our Wheelabrator business provides waste-to-energy services and manages waste-to-energy facilities and independent power production plants.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also provide additional services that are not managed through our Solid Waste or Wheelabrator businesses, including WM Sustainability Business Services (which includes our acquired Oakleaf operations), recycling brokerage services, electronic recycling services, in-plant services, landfill gas-to-energy services, integrated medical waste services, expanded service offerings and solutions. Part of our expansion of services includes offering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and portable self-storage services. In addition, we have made investments that involve the acquisition and development of interests in oil and gas producing properties. These operations are presented as “Other” in the table below. Shown below (in millions) is the contribution to revenues during each period:</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3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$3,403</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$3,302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$ 6,588</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$ 6,440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4540" w:type="dxa"/>
            <w:vAlign w:val="bottom"/>
            <w:gridSpan w:val="3"/>
          </w:tcPr>
          <w:p>
            <w:pPr>
              <w:jc w:val="right"/>
              <w:ind w:right="492"/>
              <w:spacing w:after="0"/>
              <w:rPr>
                <w:sz w:val="20"/>
                <w:szCs w:val="20"/>
                <w:color w:val="auto"/>
              </w:rPr>
            </w:pPr>
            <w:r>
              <w:rPr>
                <w:rFonts w:ascii="Arial" w:cs="Arial" w:eastAsia="Arial" w:hAnsi="Arial"/>
                <w:sz w:val="18"/>
                <w:szCs w:val="18"/>
                <w:color w:val="auto"/>
              </w:rPr>
              <w:t>215</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206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4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554</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Intercompany</w:t>
            </w:r>
          </w:p>
        </w:tc>
        <w:tc>
          <w:tcPr>
            <w:tcW w:w="3480" w:type="dxa"/>
            <w:vAlign w:val="bottom"/>
          </w:tcPr>
          <w:p>
            <w:pPr>
              <w:spacing w:after="0"/>
              <w:rPr>
                <w:sz w:val="18"/>
                <w:szCs w:val="18"/>
                <w:color w:val="auto"/>
              </w:rPr>
            </w:pPr>
          </w:p>
        </w:tc>
        <w:tc>
          <w:tcPr>
            <w:tcW w:w="1060" w:type="dxa"/>
            <w:vAlign w:val="bottom"/>
            <w:gridSpan w:val="2"/>
          </w:tcPr>
          <w:p>
            <w:pPr>
              <w:jc w:val="right"/>
              <w:ind w:right="432"/>
              <w:spacing w:after="0"/>
              <w:rPr>
                <w:sz w:val="20"/>
                <w:szCs w:val="20"/>
                <w:color w:val="auto"/>
              </w:rPr>
            </w:pPr>
            <w:r>
              <w:rPr>
                <w:rFonts w:ascii="Arial" w:cs="Arial" w:eastAsia="Arial" w:hAnsi="Arial"/>
                <w:sz w:val="18"/>
                <w:szCs w:val="18"/>
                <w:color w:val="auto"/>
              </w:rPr>
              <w:t>(646)</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(593)</w:t>
            </w:r>
          </w:p>
        </w:tc>
        <w:tc>
          <w:tcPr>
            <w:tcW w:w="1400" w:type="dxa"/>
            <w:vAlign w:val="bottom"/>
            <w:gridSpan w:val="3"/>
          </w:tcPr>
          <w:p>
            <w:pPr>
              <w:jc w:val="right"/>
              <w:ind w:right="452"/>
              <w:spacing w:after="0"/>
              <w:rPr>
                <w:sz w:val="20"/>
                <w:szCs w:val="20"/>
                <w:color w:val="auto"/>
              </w:rPr>
            </w:pPr>
            <w:r>
              <w:rPr>
                <w:rFonts w:ascii="Arial" w:cs="Arial" w:eastAsia="Arial" w:hAnsi="Arial"/>
                <w:sz w:val="18"/>
                <w:szCs w:val="18"/>
                <w:color w:val="auto"/>
              </w:rPr>
              <w:t>(1,234)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54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3,526</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$ 6,862</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$ 6,754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vMerge w:val="restart"/>
          </w:tcPr>
          <w:p>
            <w:pPr>
              <w:jc w:val="right"/>
              <w:ind w:right="1132"/>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$ 1,695</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2,133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2,107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1,344</w:t>
            </w: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140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(1,234)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3,526</w:t>
            </w:r>
          </w:p>
        </w:tc>
        <w:tc>
          <w:tcPr>
            <w:tcW w:w="5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$ 6,862</w:t>
            </w:r>
          </w:p>
        </w:tc>
        <w:tc>
          <w:tcPr>
            <w:tcW w:w="5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$ 6,754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4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4"/>
              </w:rPr>
              <w:t>2013 vs. 2012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2013 vs. 2012</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23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57</w:t>
            </w:r>
          </w:p>
        </w:tc>
        <w:tc>
          <w:tcPr>
            <w:tcW w:w="2380" w:type="dxa"/>
            <w:vAlign w:val="bottom"/>
            <w:gridSpan w:val="3"/>
          </w:tcPr>
          <w:p>
            <w:pPr>
              <w:jc w:val="right"/>
              <w:ind w:right="9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23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108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($3,458 million and $6,752 million for the three- and six-month periods,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jc w:val="both"/>
        <w:ind w:left="4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r>
      <w:tr>
        <w:trPr>
          <w:trHeight w:val="149"/>
        </w:trPr>
        <w:tc>
          <w:tcPr>
            <w:tcW w:w="1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5"/>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18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2"/>
                <w:szCs w:val="12"/>
                <w:color w:val="auto"/>
              </w:rPr>
            </w:pPr>
          </w:p>
        </w:tc>
        <w:tc>
          <w:tcPr>
            <w:tcW w:w="18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1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1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84"/>
              </w:rPr>
              <w:t>2013 vs. 2012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2013 vs. 2012</w:t>
            </w:r>
          </w:p>
        </w:tc>
      </w:tr>
      <w:tr>
        <w:trPr>
          <w:trHeight w:val="129"/>
        </w:trPr>
        <w:tc>
          <w:tcPr>
            <w:tcW w:w="15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Business(i)</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r>
      <w:tr>
        <w:trPr>
          <w:trHeight w:val="196"/>
        </w:trPr>
        <w:tc>
          <w:tcPr>
            <w:tcW w:w="5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Collection and disposal(ii)</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r>
      <w:tr>
        <w:trPr>
          <w:trHeight w:val="218"/>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r>
      <w:tr>
        <w:trPr>
          <w:trHeight w:val="20"/>
        </w:trPr>
        <w:tc>
          <w:tcPr>
            <w:tcW w:w="1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jc w:val="both"/>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six months ended June 30, 2012 adjusted to exclude the impacts of divestitures (in millions):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Denominator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9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June 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June 30</w:t>
            </w:r>
          </w:p>
        </w:tc>
      </w:tr>
      <w:tr>
        <w:trPr>
          <w:trHeight w:val="196"/>
        </w:trPr>
        <w:tc>
          <w:tcPr>
            <w:tcW w:w="79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40" w:type="dxa"/>
            <w:vAlign w:val="bottom"/>
            <w:gridSpan w:val="3"/>
          </w:tcPr>
          <w:p>
            <w:pPr>
              <w:ind w:left="440"/>
              <w:spacing w:after="0"/>
              <w:rPr>
                <w:sz w:val="20"/>
                <w:szCs w:val="20"/>
                <w:color w:val="auto"/>
              </w:rPr>
            </w:pPr>
            <w:r>
              <w:rPr>
                <w:rFonts w:ascii="Arial" w:cs="Arial" w:eastAsia="Arial" w:hAnsi="Arial"/>
                <w:sz w:val="18"/>
                <w:szCs w:val="18"/>
                <w:color w:val="auto"/>
              </w:rPr>
              <w:t>Collection, landfill and transfer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2,764</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8"/>
                <w:szCs w:val="18"/>
                <w:color w:val="auto"/>
              </w:rPr>
            </w:pPr>
          </w:p>
        </w:tc>
      </w:tr>
      <w:tr>
        <w:trPr>
          <w:trHeight w:val="216"/>
        </w:trPr>
        <w:tc>
          <w:tcPr>
            <w:tcW w:w="7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Waste-to-energy disposal</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21"/>
        </w:trPr>
        <w:tc>
          <w:tcPr>
            <w:tcW w:w="7940" w:type="dxa"/>
            <w:vAlign w:val="bottom"/>
            <w:gridSpan w:val="3"/>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r>
      <w:tr>
        <w:trPr>
          <w:trHeight w:val="218"/>
        </w:trPr>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gridSpan w:val="3"/>
          </w:tcPr>
          <w:p>
            <w:pPr>
              <w:spacing w:after="0"/>
              <w:rPr>
                <w:sz w:val="20"/>
                <w:szCs w:val="20"/>
                <w:color w:val="auto"/>
              </w:rPr>
            </w:pPr>
            <w:r>
              <w:rPr>
                <w:rFonts w:ascii="Arial" w:cs="Arial" w:eastAsia="Arial" w:hAnsi="Arial"/>
                <w:sz w:val="18"/>
                <w:szCs w:val="18"/>
                <w:color w:val="auto"/>
              </w:rPr>
              <w:t>Electricity</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gridSpan w:val="3"/>
          </w:tcPr>
          <w:p>
            <w:pPr>
              <w:spacing w:after="0"/>
              <w:rPr>
                <w:sz w:val="20"/>
                <w:szCs w:val="20"/>
                <w:color w:val="auto"/>
              </w:rPr>
            </w:pPr>
            <w:r>
              <w:rPr>
                <w:rFonts w:ascii="Arial" w:cs="Arial" w:eastAsia="Arial" w:hAnsi="Arial"/>
                <w:sz w:val="18"/>
                <w:szCs w:val="18"/>
                <w:color w:val="auto"/>
              </w:rPr>
              <w:t>Total Company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3,458</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6,752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business and our landfill gas-to-energy operations, which are reported as “Electricity” revenues.</w:t>
      </w:r>
    </w:p>
    <w:p>
      <w:pPr>
        <w:spacing w:after="0" w:line="5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revenues increased $67 million, or 1.9%, for the three months ended June 30, 2013 as compared with the prior year period and $108 million, or 1.6%, for the six months ended June 30, 2013 as compared with the prior year period. During the three- and six-month periods, our current period revenue growth has been driven by (i) revenues from acquisitions, particularly the acquisition of Greenstar, which increased consolidated revenues $40 million and $65 million for the three and six months ended June 30, 2013, respectively; (ii) increased revenue growth from our collection and disposal average yield; (iii) higher revenues provided by our fuel surcharge program; and (iv) higher electricity prices at our merchant waste-to-energy facilities. Offsetting these revenue increases were lower recyclable commodity prices, revenue declines due to lower volumes, and foreign currency translation, which affects revenues from our Canadian operations.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revenue growth from yield on our collection and disposal lines of business was $60 million, or 2.1%, and $97 million, or 1.7%, for the three and six months ended June 30, 2013, respectively. This increase in revenue from yield was primarily driven by our collection operations with growth of $56 million and $97 million for the three and six months ended June 30, 2013, respectively.</w:t>
      </w:r>
    </w:p>
    <w:p>
      <w:pPr>
        <w:spacing w:after="0" w:line="5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experienced growth in all three of our principal collection lines of business in 2013. Our industrial line of business experienced positive revenue growth from yield of 4.8% in the current quarter as compared with 3.5% in the first quarter of 2013. We achieved 3.1% revenue growth from yield in our commercial line of business in the second quarter of 2013 as compared with 1.8% in the first quarter of 2013. We attribute part of the sequential revenue growth from yield in our commercial and industrial lines of business to the new regulatory cost recovery fee that we instituted in April 2013 to help us recover a portion of the significant regulatory costs and fees, such as host fees and disposal taxes, that have not been recouped by our pricing programs. For the three months ended June 30, 2013, we experienced 1.5% revenue growth from yield in our residential line of business, which is a significant improvement from the 0.6% revenue growth from yield for full year 2012. Our effort to increase yield in our residential line of business is a challenge due principally to a very competitive environment. A high percentage of our residential business is in municipal franchise markets, and many municipalities are facing significant budget challenges, which results in very competitive bid processes as we rebid contracts and try to win new contracts. Furthermore, the industry trend to offer added services to new and existing municipal contracts, such as recycling, often at below average market rates, puts additional pressure on yield growth in our residential line of business. Finally, yield growth from our landfill and transfer station operations increased slightly in the current quarter. Improving yield in our landfill business has proved to be a challenge, due in part to excess disposal capacity that exists in many of the markets in which we own or operate landfills.</w:t>
      </w:r>
    </w:p>
    <w:p>
      <w:pPr>
        <w:spacing w:after="0" w:line="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$5 million revenue decline from yield in our waste-to-energy disposal line of business for the six months ended June 30, 2013 occurred principally in the first three months of 2013 and was due to the expiration and renegotiation of two long-term waste-to-energy disposal contracts in South Florida. The interim agreements for these two contracts expired in July 2013. The renegotiated contracts will have a negative impact on our revenue growth from yield in the second half of 2013.</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Revenues from our environmental fee, which are included in average revenue growth from yield on collection and disposal, increased $2 million for both the three and six months ended June 30, 2013. These revenues were $87 million and $171 million for the three and six months ended June 30, 2013 as compared with $85 million and $169 million for the three and six months ended June 30, 2012, respectively. Additionally, as mentioned above, we instituted a new regulatory cost recovery fee in April 2013 that contributed approximately $8 million to revenue growth this quarter.</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revenue declines of $45 million and $85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2013, respectively, with an estimated negative impact on income from operations of approximately $18 million and $30 million for the three and six months ended June 30, 2013, respectively. During the first half of 2013, our year-over-year commodity prices declined about 12% as compared with the same prior year period.</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are predominantly generated by our fuel surcharge program which increased by $13 million and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six months ended June 30, 2013, respectively. These increases are primarily attributable to fluctuations in the national average prices for diesel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fuel on which our surcharge is based. The fuel surcharge revenue increase was aided by increases in the factor applied to diesel fuel prices in order to calculate the surcharge. The mandated fees included in this line item are primarily related to the pass-through of fees and taxes assessed by various state, county and municipal governmental agencies at our landfills and transfer stations.</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$20 million, or 0.6%, and $34 million, or 0.5%,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2013, respectively. We continue to experience revenue declines in our collection business, principally due to lower volumes in our commercial collection, and to a lesser extent, our residential line of business, which we attribute to the effects of pricing, competition and diversion of waste by customers. Additionally, for the three months ended June 30, 2013, we experienced revenue declines due to lower volumes associated with the loss of certain strategic accounts including certain large retail mall customers. Partially offsetting these revenue decreases were revenue growth from higher landfill volumes. Finally, revenue growth was negatively affected as a result of two less workdays in the first six months of 2013 as compared with the same prior year period.</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Revenues increased $57 million and $101 million for the three and six months ended June 30, 2013, respectively,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This increase was principally associated with our acquisition of Greenstar, which is reported in our “Recycling” line of business, demonstrating our focus on investments that allow us to extract value from the waste stream.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operating expenses increased by $51 million, or 2.3%, and $94 million, or 2.1% for the three and six months ended June 30, 2013 as compared with the three and six months ended June 30, 2012, respectively. Our operating expenses as a percentage of revenues increased from 65.3% in the second quarter of 2012 to 65.5% in the current quarter, and increased from 65.5% for the six months ended June 30, 2012 to 65.9% for the six months ended June 30, 2013. The increase in our operating expenses during the three and six months ended June 30, 2013 can largely be attributed to the following:</w:t>
      </w:r>
    </w:p>
    <w:p>
      <w:pPr>
        <w:spacing w:after="0" w:line="32" w:lineRule="exact"/>
        <w:rPr>
          <w:sz w:val="20"/>
          <w:szCs w:val="20"/>
          <w:color w:val="auto"/>
        </w:rPr>
      </w:pPr>
    </w:p>
    <w:p>
      <w:pPr>
        <w:jc w:val="both"/>
        <w:ind w:left="700" w:hanging="246"/>
        <w:spacing w:after="0" w:line="294"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Recycling operations — </w:t>
      </w:r>
      <w:r>
        <w:rPr>
          <w:rFonts w:ascii="Arial" w:cs="Arial" w:eastAsia="Arial" w:hAnsi="Arial"/>
          <w:sz w:val="16"/>
          <w:szCs w:val="16"/>
          <w:color w:val="auto"/>
        </w:rPr>
        <w:t>In January 2013 we acquired Greenstar, LLC, an operator of recycling and resource recovery facilities.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operating expenses by $39 million in the current quarter and $63 million in the six months ended June 30, 2013, primarily increasing cost of goods sold and, to a lesser extent, labor and related benefits and other categories. Also contributing to the increases for the reported periods were the impacts of higher processing costs associated with outbound quality control. The increases in operating expenses associated with Greenstar were offset by increased revenues resulting from the acquisition in both the three and six months ended June 30, 2013.</w:t>
      </w:r>
    </w:p>
    <w:p>
      <w:pPr>
        <w:spacing w:after="0" w:line="3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which include the impact of foreign currency translation, for the three-and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Period-to-</w:t>
            </w:r>
          </w:p>
        </w:tc>
        <w:tc>
          <w:tcPr>
            <w:tcW w:w="140" w:type="dxa"/>
            <w:vAlign w:val="bottom"/>
          </w:tcPr>
          <w:p>
            <w:pPr>
              <w:spacing w:after="0"/>
              <w:rPr>
                <w:sz w:val="14"/>
                <w:szCs w:val="14"/>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Six Months Ended</w:t>
            </w:r>
          </w:p>
        </w:tc>
        <w:tc>
          <w:tcPr>
            <w:tcW w:w="160" w:type="dxa"/>
            <w:vAlign w:val="bottom"/>
          </w:tcPr>
          <w:p>
            <w:pPr>
              <w:spacing w:after="0"/>
              <w:rPr>
                <w:sz w:val="14"/>
                <w:szCs w:val="1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Period-to-</w:t>
            </w:r>
          </w:p>
        </w:tc>
      </w:tr>
      <w:tr>
        <w:trPr>
          <w:trHeight w:val="161"/>
        </w:trPr>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4"/>
                <w:szCs w:val="14"/>
                <w:color w:val="auto"/>
              </w:rPr>
            </w:pPr>
          </w:p>
        </w:tc>
        <w:tc>
          <w:tcPr>
            <w:tcW w:w="14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76"/>
              </w:rPr>
              <w:t>2012</w:t>
            </w:r>
          </w:p>
        </w:tc>
        <w:tc>
          <w:tcPr>
            <w:tcW w:w="3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482</w:t>
            </w: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Subcontractor costs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573</w:t>
            </w: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Fuel</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302</w:t>
            </w: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r>
      <w:tr>
        <w:trPr>
          <w:trHeight w:val="27"/>
        </w:trPr>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2,260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4,426</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$ 94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41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significant changes in our operating expenses are discussed below.</w:t>
      </w:r>
    </w:p>
    <w:p>
      <w:pPr>
        <w:spacing w:after="0" w:line="90" w:lineRule="exact"/>
        <w:rPr>
          <w:sz w:val="20"/>
          <w:szCs w:val="20"/>
          <w:color w:val="auto"/>
        </w:rPr>
      </w:pPr>
    </w:p>
    <w:p>
      <w:pPr>
        <w:jc w:val="both"/>
        <w:ind w:left="700" w:hanging="246"/>
        <w:spacing w:after="0" w:line="25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was largely due to (i) increased contract labor principally attributed to the recycling and, to a lesser extent,</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lines of business; (ii) higher wages due to merit increases effective in the second quarter; (iii) lower bonus expense in the prior year periods due to lower anticipated payouts; and the Greenstar acquisition. These increases were offset in part by (i) a non-cash charge incurred during the second quarter of 2012 as a result of our partial withdrawal from an underfunded multiemployer pension plan and (ii) lower year-over-year costs resulting from fewer workdays in the first quarter of 2013.</w:t>
      </w:r>
    </w:p>
    <w:p>
      <w:pPr>
        <w:spacing w:after="0" w:line="61"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Increases for the second quarter of 2013 as compared with the same period of the prior year were driven by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waste-to-energy facilities, although for the six-month comparisons these costs were relatively flat due to the timing of the planned maintenance projects. Further affecting the comparisons were (i) increased fleet maintenance costs, including services provided by third parties, tires, parts and internal shop labor costs and (ii) increased costs associated with assets acquired from Greenstar.</w:t>
      </w:r>
    </w:p>
    <w:p>
      <w:pPr>
        <w:spacing w:after="0" w:line="31"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decrease in subcontractor costs was driven in large part by lower costs in our WM Sustainability Business Services, offset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by higher costs driven by special waste projects in several of our Areas.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increase in cost of goods sold can be attributed in part to higher customer rebates resulting from volume improvement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commodity business driven primarily by the Greenstar acquisition. Lower market prices for recyclable commodities in the current periods as compared with the same periods last year partially offset the increase.</w:t>
      </w:r>
    </w:p>
    <w:p>
      <w:pPr>
        <w:spacing w:after="0" w:line="59" w:lineRule="exact"/>
        <w:rPr>
          <w:rFonts w:ascii="Arial" w:cs="Arial" w:eastAsia="Arial" w:hAnsi="Arial"/>
          <w:sz w:val="18"/>
          <w:szCs w:val="18"/>
          <w:color w:val="auto"/>
        </w:rPr>
      </w:pPr>
    </w:p>
    <w:p>
      <w:pPr>
        <w:jc w:val="both"/>
        <w:ind w:left="700" w:hanging="246"/>
        <w:spacing w:after="0" w:line="25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decrease in fuel expense when compared to the prior year period was due to (i) a retroactive CNG fuel excise tax credit recognized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2013; (ii) lower fuel purchases due to reduced collection volumes; and (iii) lower costs as we convert our fleet to CNG vehicles. Variability in market prices for diesel fuel during the reported periods have also affected the comparability of these costs on a year-over-year basis. Diesel fuel prices declined when comparing Q2 2013 with the same period of the prior year, offsetting the impact of higher market prices in Q1 2013 compared with Q1 2012. After adjusting for the aforementioned fuel excise credit in the first quarter of 2013, our fuel costs were recovered by fuel surcharges in the three and six months ended June 30, 2013.</w:t>
      </w:r>
    </w:p>
    <w:p>
      <w:pPr>
        <w:spacing w:after="0" w:line="63"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Disposal and franchise fees and taxes — </w:t>
      </w:r>
      <w:r>
        <w:rPr>
          <w:rFonts w:ascii="Arial" w:cs="Arial" w:eastAsia="Arial" w:hAnsi="Arial"/>
          <w:sz w:val="16"/>
          <w:szCs w:val="16"/>
          <w:color w:val="auto"/>
        </w:rPr>
        <w:t>Increased costs can be attributed to (i) a disputed disposal surcharge at one of our waste-to-energy facilities;</w:t>
      </w:r>
    </w:p>
    <w:p>
      <w:pPr>
        <w:spacing w:after="0" w:line="38" w:lineRule="exact"/>
        <w:rPr>
          <w:rFonts w:ascii="Arial" w:cs="Arial" w:eastAsia="Arial" w:hAnsi="Arial"/>
          <w:sz w:val="16"/>
          <w:szCs w:val="16"/>
          <w:color w:val="auto"/>
        </w:rPr>
      </w:pPr>
    </w:p>
    <w:p>
      <w:pPr>
        <w:ind w:left="700" w:hanging="3"/>
        <w:spacing w:after="0" w:line="261" w:lineRule="auto"/>
        <w:tabs>
          <w:tab w:leader="none" w:pos="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higher municipal franchise fees relating to the collection line of business in certain Areas; and (iii) higher disposal fees and taxes due to higher landfill volumes.</w:t>
      </w:r>
    </w:p>
    <w:p>
      <w:pPr>
        <w:spacing w:after="0" w:line="56" w:lineRule="exact"/>
        <w:rPr>
          <w:rFonts w:ascii="Arial" w:cs="Arial" w:eastAsia="Arial" w:hAnsi="Arial"/>
          <w:sz w:val="18"/>
          <w:szCs w:val="18"/>
          <w:color w:val="auto"/>
        </w:rPr>
      </w:pPr>
    </w:p>
    <w:p>
      <w:pPr>
        <w:ind w:left="700" w:hanging="24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Increased costs were driven mainly by higher workers’ compensation claims.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Other  —</w:t>
      </w:r>
      <w:r>
        <w:rPr>
          <w:rFonts w:ascii="Arial" w:cs="Arial" w:eastAsia="Arial" w:hAnsi="Arial"/>
          <w:sz w:val="16"/>
          <w:szCs w:val="16"/>
          <w:color w:val="auto"/>
        </w:rPr>
        <w:t xml:space="preserve">  Increases  for  the  three-  and  six-month  periods  ended  June  30,  2013  compared  to  prior  year  periods  can  be  attributed  to:</w:t>
      </w:r>
    </w:p>
    <w:p>
      <w:pPr>
        <w:spacing w:after="0" w:line="38" w:lineRule="exact"/>
        <w:rPr>
          <w:sz w:val="20"/>
          <w:szCs w:val="20"/>
          <w:color w:val="auto"/>
        </w:rPr>
      </w:pPr>
    </w:p>
    <w:p>
      <w:pPr>
        <w:ind w:left="240" w:right="920" w:firstLine="461"/>
        <w:spacing w:after="0" w:line="387" w:lineRule="auto"/>
        <w:rPr>
          <w:sz w:val="20"/>
          <w:szCs w:val="20"/>
          <w:color w:val="auto"/>
        </w:rPr>
      </w:pPr>
      <w:r>
        <w:rPr>
          <w:rFonts w:ascii="Arial" w:cs="Arial" w:eastAsia="Arial" w:hAnsi="Arial"/>
          <w:sz w:val="18"/>
          <w:szCs w:val="18"/>
          <w:color w:val="auto"/>
        </w:rPr>
        <w:t xml:space="preserve">(i) telecommunications, driven by our initiative to equip our fleet with onboard computers; (ii) rentals; (iii) property taxes; and (iv) utilities. </w:t>
      </w:r>
      <w:r>
        <w:rPr>
          <w:rFonts w:ascii="Arial" w:cs="Arial" w:eastAsia="Arial" w:hAnsi="Arial"/>
          <w:sz w:val="18"/>
          <w:szCs w:val="18"/>
          <w:b w:val="1"/>
          <w:bCs w:val="1"/>
          <w:i w:val="1"/>
          <w:iCs w:val="1"/>
          <w:color w:val="auto"/>
        </w:rPr>
        <w:t>Selling, General and Administrative</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decreased by $21 million, or 5.6%, and $38 million, or 4.9%, when comparing the three and six months ended June 30, 2013 with the comparable prior year periods. As a percentage of revenue, our selling, general and administrative expenses decreased from 10.8% for the second quarter of 2012 to 10.0% for the second quarter of 2013, and decreased from 11.6% for the six months ended June 30, 2012 to 10.8% for the six months ended June 30,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the major components of our selling, general and administrative expenses for the three- and six-month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3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9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$ 211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$ 12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(21)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r>
      <w:tr>
        <w:trPr>
          <w:trHeight w:val="27"/>
        </w:trPr>
        <w:tc>
          <w:tcPr>
            <w:tcW w:w="3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(38)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Factors affecting the current year change in our labor and related benefits costs include:</w:t>
      </w:r>
    </w:p>
    <w:p>
      <w:pPr>
        <w:spacing w:after="0" w:line="90" w:lineRule="exact"/>
        <w:rPr>
          <w:sz w:val="20"/>
          <w:szCs w:val="20"/>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incentive compensation costs of $18 million and $28 million for the three-and six-month periods ended June 30, 2013, respectively, due to expectations of achieving a greater percentage of full year targets.</w:t>
      </w:r>
    </w:p>
    <w:p>
      <w:pPr>
        <w:spacing w:after="0" w:line="5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non-cash compensation charges of $14 million and $22 million for the three- and six-month periods ended June 30, 2013, respectively, attributable to our long-term incentive plan due to the recognition of expense for the payout of performance share units granted in 2010, which was approved in the first quarter of 2013. Expense associated with these awards had been reversed in the second quarter of 2012 when it no longer appeared probable that threshold performance would be achieved.</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savings realized from our 2012 reorganization of approximately $18 million and $36 million for the three- and six-month periods ended June 30, 2013, respectively.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payroll tax expense related to the lower annual incentive plan payout to participants in 2013 as compared to 2012.</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In 2013, our professional fees decreased when compared with the comparable prior year periods, primarily due to (i) consulting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during 2012 associated with the start-up phase of our cost savings programs and (ii) higher costs in 2012 related to international expansion of our waste-to-energy business, particularly during the three months ended June 30, 2012.</w:t>
      </w:r>
    </w:p>
    <w:p>
      <w:pPr>
        <w:spacing w:after="0" w:line="5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Provision for bad debts </w:t>
      </w:r>
      <w:r>
        <w:rPr>
          <w:rFonts w:ascii="Arial" w:cs="Arial" w:eastAsia="Arial" w:hAnsi="Arial"/>
          <w:sz w:val="16"/>
          <w:szCs w:val="16"/>
          <w:color w:val="auto"/>
        </w:rPr>
        <w:t>— The changes in our bad debt expense have been driven principally by the collection issues we have experienced in our Puerto</w:t>
      </w:r>
      <w:r>
        <w:rPr>
          <w:rFonts w:ascii="Arial" w:cs="Arial" w:eastAsia="Arial" w:hAnsi="Arial"/>
          <w:sz w:val="16"/>
          <w:szCs w:val="16"/>
          <w:i w:val="1"/>
          <w:iCs w:val="1"/>
          <w:color w:val="auto"/>
        </w:rPr>
        <w:t xml:space="preserve"> </w:t>
      </w:r>
      <w:r>
        <w:rPr>
          <w:rFonts w:ascii="Arial" w:cs="Arial" w:eastAsia="Arial" w:hAnsi="Arial"/>
          <w:sz w:val="16"/>
          <w:szCs w:val="16"/>
          <w:color w:val="auto"/>
        </w:rPr>
        <w:t>Rico operations and the offsetting favorable impact of the subsequent collection of certain of those reserved receivables.</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current year, controllable costs associated with advertising, travel and entertainment, building and equipment costs, computer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seminars and education have declined as a result of our continued focus on cost-control initiatives.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six-month periods ended June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Period-to-</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36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13</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line="20" w:lineRule="exact"/>
              <w:rPr>
                <w:sz w:val="1"/>
                <w:szCs w:val="1"/>
                <w:color w:val="auto"/>
              </w:rPr>
            </w:pPr>
          </w:p>
        </w:tc>
      </w:tr>
      <w:tr>
        <w:trPr>
          <w:trHeight w:val="221"/>
        </w:trPr>
        <w:tc>
          <w:tcPr>
            <w:tcW w:w="45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980" w:type="dxa"/>
            <w:vAlign w:val="bottom"/>
            <w:gridSpan w:val="2"/>
            <w:vMerge w:val="continue"/>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662</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22</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60" w:type="dxa"/>
            <w:vAlign w:val="bottom"/>
            <w:vMerge w:val="restart"/>
          </w:tcPr>
          <w:p>
            <w:pPr>
              <w:jc w:val="right"/>
              <w:ind w:right="512"/>
              <w:spacing w:after="0"/>
              <w:rPr>
                <w:sz w:val="20"/>
                <w:szCs w:val="20"/>
                <w:color w:val="auto"/>
              </w:rPr>
            </w:pPr>
            <w:r>
              <w:rPr>
                <w:rFonts w:ascii="Arial" w:cs="Arial" w:eastAsia="Arial" w:hAnsi="Arial"/>
                <w:sz w:val="18"/>
                <w:szCs w:val="18"/>
                <w:color w:val="auto"/>
              </w:rPr>
              <w:t>44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half of 2013, we recognized a total of $10 million of pre-tax restructuring charges, of which $3 million was related to employee severance and benefit costs, including costs associated with our acquisition of Greenstar and our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first half of 2012, we recognized a total of $7 million of employee severance and benefit restructuring charges, including $3 million associated with the reorganization of Oakleaf and certain other actions taken by the Company.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first half of 2013, we recognized net charges of $15 million, primarily related to a $14 million impairment charge at a waste-to-energy facility as a result of projected operating losses. We wrote down the carrying value of the facility’s property, plant and equipment to its estimated fair value. Also included are (i) $6 million of losses on divestitures related to investments in oil and gas producing properties and (ii) $4 million of charges primarily to impair goodwill related to certain of our operations, which are included in our “Other” operations in Note 8 to the Condensed Consolidated Financial Statements. These charges were offset, in part, by gains on divestures of $9 million, largely attributable to the sale of a transfer station in our Greater Mid-Atlantic Area.</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first half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8 to the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six-month periods ended June 30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Period-to-</w:t>
            </w:r>
          </w:p>
        </w:tc>
      </w:tr>
      <w:tr>
        <w:trPr>
          <w:trHeight w:val="161"/>
        </w:trPr>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Ended June 30,</w:t>
            </w:r>
          </w:p>
        </w:tc>
        <w:tc>
          <w:tcPr>
            <w:tcW w:w="14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360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192"/>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$ 677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Wheelabrator</w:t>
            </w:r>
          </w:p>
        </w:tc>
        <w:tc>
          <w:tcPr>
            <w:tcW w:w="286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31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Corporate and Other.</w:t>
            </w:r>
          </w:p>
        </w:tc>
        <w:tc>
          <w:tcPr>
            <w:tcW w:w="21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22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r>
      <w:tr>
        <w:trPr>
          <w:trHeight w:val="27"/>
        </w:trPr>
        <w:tc>
          <w:tcPr>
            <w:tcW w:w="3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$ 466</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3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as compared with the prior year periods are summarized below:</w:t>
      </w:r>
    </w:p>
    <w:p>
      <w:pPr>
        <w:spacing w:after="0" w:line="51" w:lineRule="exact"/>
        <w:rPr>
          <w:sz w:val="20"/>
          <w:szCs w:val="20"/>
          <w:color w:val="auto"/>
        </w:rPr>
      </w:pPr>
    </w:p>
    <w:p>
      <w:pPr>
        <w:ind w:left="700" w:hanging="24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base business excluding recycling benefited from (i) internal revenue growth, principally in our collection and landfill lines of business and</w:t>
      </w:r>
    </w:p>
    <w:p>
      <w:pPr>
        <w:spacing w:after="0" w:line="38" w:lineRule="exact"/>
        <w:rPr>
          <w:rFonts w:ascii="Arial" w:cs="Arial" w:eastAsia="Arial" w:hAnsi="Arial"/>
          <w:sz w:val="16"/>
          <w:szCs w:val="16"/>
          <w:color w:val="auto"/>
        </w:rPr>
      </w:pPr>
    </w:p>
    <w:p>
      <w:pPr>
        <w:ind w:left="700" w:hanging="3"/>
        <w:spacing w:after="0" w:line="261"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increased fuel recovery. These favorable variances were partially offset by net cost increases including higher transfer and disposal costs, principally in the current quarter, and maintenance and repair costs, primarily in the first quarter of 2013.</w:t>
      </w:r>
    </w:p>
    <w:p>
      <w:pPr>
        <w:spacing w:after="0" w:line="56"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recycling business contributed unfavorably compared to prior year periods driven primarily by: (i) lower market prices for recyclable commodities;</w:t>
      </w:r>
    </w:p>
    <w:p>
      <w:pPr>
        <w:spacing w:after="0" w:line="38" w:lineRule="exact"/>
        <w:rPr>
          <w:rFonts w:ascii="Arial" w:cs="Arial" w:eastAsia="Arial" w:hAnsi="Arial"/>
          <w:sz w:val="16"/>
          <w:szCs w:val="16"/>
          <w:color w:val="auto"/>
        </w:rPr>
      </w:pPr>
    </w:p>
    <w:p>
      <w:pPr>
        <w:ind w:left="700" w:hanging="3"/>
        <w:spacing w:after="0" w:line="261" w:lineRule="auto"/>
        <w:tabs>
          <w:tab w:leader="none" w:pos="9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higher processing costs driven in part by increased outbound quality control; and (iii) operating losses related to the acquired operations of Greenstar.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items affecting the reported periods include:</w:t>
      </w:r>
    </w:p>
    <w:p>
      <w:pPr>
        <w:spacing w:after="0" w:line="90" w:lineRule="exact"/>
        <w:rPr>
          <w:sz w:val="20"/>
          <w:szCs w:val="20"/>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benefits realized as a result of our July 2012 restructuring and ongoing cost containment efforts;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labor costs due to a non-cash charge incurred in the second quarter of 2012 as a result of our withdrawal from an underfunded multi-employer pension plan;</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fuel expense due to a retroactive CNG excise fuel tax credit recognized in the first quarter of 2013;</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bad debt expense driven principally by the collection issues in our Puerto Rico operations offset by the favorable impact of the subsequent collection of certain reserved receivables;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labor due to merit increases effective in the second quarter and higher incentive compensation costs due to expectations of achieving a greater percentage of full year targets;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labor costs due to the reclassification of employees from Corporate to Solid Waste.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months and six months ended June 30, 2013 are summarized below:</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Wheelabrator — </w:t>
      </w:r>
      <w:r>
        <w:rPr>
          <w:rFonts w:ascii="Arial" w:cs="Arial" w:eastAsia="Arial" w:hAnsi="Arial"/>
          <w:sz w:val="18"/>
          <w:szCs w:val="18"/>
          <w:color w:val="auto"/>
        </w:rPr>
        <w:t>The decrease in income from operations of our Wheelabrator business for the three and six months ended June 30, 2013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2012 was largely driven by (i) impairment charges at a waste-to-energy facility as a result of projected operating losses and (ii) a disputed disposal surcharge at another waste-to-energy facility. The volatility in maintenance and repair costs, primarily due to differences in the timing and scope of planned maintenance activities, unfavorably impacted the current quarter while remaining relatively flat for the six months ended June 30, 2013. These unfavorable variances were partially offset by improved energy prices.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Significant items affecting the comparability of results for the periods presented include:</w:t>
      </w:r>
    </w:p>
    <w:p>
      <w:pPr>
        <w:spacing w:after="0" w:line="90" w:lineRule="exact"/>
        <w:rPr>
          <w:sz w:val="20"/>
          <w:szCs w:val="20"/>
          <w:color w:val="auto"/>
        </w:rPr>
      </w:pPr>
    </w:p>
    <w:p>
      <w:pPr>
        <w:ind w:left="70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recognized during the second quarter of 2012 relating primarily to two facilities in our medical waste services business as a result of projected operating losses at each of these facilities;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labor cost due to the reclassification of employees from Other to Solid Waste;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improved results from our growth initiatives, which include our organics and healthcare businesses;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benefits realized as result of our July 2012 restructuring and ongoing cost containment efforts;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from continued efforts to integrate our strategic accounts business with Oakleaf, including the loss of certain strategic accounts;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administrative and restructuring costs associated with the acquired operations of Greenstar;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labor costs including annual merit increases and higher expected incentive compensation payouts.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 realized as result of our July 2012 restructuring and ongoing cost containment efforts;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professional fees primarily due to higher consulting fees incurred during 2012 in connection with the start-up phase of our cost savings programs;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favorable adjustment to our estimated environmental remediation obligations and recovery assets in the second quarter of 2013 due to increases in U.S. Treasury rates;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labor costs due to the reclassification of employees from Corporate to Solid Waste;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labor costs including annual merit increases and higher expected incentive compensation payouts.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interest expense was $122 million and $244 million during the three and six months ended June 30, 2013, respectively, compared with $121 million and $243 million during the three and six months ended June 30,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2012, respectively. Our interest expense is flat in spite of a slight increase in our average debt balances. This is primarily attributable to interest expense reductions that have been achieved by remarketing tax-exempt debt at lower rates and issuing new debt at lower fixed interest rates than debt repaid upon scheduled maturities.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noncontrolling investments made to support our strategic initiatives and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14 to the Condensed Consolidated Financial Statements for more information related to these investments.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recognized other, net income of $2 million for the three months ended June 30, 2013 and other, net expense of $9 million for the six months ended June 30, 2013, compared with other, net expense of $1 million and $2 million for the three and six months ended June 30, 2012, respectively. During the first quarter of 2013, we recognized impairment charges of $11 million relating to other-than-temporary declines in the value of two investments in waste diversion technologies accounted for under the cost method. Partially offsetting these charges was a $4 million gain on the sale of a similar investment recognized in the second quarter of 2013.</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a provision for income taxes of $127 million during the second quarter of 2013, representing an effective income tax rate of 33.2%, compared with a provision for income taxes of $115 million during the second quarter of 2012, representing an effective income tax rate of 34.3%. Our effective income tax rate for the first half of 2013 was 33.0% compared with 33.6% for the first half of 2012.</w:t>
      </w:r>
    </w:p>
    <w:p>
      <w:pPr>
        <w:spacing w:after="0" w:line="59"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investments in low-income housing properties and the refined coal facility reduced our provision for income taxes by $10 million and $6 million, respectively, for the three months ended June 30, 2013 and by $17 million and $9 million, for the six months ended June 30, 2013. These investments reduced our provision for income taxes by $9 million and $5 million, respectively, for the three months ended June 30, 2012 and by $16 million and $8 million, respectively, for the six months ended June 30, 2012. Refer to Note 5 to the Condensed Consolidated Financial Statements for more information related to these investments.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income attributable to noncontrolling interests was $12 million and $20 million for the three and six month ended June 30, 2013, respectively, and $11 million and $23 million for the three and six months ended June 30, 2012, respectively. These amounts are principally related to third parties’ equity interests in two limited liability companies that own three waste-to-energy facilities operated by our Wheelabrator business. Refer to Note 14 to the Condensed Consolidated Financial Statements for information related to the consolidation of these variable interest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our cash and cash equivalents, restricted trust and escrow accounts and debt balances as of June 30, 2013 and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(dollars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138</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776</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8,994</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9,770</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June 30, 2013, we had (i) $902 million of debt maturing within the next 12 months, including $335 million of borrowings outstanding under the revolving credit facility, U.S.$24 million of advances outstanding under our Canadian credit facility, $350 million of 5.0% senior notes that mature in March 2014 and $110 million of tax-exempt bonds and (ii) $577 million of tax-exempt borrowings subject to repricing within the next 12 months. Based on our intent and ability to refinance a portion of this debt on a long-term basis as of June 30, 2013, we have classified $703 million of this debt as long-term and the remaining $776 million as current obligations.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July 2013, we amended and restated our $2.0 billion revolving credit facility, increasing our total credit capacity to $2.25 billion and extending the term through July 2018.</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six-month periods ended June 30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240"/>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83"/>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We generated $1,122 million of cash flow from operating activities during the six-month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2013, compared with $1,144 million during the six-month period ended June 30, 2012. The $22 million decrease was primarily driven by the items described below:</w:t>
      </w:r>
    </w:p>
    <w:p>
      <w:pPr>
        <w:spacing w:after="0" w:line="59" w:lineRule="exact"/>
        <w:rPr>
          <w:sz w:val="20"/>
          <w:szCs w:val="20"/>
          <w:color w:val="auto"/>
        </w:rPr>
      </w:pPr>
    </w:p>
    <w:p>
      <w:pPr>
        <w:ind w:left="700" w:hanging="246"/>
        <w:spacing w:after="0" w:line="33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Increased income tax payments — </w:t>
      </w:r>
      <w:r>
        <w:rPr>
          <w:rFonts w:ascii="Arial" w:cs="Arial" w:eastAsia="Arial" w:hAnsi="Arial"/>
          <w:sz w:val="16"/>
          <w:szCs w:val="16"/>
          <w:color w:val="auto"/>
        </w:rPr>
        <w:t>Cash paid for income taxes, net of excess tax benefits associated with equity-based transactions, was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$111 million higher on a year-over-year basis due to higher pre-tax earnings and the timing of estimated tax payments.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9" w:name="page50"/>
    <w:bookmarkEnd w:id="49"/>
    <w:p>
      <w:pPr>
        <w:jc w:val="both"/>
        <w:ind w:left="700" w:hanging="246"/>
        <w:spacing w:after="0" w:line="298"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interests rate swaps — </w:t>
      </w:r>
      <w:r>
        <w:rPr>
          <w:rFonts w:ascii="Arial" w:cs="Arial" w:eastAsia="Arial" w:hAnsi="Arial"/>
          <w:sz w:val="16"/>
          <w:szCs w:val="16"/>
          <w:color w:val="auto"/>
        </w:rPr>
        <w:t>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Condensed Consolidated Statement of Cash Flows.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were partially offset by:</w:t>
      </w:r>
    </w:p>
    <w:p>
      <w:pPr>
        <w:spacing w:after="0" w:line="90" w:lineRule="exact"/>
        <w:rPr>
          <w:sz w:val="20"/>
          <w:szCs w:val="20"/>
          <w:color w:val="auto"/>
        </w:rPr>
      </w:pPr>
    </w:p>
    <w:p>
      <w:pPr>
        <w:jc w:val="both"/>
        <w:ind w:left="700" w:hanging="246"/>
        <w:spacing w:after="0" w:line="306"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Decreased bonus payments — </w:t>
      </w:r>
      <w:r>
        <w:rPr>
          <w:rFonts w:ascii="Arial" w:cs="Arial" w:eastAsia="Arial" w:hAnsi="Arial"/>
          <w:sz w:val="16"/>
          <w:szCs w:val="16"/>
          <w:color w:val="auto"/>
        </w:rPr>
        <w:t>Payments for our annual incentive plan are made in the first quarter of the year based on prior year performance.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from operating activities was favorably impacted by approximately $86 million on a year-over-year basis as the annual incentive plan payments made in the first quarter of 2013 were significantly lower than the payments made in the first quarter of 2012.</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Increased earnings — </w:t>
      </w:r>
      <w:r>
        <w:rPr>
          <w:rFonts w:ascii="Arial" w:cs="Arial" w:eastAsia="Arial" w:hAnsi="Arial"/>
          <w:sz w:val="16"/>
          <w:szCs w:val="16"/>
          <w:color w:val="auto"/>
        </w:rPr>
        <w:t>Our income from operations, excluding depreciation and amortization, increased by $67 million, on a year-over-year basis.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cash flow from operating activities is impacted on a year-over-year basis by changes in our working capital accounts. After consideration of the items mentioned above, the impacts of working capital changes were not significant during the reported period. Although our working capital changes may vary from year to year, they are typically driven by changes in accounts receivable, which are affected by both revenue changes and timing of payments received, and changes in accounts payable, which are affected by both cost changes and timing of payments.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six-month periods ended June 30,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2012 are summarized below:</w:t>
      </w:r>
    </w:p>
    <w:p>
      <w:pPr>
        <w:spacing w:after="0" w:line="51" w:lineRule="exact"/>
        <w:rPr>
          <w:sz w:val="20"/>
          <w:szCs w:val="20"/>
          <w:color w:val="auto"/>
        </w:rPr>
      </w:pPr>
    </w:p>
    <w:p>
      <w:pPr>
        <w:jc w:val="both"/>
        <w:ind w:left="700" w:hanging="246"/>
        <w:spacing w:after="0" w:line="25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$501 million during the first half of 2013 for capital expenditures compared with $730 million in the first half of 2012,</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$229 million. The decrease can generally be attributed to increased focus on capital spending management and the impact of timing differences associated with cash payments for the previous years’ fourth quarter capital spending. Approximately $171 million of our fourth quarter 2012 spending was paid in cash in the first quarter of 2013 compared with approximately $244 million of our fourth quarter 2011 spending that was paid in the first quarter of 2012.</w:t>
      </w:r>
    </w:p>
    <w:p>
      <w:pPr>
        <w:spacing w:after="0" w:line="61"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 </w:t>
      </w:r>
      <w:r>
        <w:rPr>
          <w:rFonts w:ascii="Arial" w:cs="Arial" w:eastAsia="Arial" w:hAnsi="Arial"/>
          <w:sz w:val="16"/>
          <w:szCs w:val="16"/>
          <w:color w:val="auto"/>
        </w:rPr>
        <w:t>Our spending on acquisitions was $210 million in the first half of 2013 compared with $154 million in the first half of 2012. In 2013,</w:t>
      </w:r>
      <w:r>
        <w:rPr>
          <w:rFonts w:ascii="Arial" w:cs="Arial" w:eastAsia="Arial" w:hAnsi="Arial"/>
          <w:sz w:val="16"/>
          <w:szCs w:val="16"/>
          <w:i w:val="1"/>
          <w:iCs w:val="1"/>
          <w:color w:val="auto"/>
        </w:rPr>
        <w:t xml:space="preserve"> </w:t>
      </w:r>
      <w:r>
        <w:rPr>
          <w:rFonts w:ascii="Arial" w:cs="Arial" w:eastAsia="Arial" w:hAnsi="Arial"/>
          <w:sz w:val="16"/>
          <w:szCs w:val="16"/>
          <w:color w:val="auto"/>
        </w:rPr>
        <w:t>our acquisitions consisted primarily of the recycling operations of Greenstar, for which we paid $170 million. The remainder of our 2013 acquisitions related to collection and energy services operations. In 2012, our acquisitions consisted primarily of interests in oil and gas producing properties through two transactions, for which we paid $94 million. The remainder of our 2012 acquisitions related to collection and recycling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0" w:name="page51"/>
    <w:bookmarkEnd w:id="50"/>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 </w:t>
      </w:r>
      <w:r>
        <w:rPr>
          <w:rFonts w:ascii="Arial" w:cs="Arial" w:eastAsia="Arial" w:hAnsi="Arial"/>
          <w:sz w:val="18"/>
          <w:szCs w:val="18"/>
          <w:color w:val="auto"/>
        </w:rPr>
        <w:t>During the first half of 2013, net cash used in financing activities was $465 million, compared with $262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comparable prior year period. The most significant items affecting the comparison of our financing cash flows for the six-month periods ended June 30, 2013 and 2012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Net debt borrowings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2"/>
        </w:trPr>
        <w:tc>
          <w:tcPr>
            <w:tcW w:w="9400" w:type="dxa"/>
            <w:vAlign w:val="bottom"/>
            <w:gridSpan w:val="3"/>
          </w:tcPr>
          <w:p>
            <w:pPr>
              <w:ind w:left="460"/>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ind w:left="220"/>
              <w:spacing w:after="0"/>
              <w:rPr>
                <w:sz w:val="20"/>
                <w:szCs w:val="20"/>
                <w:color w:val="auto"/>
              </w:rPr>
            </w:pPr>
            <w:r>
              <w:rPr>
                <w:rFonts w:ascii="Arial" w:cs="Arial" w:eastAsia="Arial" w:hAnsi="Arial"/>
                <w:sz w:val="18"/>
                <w:szCs w:val="18"/>
                <w:color w:val="auto"/>
              </w:rPr>
              <w:t>Canadian credit facility(a)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(271)</w:t>
            </w:r>
          </w:p>
        </w:tc>
        <w:tc>
          <w:tcPr>
            <w:tcW w:w="0" w:type="dxa"/>
            <w:vAlign w:val="bottom"/>
          </w:tcPr>
          <w:p>
            <w:pPr>
              <w:spacing w:after="0"/>
              <w:rPr>
                <w:sz w:val="1"/>
                <w:szCs w:val="1"/>
                <w:color w:val="auto"/>
              </w:rPr>
            </w:pPr>
          </w:p>
        </w:tc>
      </w:tr>
      <w:tr>
        <w:trPr>
          <w:trHeight w:val="20"/>
        </w:trPr>
        <w:tc>
          <w:tcPr>
            <w:tcW w:w="940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Net borrowings (repayments)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3"/>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00" w:hanging="452"/>
        <w:spacing w:after="0" w:line="413" w:lineRule="auto"/>
        <w:tabs>
          <w:tab w:leader="none" w:pos="449"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Due to the short-term maturities of the borrowings under these credit facilities, we have reported certain of these cash flows on a net basis. Refer to Note 3 to the Condensed Consolidated Financial Statements for additional information related to our debt borrowings and repayments.</w:t>
      </w:r>
    </w:p>
    <w:p>
      <w:pPr>
        <w:jc w:val="both"/>
        <w:ind w:left="700" w:hanging="246"/>
        <w:spacing w:after="0" w:line="259"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$341 million in cash dividends in the first half of 2013 compared with $329 million in the first half of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dividend payments is due to our quarterly per share dividend declared increasing from $0.355 in 2012 to $0.365 in 2013 and increased shares outstanding.</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We received $98 million for the exercise of stock options in the first half of 2013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$31 million in the first half of 2012. The increase in exercised stock options is primarily due to the increase in the Company’s stock price combined with approaching expirations of stock options in the first half of 2013.</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Recent Legislation — </w:t>
      </w:r>
      <w:r>
        <w:rPr>
          <w:rFonts w:ascii="Arial" w:cs="Arial" w:eastAsia="Arial" w:hAnsi="Arial"/>
          <w:sz w:val="18"/>
          <w:szCs w:val="18"/>
          <w:color w:val="auto"/>
        </w:rPr>
        <w:t>The American Taxpayer Relief Act of 2012 was signed into law on January 2, 2013 and includes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can be depreciated immediately. The acceleration of deductions on capital expenditures resulting from the bonus depreciation provisions has no impact on our effective tax rate, but reduces our cash taxes in the periods in which the deductions are taken.</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acceleration of depreciation deductions related to qualifying capital expenditures in 2012 decreased our full year 2012 cash taxes by approximately $90 million and, based on our current forecast of 2013 capital expenditures, we estimate a reduction in our full year 2013 cash taxes of approximately $95 million related to qualifying capital expenditures in 2013. However, taking accelerated deductions results in increased cash taxes in subsequent periods when the deductions for these capital expenditures would have otherwise been taken. On a net basis, after taking into account the effect of all applicable years’ bonus depreciation programs, the deductions taken in previous years from acceleration programs more than offset the benefits received in 2012 and expected to be received in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1" w:name="page52"/>
    <w:bookmarkEnd w:id="5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as a result of the application in 2012 of the depreciation safe harbor provisions of the Income Tax Regulations, our estimated tax payments in 2013 are expected to be higher in the first nine months of the year than the comparable prior year period. We are also expecting our full year tax payments to be approximately $185 million higher than the tax payments made in 2012.</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$6 million of liabilities for uncertain tax positions, including accrued interest, and $2 million of related deferred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six months ended June 30, 2013,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indexes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June 30, 2013, does not differ materially from that discussed under Item 7A in our Annual Report on Form 10-K for the year ended December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2" w:name="page53"/>
    <w:bookmarkEnd w:id="5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2013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2013. We determined that there were no changes in our internal control over financial reporting during the quarter ended June 30, 2013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2012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62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Exhibits.</w:t>
            </w:r>
          </w:p>
        </w:tc>
      </w:tr>
      <w:tr>
        <w:trPr>
          <w:trHeight w:val="219"/>
        </w:trPr>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5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8"/>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5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bl>
    <w:p>
      <w:pPr>
        <w:ind w:left="1160" w:hanging="1606"/>
        <w:spacing w:after="0" w:line="258" w:lineRule="auto"/>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Certification Pursuant to Rules 13a-14(a) and 15d-14(a) under the Securities Exchange Act of 1934, as amended, of David P. Steiner, President and Chief Executive Officer.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amended, of James C. Fish, Jr.,</w:t>
            </w:r>
          </w:p>
        </w:tc>
      </w:tr>
      <w:tr>
        <w:trPr>
          <w:trHeight w:val="222"/>
        </w:trPr>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Pursuant to 18 U.S.C. §1350 of David P. Steiner, President and Chief Executive Officer.</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Pursuant to 18 U.S.C. §1350 of James C. Fish, Jr., Executive Vice President and Chief Financial Officer.</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95</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Mine Safety Disclosures.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261"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2013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2013 as filed with the Securities and Exchange Commission on the date hereof (the “Report”), I, James C. Fish, Jr., Chief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quarter ended June 30, 2013,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during the quarter ended June 30, 2013,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Ÿ"/>
      <w:numFmt w:val="bullet"/>
      <w:start w:val="1"/>
    </w:lvl>
  </w:abstractNum>
  <w:abstractNum w:abstractNumId="7">
    <w:nsid w:val="628C895D"/>
    <w:multiLevelType w:val="hybridMultilevel"/>
    <w:lvl w:ilvl="0">
      <w:lvlJc w:val="left"/>
      <w:lvlText w:val="Ÿ"/>
      <w:numFmt w:val="bullet"/>
      <w:start w:val="1"/>
    </w:lvl>
  </w:abstractNum>
  <w:abstractNum w:abstractNumId="8">
    <w:nsid w:val="333AB105"/>
    <w:multiLevelType w:val="hybridMultilevel"/>
    <w:lvl w:ilvl="0">
      <w:lvlJc w:val="left"/>
      <w:lvlText w:val="Ÿ"/>
      <w:numFmt w:val="bullet"/>
      <w:start w:val="1"/>
    </w:lvl>
  </w:abstractNum>
  <w:abstractNum w:abstractNumId="9">
    <w:nsid w:val="721DA317"/>
    <w:multiLevelType w:val="hybridMultilevel"/>
    <w:lvl w:ilvl="0">
      <w:lvlJc w:val="left"/>
      <w:lvlText w:val="Ÿ"/>
      <w:numFmt w:val="bullet"/>
      <w:start w:val="1"/>
    </w:lvl>
  </w:abstractNum>
  <w:abstractNum w:abstractNumId="10">
    <w:nsid w:val="2443A858"/>
    <w:multiLevelType w:val="hybridMultilevel"/>
    <w:lvl w:ilvl="0">
      <w:lvlJc w:val="left"/>
      <w:lvlText w:val="Ÿ"/>
      <w:numFmt w:val="bullet"/>
      <w:start w:val="1"/>
    </w:lvl>
  </w:abstractNum>
  <w:abstractNum w:abstractNumId="11">
    <w:nsid w:val="2D1D5AE9"/>
    <w:multiLevelType w:val="hybridMultilevel"/>
    <w:lvl w:ilvl="0">
      <w:lvlJc w:val="left"/>
      <w:lvlText w:val="Ÿ"/>
      <w:numFmt w:val="bullet"/>
      <w:start w:val="1"/>
    </w:lvl>
  </w:abstractNum>
  <w:abstractNum w:abstractNumId="12">
    <w:nsid w:val="6763845E"/>
    <w:multiLevelType w:val="hybridMultilevel"/>
    <w:lvl w:ilvl="0">
      <w:lvlJc w:val="left"/>
      <w:lvlText w:val="Ÿ"/>
      <w:numFmt w:val="bullet"/>
      <w:start w:val="1"/>
    </w:lvl>
  </w:abstractNum>
  <w:abstractNum w:abstractNumId="13">
    <w:nsid w:val="75A2A8D4"/>
    <w:multiLevelType w:val="hybridMultilevel"/>
    <w:lvl w:ilvl="0">
      <w:lvlJc w:val="left"/>
      <w:lvlText w:val="Ÿ"/>
      <w:numFmt w:val="bullet"/>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Ÿ"/>
      <w:numFmt w:val="bullet"/>
      <w:start w:val="1"/>
    </w:lvl>
  </w:abstractNum>
  <w:abstractNum w:abstractNumId="19">
    <w:nsid w:val="54E49EB4"/>
    <w:multiLevelType w:val="hybridMultilevel"/>
    <w:lvl w:ilvl="0">
      <w:lvlJc w:val="left"/>
      <w:lvlText w:val="Ÿ"/>
      <w:numFmt w:val="bullet"/>
      <w:start w:val="1"/>
    </w:lvl>
    <w:lvl w:ilvl="1">
      <w:lvlJc w:val="left"/>
      <w:lvlText w:val="(%2)"/>
      <w:numFmt w:val="lowerRoman"/>
      <w:start w:val="2"/>
    </w:lvl>
  </w:abstractNum>
  <w:abstractNum w:abstractNumId="20">
    <w:nsid w:val="71F32454"/>
    <w:multiLevelType w:val="hybridMultilevel"/>
    <w:lvl w:ilvl="0">
      <w:lvlJc w:val="left"/>
      <w:lvlText w:val="Ÿ"/>
      <w:numFmt w:val="bullet"/>
      <w:start w:val="1"/>
    </w:lvl>
  </w:abstractNum>
  <w:abstractNum w:abstractNumId="21">
    <w:nsid w:val="2CA88611"/>
    <w:multiLevelType w:val="hybridMultilevel"/>
    <w:lvl w:ilvl="0">
      <w:lvlJc w:val="left"/>
      <w:lvlText w:val="Ÿ"/>
      <w:numFmt w:val="bullet"/>
      <w:start w:val="1"/>
    </w:lvl>
    <w:lvl w:ilvl="1">
      <w:lvlJc w:val="left"/>
      <w:lvlText w:val="(%2)"/>
      <w:numFmt w:val="lowerRoman"/>
      <w:start w:val="2"/>
    </w:lvl>
  </w:abstractNum>
  <w:abstractNum w:abstractNumId="22">
    <w:nsid w:val="836C40E"/>
    <w:multiLevelType w:val="hybridMultilevel"/>
    <w:lvl w:ilvl="0">
      <w:lvlJc w:val="left"/>
      <w:lvlText w:val="Ÿ"/>
      <w:numFmt w:val="bullet"/>
      <w:start w:val="1"/>
    </w:lvl>
  </w:abstractNum>
  <w:abstractNum w:abstractNumId="23">
    <w:nsid w:val="2901D82"/>
    <w:multiLevelType w:val="hybridMultilevel"/>
    <w:lvl w:ilvl="0">
      <w:lvlJc w:val="left"/>
      <w:lvlText w:val="Ÿ"/>
      <w:numFmt w:val="bullet"/>
      <w:start w:val="1"/>
    </w:lvl>
  </w:abstractNum>
  <w:abstractNum w:abstractNumId="24">
    <w:nsid w:val="3A95F874"/>
    <w:multiLevelType w:val="hybridMultilevel"/>
    <w:lvl w:ilvl="0">
      <w:lvlJc w:val="left"/>
      <w:lvlText w:val="Ÿ"/>
      <w:numFmt w:val="bullet"/>
      <w:start w:val="1"/>
    </w:lvl>
  </w:abstractNum>
  <w:abstractNum w:abstractNumId="25">
    <w:nsid w:val="8138641"/>
    <w:multiLevelType w:val="hybridMultilevel"/>
    <w:lvl w:ilvl="0">
      <w:lvlJc w:val="left"/>
      <w:lvlText w:val="Ÿ"/>
      <w:numFmt w:val="bullet"/>
      <w:start w:val="1"/>
    </w:lvl>
  </w:abstractNum>
  <w:abstractNum w:abstractNumId="26">
    <w:nsid w:val="1E7FF521"/>
    <w:multiLevelType w:val="hybridMultilevel"/>
    <w:lvl w:ilvl="0">
      <w:lvlJc w:val="left"/>
      <w:lvlText w:val="Ÿ"/>
      <w:numFmt w:val="bullet"/>
      <w:start w:val="1"/>
    </w:lvl>
  </w:abstractNum>
  <w:abstractNum w:abstractNumId="27">
    <w:nsid w:val="7C3DBD3D"/>
    <w:multiLevelType w:val="hybridMultilevel"/>
    <w:lvl w:ilvl="0">
      <w:lvlJc w:val="left"/>
      <w:lvlText w:val="Ÿ"/>
      <w:numFmt w:val="bullet"/>
      <w:start w:val="1"/>
    </w:lvl>
  </w:abstractNum>
  <w:abstractNum w:abstractNumId="28">
    <w:nsid w:val="737B8DDC"/>
    <w:multiLevelType w:val="hybridMultilevel"/>
    <w:lvl w:ilvl="0">
      <w:lvlJc w:val="left"/>
      <w:lvlText w:val="Ÿ"/>
      <w:numFmt w:val="bullet"/>
      <w:start w:val="1"/>
    </w:lvl>
  </w:abstractNum>
  <w:abstractNum w:abstractNumId="29">
    <w:nsid w:val="6CEAF087"/>
    <w:multiLevelType w:val="hybridMultilevel"/>
    <w:lvl w:ilvl="0">
      <w:lvlJc w:val="left"/>
      <w:lvlText w:val="(%1)"/>
      <w:numFmt w:val="lowerLetter"/>
      <w:start w:val="1"/>
    </w:lvl>
    <w:lvl w:ilvl="1">
      <w:lvlJc w:val="left"/>
      <w:lvlText w:val="Ÿ"/>
      <w:numFmt w:val="bullet"/>
      <w:start w:val="1"/>
    </w:lvl>
  </w:abstractNum>
  <w:abstractNum w:abstractNumId="30">
    <w:nsid w:val="22221A70"/>
    <w:multiLevelType w:val="hybridMultilevel"/>
    <w:lvl w:ilvl="0">
      <w:lvlJc w:val="left"/>
      <w:lvlText w:val="%1."/>
      <w:numFmt w:val="lowerRoman"/>
      <w:start w:val="2"/>
    </w:lvl>
    <w:lvl w:ilvl="1">
      <w:lvlJc w:val="left"/>
      <w:lvlText w:val="%2."/>
      <w:numFmt w:val="upperLetter"/>
      <w:start w:val="1"/>
    </w:lvl>
  </w:abstractNum>
  <w:abstractNum w:abstractNumId="31">
    <w:nsid w:val="4516DDE9"/>
    <w:multiLevelType w:val="hybridMultilevel"/>
    <w:lvl w:ilvl="0">
      <w:lvlJc w:val="left"/>
      <w:lvlText w:val="%1."/>
      <w:numFmt w:val="lowerRoman"/>
      <w:start w:val="2"/>
    </w:lvl>
    <w:lvl w:ilvl="1">
      <w:lvlJc w:val="left"/>
      <w:lvlText w:val="%2."/>
      <w:numFmt w:val="upp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2019-12-06T02:02:59Z</dcterms:created>
  <dcterms:modified xsi:type="dcterms:W3CDTF">2019-12-06T02:02:59Z</dcterms:modified>
</cp:coreProperties>
</file>