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326390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509" w:lineRule="auto"/>
        <w:tabs>
          <w:tab w:leader="none" w:pos="6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64"/>
        </w:trPr>
        <w:tc>
          <w:tcPr>
            <w:tcW w:w="40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Title of each class</w:t>
            </w:r>
          </w:p>
        </w:tc>
        <w:tc>
          <w:tcPr>
            <w:tcW w:w="3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64"/>
        </w:trPr>
        <w:tc>
          <w:tcPr>
            <w:tcW w:w="4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Common Stock, $0.01 par value</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2019,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9977058. A replay of the call will be available on the Company’s website and by telephone until February 27, 2020. To access a replay telephonically, please dial (855) 859-2056 and use the replay conference ID number 9977058.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5660" w:right="4540" w:hanging="5652"/>
        <w:spacing w:after="0" w:line="778" w:lineRule="auto"/>
        <w:tabs>
          <w:tab w:leader="none" w:pos="109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13, 2020</w:t>
            </w:r>
          </w:p>
        </w:tc>
        <w:tc>
          <w:tcPr>
            <w:tcW w:w="772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5"/>
              </w:rPr>
              <w:t>Senior Vice President, Corporate Development and Chief Legal Officer</w:t>
            </w:r>
          </w:p>
        </w:tc>
      </w:tr>
      <w:tr>
        <w:trPr>
          <w:trHeight w:val="675"/>
        </w:trPr>
        <w:tc>
          <w:tcPr>
            <w:tcW w:w="3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ind w:right="620"/>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00" w:lineRule="exact"/>
        <w:rPr>
          <w:sz w:val="20"/>
          <w:szCs w:val="20"/>
          <w:color w:val="auto"/>
        </w:rPr>
      </w:pPr>
    </w:p>
    <w:p>
      <w:pPr>
        <w:spacing w:after="0" w:line="280" w:lineRule="exact"/>
        <w:rPr>
          <w:sz w:val="20"/>
          <w:szCs w:val="20"/>
          <w:color w:val="auto"/>
        </w:rPr>
      </w:pPr>
    </w:p>
    <w:p>
      <w:pPr>
        <w:jc w:val="center"/>
        <w:ind w:right="1700"/>
        <w:spacing w:after="0" w:line="267" w:lineRule="auto"/>
        <w:rPr>
          <w:sz w:val="20"/>
          <w:szCs w:val="20"/>
          <w:color w:val="auto"/>
        </w:rPr>
      </w:pPr>
      <w:r>
        <w:rPr>
          <w:rFonts w:ascii="Arial" w:cs="Arial" w:eastAsia="Arial" w:hAnsi="Arial"/>
          <w:sz w:val="32"/>
          <w:szCs w:val="32"/>
          <w:color w:val="7AB800"/>
        </w:rPr>
        <w:t>Waste Management Announces Fourth Quarter and Full-Year 2019 Earnings</w:t>
      </w:r>
    </w:p>
    <w:p>
      <w:pPr>
        <w:sectPr>
          <w:pgSz w:w="11900" w:h="16838" w:orient="portrait"/>
          <w:cols w:equalWidth="0" w:num="1">
            <w:col w:w="10560"/>
          </w:cols>
          <w:pgMar w:left="240" w:top="364" w:right="109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57584F"/>
        </w:rPr>
        <w:t>Company Grows Full-Year Net Cash Provided by Operating Activities by 8.5%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57584F"/>
        </w:rPr>
        <w:t>Named to CDP’s ‘A List’ for Leading Effort Toward a Low-Carbon Future</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HOUSTON — Feb. 13, 2020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57584F"/>
        </w:rPr>
        <w:t>Waste Management, Inc. (NYSE: WM) today announced financial results for its quarter</w:t>
      </w:r>
      <w:r>
        <w:rPr>
          <w:rFonts w:ascii="Arial" w:cs="Arial" w:eastAsia="Arial" w:hAnsi="Arial"/>
          <w:sz w:val="16"/>
          <w:szCs w:val="16"/>
          <w:b w:val="1"/>
          <w:bCs w:val="1"/>
          <w:color w:val="auto"/>
        </w:rPr>
        <w:t xml:space="preserve"> </w:t>
      </w:r>
      <w:r>
        <w:rPr>
          <w:rFonts w:ascii="Arial" w:cs="Arial" w:eastAsia="Arial" w:hAnsi="Arial"/>
          <w:sz w:val="16"/>
          <w:szCs w:val="16"/>
          <w:color w:val="57584F"/>
        </w:rPr>
        <w:t>ended December 31, 2019. Revenues for the fourth quarter of 2019 were $3.85 billion, compared with $3.84 billion for the same 2018 period. Net income for the quarter was $447 million, or $1.05 per diluted share, compared with net income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57584F"/>
        </w:rPr>
        <w:t>$531 million, or $1.24 per diluted share, for the fourth quarter of 2018.</w:t>
      </w:r>
      <w:r>
        <w:rPr>
          <w:rFonts w:ascii="Arial" w:cs="Arial" w:eastAsia="Arial" w:hAnsi="Arial"/>
          <w:sz w:val="30"/>
          <w:szCs w:val="30"/>
          <w:color w:val="57584F"/>
          <w:vertAlign w:val="superscript"/>
        </w:rPr>
        <w:t>(a)</w:t>
      </w:r>
      <w:r>
        <w:rPr>
          <w:rFonts w:ascii="Arial" w:cs="Arial" w:eastAsia="Arial" w:hAnsi="Arial"/>
          <w:sz w:val="18"/>
          <w:szCs w:val="18"/>
          <w:color w:val="57584F"/>
        </w:rPr>
        <w:t xml:space="preserve"> On an adjusted basis, earnings per diluted share were $1.19 for the fourth quarter of 2019, compared with $1.13 for the fourth quarter of 2018.</w:t>
      </w:r>
      <w:r>
        <w:rPr>
          <w:rFonts w:ascii="Arial" w:cs="Arial" w:eastAsia="Arial" w:hAnsi="Arial"/>
          <w:sz w:val="30"/>
          <w:szCs w:val="30"/>
          <w:color w:val="57584F"/>
          <w:vertAlign w:val="superscript"/>
        </w:rPr>
        <w:t>(b)</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7584F"/>
        </w:rPr>
        <w:t>The Company’s adjusted fourth quarter 2019 results exclude negative impacts of $0.07 per diluted share for non-cash charges to write off certain assets, $0.05 per diluted share from interest and advisory costs incurred in connection with the pending acquisition of Advanced Disposal Services, Inc., and $0.02 per diluted share from costs incurred to support our plan to implement a new enterprise resource planning system.</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57584F"/>
        </w:rPr>
        <w:t>For the full year 2019, the Company reported revenues of $15.46 billion, compared with $14.91 billion for 2018. Earnings per diluted share were $3.91 for the full year 2019 compared with $4.45 for the full year 2018. On an adjusted basis, earnings per diluted share were $4.40 for the full year 2019 versus $4.20 for the full year 2018.</w:t>
      </w:r>
      <w:r>
        <w:rPr>
          <w:rFonts w:ascii="Arial" w:cs="Arial" w:eastAsia="Arial" w:hAnsi="Arial"/>
          <w:sz w:val="28"/>
          <w:szCs w:val="28"/>
          <w:color w:val="57584F"/>
          <w:vertAlign w:val="superscript"/>
        </w:rPr>
        <w:t>(b)</w:t>
      </w:r>
    </w:p>
    <w:p>
      <w:pPr>
        <w:spacing w:after="0" w:line="2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57584F"/>
        </w:rPr>
        <w:t>“In 2019, we continued our focus on optimizing our traditional solid waste business, developing our people and investing in technology to better serve our customers,” said Jim Fish, President and Chief Executive Officer of Waste Management. “Our strong results demonstrate that we are investing in the right areas. Our collection and disposal business operating EBITDA grew by 8.5% in 2019 and operating EBITDA margin expanded by 70 basis points. This strong operating EBITDA growth translated into an 8.5% increase in net cash provided by operations in 2019.</w:t>
      </w:r>
      <w:r>
        <w:rPr>
          <w:rFonts w:ascii="Arial" w:cs="Arial" w:eastAsia="Arial" w:hAnsi="Arial"/>
          <w:sz w:val="28"/>
          <w:szCs w:val="28"/>
          <w:color w:val="57584F"/>
          <w:vertAlign w:val="superscript"/>
        </w:rPr>
        <w:t>(c)</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57584F"/>
        </w:rPr>
        <w:t>“We also are pleased to have been recognized for the fourth consecutive year on CDP’s ‘A-List’ for leading effort toward a low-carbon future. We have had a longstanding commitment to environmental transparency and are proud of the progress we have achieved on reducing emissions and mitigating climate risk,” Fish said.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THE FULL YEAR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57584F"/>
        </w:rPr>
        <w:t>Profitability</w:t>
      </w:r>
    </w:p>
    <w:p>
      <w:pPr>
        <w:spacing w:after="0" w:line="229" w:lineRule="exact"/>
        <w:rPr>
          <w:sz w:val="20"/>
          <w:szCs w:val="20"/>
          <w:color w:val="auto"/>
        </w:rPr>
      </w:pPr>
    </w:p>
    <w:p>
      <w:pPr>
        <w:jc w:val="both"/>
        <w:ind w:left="340" w:hanging="332"/>
        <w:spacing w:after="0" w:line="261" w:lineRule="auto"/>
        <w:tabs>
          <w:tab w:leader="none" w:pos="344"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Total Company operating EBITDA was $1.05 billion for the fourth quarter of 2019 and $4.28 billion for the full year. Adjusted operating EBITDA was $1.12 billion for the fourth quarter of 2019 and $4.38 billion for the full year. On a year-over-year basis, adjusted operating EBITDA grew $28 million, or 2.6%, in the fourth quarter and $167 million, or 4.0%, for the year. Adjusted operating EBITDA margin improved 70 basis points in the fourth quarter and 10 basis points for the full year.</w:t>
      </w:r>
      <w:r>
        <w:rPr>
          <w:rFonts w:ascii="Arial" w:cs="Arial" w:eastAsia="Arial" w:hAnsi="Arial"/>
          <w:sz w:val="30"/>
          <w:szCs w:val="30"/>
          <w:color w:val="57584F"/>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00693C"/>
        </w:rPr>
        <w:t>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9"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57584F"/>
        </w:rPr>
        <w:t xml:space="preserve">713.265.1656 </w:t>
      </w:r>
      <w:r>
        <w:rPr>
          <w:rFonts w:ascii="Arial" w:cs="Arial" w:eastAsia="Arial" w:hAnsi="Arial"/>
          <w:sz w:val="16"/>
          <w:szCs w:val="16"/>
          <w:u w:val="single" w:color="auto"/>
          <w:color w:val="0000FF"/>
        </w:rPr>
        <w:t>eegl@wm.com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57584F"/>
        </w:rPr>
        <w:t xml:space="preserve">Andy Izquierdo 832.710.5287 </w:t>
      </w:r>
      <w:r>
        <w:rPr>
          <w:rFonts w:ascii="Arial" w:cs="Arial" w:eastAsia="Arial" w:hAnsi="Arial"/>
          <w:sz w:val="16"/>
          <w:szCs w:val="16"/>
          <w:u w:val="single" w:color="auto"/>
          <w:color w:val="0000FF"/>
        </w:rPr>
        <w:t>aizquierdo@wm.com</w:t>
      </w:r>
    </w:p>
    <w:p>
      <w:pPr>
        <w:sectPr>
          <w:pgSz w:w="11900" w:h="16838" w:orient="portrait"/>
          <w:cols w:equalWidth="0" w:num="2">
            <w:col w:w="8860" w:space="160"/>
            <w:col w:w="1540"/>
          </w:cols>
          <w:pgMar w:left="240" w:top="364" w:right="1099" w:bottom="1440" w:gutter="0" w:footer="0" w:header="0"/>
          <w:type w:val="continuous"/>
        </w:sectPr>
      </w:pPr>
    </w:p>
    <w:bookmarkStart w:id="4" w:name="page5"/>
    <w:bookmarkEnd w:id="4"/>
    <w:p>
      <w:pPr>
        <w:jc w:val="both"/>
        <w:ind w:left="332" w:right="1359" w:hanging="332"/>
        <w:spacing w:after="0" w:line="255" w:lineRule="auto"/>
        <w:tabs>
          <w:tab w:leader="none" w:pos="363"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Operating EBITDA in the Company’s collection and disposal business, adjusted on the same basis as total Company operating EBITDA, was $1.33 billion for the fourth quarter of 2019 and $5.13 billion for the full year. On a year-over-year basis, adjusted operating EBITDA in the Company’s collection and disposal business grew $120 million, or 9.9%, in the fourth quarter and $402 million, or 8.5%, for the year. Adjusted operating EBITDA margin in the Company’s collection and disposal business improved 190 basis points in the fourth quarter and 70 basis points for the full year.</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57584F"/>
        </w:rPr>
        <w:t>Revenue Growth</w:t>
      </w:r>
    </w:p>
    <w:p>
      <w:pPr>
        <w:spacing w:after="0" w:line="229" w:lineRule="exact"/>
        <w:rPr>
          <w:sz w:val="20"/>
          <w:szCs w:val="20"/>
          <w:color w:val="auto"/>
        </w:rPr>
      </w:pPr>
    </w:p>
    <w:p>
      <w:pPr>
        <w:jc w:val="both"/>
        <w:ind w:left="332" w:right="1359" w:hanging="332"/>
        <w:spacing w:after="0" w:line="271" w:lineRule="auto"/>
        <w:tabs>
          <w:tab w:leader="none" w:pos="377" w:val="left"/>
        </w:tabs>
        <w:numPr>
          <w:ilvl w:val="0"/>
          <w:numId w:val="5"/>
        </w:numPr>
        <w:rPr>
          <w:rFonts w:ascii="Arial" w:cs="Arial" w:eastAsia="Arial" w:hAnsi="Arial"/>
          <w:sz w:val="17"/>
          <w:szCs w:val="17"/>
          <w:color w:val="57584F"/>
        </w:rPr>
      </w:pPr>
      <w:r>
        <w:rPr>
          <w:rFonts w:ascii="Arial" w:cs="Arial" w:eastAsia="Arial" w:hAnsi="Arial"/>
          <w:sz w:val="17"/>
          <w:szCs w:val="17"/>
          <w:color w:val="57584F"/>
        </w:rPr>
        <w:t>In the fourth quarter of 2019, revenue growth was driven by strong organic growth in the Company’s collection and disposal business, which contributed $88 million of incremental revenue. For the full year, yield and volume growth in the Company’s collection and disposal business contributed $706 million of incremental revenue.</w:t>
      </w:r>
    </w:p>
    <w:p>
      <w:pPr>
        <w:ind w:left="332" w:right="1359" w:hanging="332"/>
        <w:spacing w:after="0" w:line="206" w:lineRule="auto"/>
        <w:tabs>
          <w:tab w:leader="none" w:pos="318"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Core price was 4.3% in the fourth quarter of 2019, compared to 4.4% in the fourth quarter of 2018. For the full year, core price was 4.2% in both 2019 and 2018.</w:t>
      </w:r>
      <w:r>
        <w:rPr>
          <w:rFonts w:ascii="Arial" w:cs="Arial" w:eastAsia="Arial" w:hAnsi="Arial"/>
          <w:sz w:val="30"/>
          <w:szCs w:val="30"/>
          <w:color w:val="57584F"/>
          <w:vertAlign w:val="superscript"/>
        </w:rPr>
        <w:t>(d)</w:t>
      </w:r>
    </w:p>
    <w:p>
      <w:pPr>
        <w:ind w:left="332" w:right="1359" w:hanging="332"/>
        <w:spacing w:after="0" w:line="249" w:lineRule="auto"/>
        <w:tabs>
          <w:tab w:leader="none" w:pos="350"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3.2% in the fourth quarter of 2019 and 2.8% for the full year, compared with 2.3% for both the fourth quarter and the full year of 2018.</w:t>
      </w:r>
    </w:p>
    <w:p>
      <w:pPr>
        <w:jc w:val="both"/>
        <w:ind w:left="332" w:right="1359" w:hanging="332"/>
        <w:spacing w:after="0" w:line="265" w:lineRule="auto"/>
        <w:tabs>
          <w:tab w:leader="none" w:pos="363" w:val="left"/>
        </w:tabs>
        <w:numPr>
          <w:ilvl w:val="0"/>
          <w:numId w:val="5"/>
        </w:numPr>
        <w:rPr>
          <w:rFonts w:ascii="Arial" w:cs="Arial" w:eastAsia="Arial" w:hAnsi="Arial"/>
          <w:sz w:val="17"/>
          <w:szCs w:val="17"/>
          <w:color w:val="57584F"/>
        </w:rPr>
      </w:pPr>
      <w:r>
        <w:rPr>
          <w:rFonts w:ascii="Arial" w:cs="Arial" w:eastAsia="Arial" w:hAnsi="Arial"/>
          <w:sz w:val="17"/>
          <w:szCs w:val="17"/>
          <w:color w:val="57584F"/>
        </w:rPr>
        <w:t>Collection and disposal internal revenue growth from volume was negative 0.6% in the fourth quarter of 2019. Total Company internal revenue growth from volume, which includes recycling and other businesses, was negative 0.4% in the fourth quarter. For the full year 2019, collection and disposal internal revenue growth from volume was 2.6% and total Company internal revenue growth from volume was 2.3%.</w:t>
      </w:r>
    </w:p>
    <w:p>
      <w:pPr>
        <w:jc w:val="both"/>
        <w:ind w:left="332" w:right="1359" w:hanging="332"/>
        <w:spacing w:after="0" w:line="254" w:lineRule="auto"/>
        <w:tabs>
          <w:tab w:leader="none" w:pos="384" w:val="left"/>
        </w:tabs>
        <w:numPr>
          <w:ilvl w:val="0"/>
          <w:numId w:val="5"/>
        </w:numPr>
        <w:rPr>
          <w:rFonts w:ascii="Arial" w:cs="Arial" w:eastAsia="Arial" w:hAnsi="Arial"/>
          <w:sz w:val="18"/>
          <w:szCs w:val="18"/>
          <w:color w:val="57584F"/>
        </w:rPr>
      </w:pPr>
      <w:r>
        <w:rPr>
          <w:rFonts w:ascii="Arial" w:cs="Arial" w:eastAsia="Arial" w:hAnsi="Arial"/>
          <w:sz w:val="18"/>
          <w:szCs w:val="18"/>
          <w:color w:val="57584F"/>
        </w:rPr>
        <w:t>Throughout 2019 strong revenue growth from the collection and disposal business was partially offset by recycling commodity price headwinds. The sharp decline in market prices for recycled commodities led to a $104 million year-over-year decline in revenue from the Company’s recycling line of business in the fourth quarter of 2019 and a $244 million decline for the full year.</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57584F"/>
        </w:rPr>
        <w:t>Commodity-Based Businesses</w:t>
      </w:r>
    </w:p>
    <w:p>
      <w:pPr>
        <w:spacing w:after="0" w:line="229" w:lineRule="exact"/>
        <w:rPr>
          <w:sz w:val="20"/>
          <w:szCs w:val="20"/>
          <w:color w:val="auto"/>
        </w:rPr>
      </w:pPr>
    </w:p>
    <w:p>
      <w:pPr>
        <w:jc w:val="both"/>
        <w:ind w:left="332" w:right="1359" w:hanging="332"/>
        <w:spacing w:after="0" w:line="285" w:lineRule="auto"/>
        <w:tabs>
          <w:tab w:leader="none" w:pos="431" w:val="left"/>
        </w:tabs>
        <w:numPr>
          <w:ilvl w:val="0"/>
          <w:numId w:val="6"/>
        </w:numPr>
        <w:rPr>
          <w:rFonts w:ascii="Arial" w:cs="Arial" w:eastAsia="Arial" w:hAnsi="Arial"/>
          <w:sz w:val="16"/>
          <w:szCs w:val="16"/>
          <w:color w:val="57584F"/>
        </w:rPr>
      </w:pPr>
      <w:r>
        <w:rPr>
          <w:rFonts w:ascii="Arial" w:cs="Arial" w:eastAsia="Arial" w:hAnsi="Arial"/>
          <w:sz w:val="16"/>
          <w:szCs w:val="16"/>
          <w:color w:val="57584F"/>
        </w:rPr>
        <w:t>Operating EBITDA in the Company’s recycling line of business declined $12 million when comparing the fourth quarter of 2019 with the prior year period. For the full year, operating EBITDA in the Company’s recycling line of business was essentially flat when compared to the full year 2018. The Company achieved this outcome in spite of a 35% decline in market prices for recycled commodities during 2019, due to the continued focus on developing a sustainable recycling business model that meets customers’ environmental needs on a fee-for-service basis.</w:t>
      </w:r>
    </w:p>
    <w:p>
      <w:pPr>
        <w:spacing w:after="0" w:line="2" w:lineRule="exact"/>
        <w:rPr>
          <w:rFonts w:ascii="Arial" w:cs="Arial" w:eastAsia="Arial" w:hAnsi="Arial"/>
          <w:sz w:val="16"/>
          <w:szCs w:val="16"/>
          <w:color w:val="57584F"/>
        </w:rPr>
      </w:pPr>
    </w:p>
    <w:p>
      <w:pPr>
        <w:jc w:val="both"/>
        <w:ind w:left="332" w:right="1359" w:hanging="332"/>
        <w:spacing w:after="0" w:line="255" w:lineRule="auto"/>
        <w:tabs>
          <w:tab w:leader="none" w:pos="416" w:val="left"/>
        </w:tabs>
        <w:numPr>
          <w:ilvl w:val="0"/>
          <w:numId w:val="6"/>
        </w:numPr>
        <w:rPr>
          <w:rFonts w:ascii="Arial" w:cs="Arial" w:eastAsia="Arial" w:hAnsi="Arial"/>
          <w:sz w:val="18"/>
          <w:szCs w:val="18"/>
          <w:color w:val="57584F"/>
        </w:rPr>
      </w:pPr>
      <w:r>
        <w:rPr>
          <w:rFonts w:ascii="Arial" w:cs="Arial" w:eastAsia="Arial" w:hAnsi="Arial"/>
          <w:sz w:val="18"/>
          <w:szCs w:val="18"/>
          <w:color w:val="57584F"/>
        </w:rPr>
        <w:t>Operating EBITDA from the sale of renewable natural gas credits declined $12 million from the fourth quarter of 2018 due to lower market values. For the full year 2019, operating EBITDA from the sale of renewable natural gas credits declined $23 million from 2018.</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57584F"/>
        </w:rPr>
        <w:t>Cost Management</w:t>
      </w:r>
    </w:p>
    <w:p>
      <w:pPr>
        <w:spacing w:after="0" w:line="229" w:lineRule="exact"/>
        <w:rPr>
          <w:sz w:val="20"/>
          <w:szCs w:val="20"/>
          <w:color w:val="auto"/>
        </w:rPr>
      </w:pPr>
    </w:p>
    <w:p>
      <w:pPr>
        <w:jc w:val="both"/>
        <w:ind w:left="332" w:right="1359" w:hanging="332"/>
        <w:spacing w:after="0" w:line="237" w:lineRule="auto"/>
        <w:tabs>
          <w:tab w:leader="none" w:pos="336" w:val="left"/>
        </w:tabs>
        <w:numPr>
          <w:ilvl w:val="0"/>
          <w:numId w:val="7"/>
        </w:numPr>
        <w:rPr>
          <w:rFonts w:ascii="Arial" w:cs="Arial" w:eastAsia="Arial" w:hAnsi="Arial"/>
          <w:sz w:val="17"/>
          <w:szCs w:val="17"/>
          <w:color w:val="57584F"/>
        </w:rPr>
      </w:pPr>
      <w:r>
        <w:rPr>
          <w:rFonts w:ascii="Arial" w:cs="Arial" w:eastAsia="Arial" w:hAnsi="Arial"/>
          <w:sz w:val="17"/>
          <w:szCs w:val="17"/>
          <w:color w:val="57584F"/>
        </w:rPr>
        <w:t>As a percentage of revenue, total Company operating expenses were 60.2% in the fourth quarter of 2019 compared to 61.9% in the fourth quarter of 2018. For the full year, as a percentage of revenue, total Company operating expenses were 61.4% in 2019, or 61.3% on an adjusted basis, compared to 62.0% in 2018.</w:t>
      </w:r>
      <w:r>
        <w:rPr>
          <w:rFonts w:ascii="Arial" w:cs="Arial" w:eastAsia="Arial" w:hAnsi="Arial"/>
          <w:sz w:val="28"/>
          <w:szCs w:val="28"/>
          <w:color w:val="57584F"/>
          <w:vertAlign w:val="superscript"/>
        </w:rPr>
        <w:t>(b)</w:t>
      </w:r>
    </w:p>
    <w:p>
      <w:pPr>
        <w:jc w:val="both"/>
        <w:ind w:left="332" w:right="1359" w:hanging="332"/>
        <w:spacing w:after="0" w:line="285" w:lineRule="auto"/>
        <w:tabs>
          <w:tab w:leader="none" w:pos="475" w:val="left"/>
        </w:tabs>
        <w:numPr>
          <w:ilvl w:val="0"/>
          <w:numId w:val="7"/>
        </w:numPr>
        <w:rPr>
          <w:rFonts w:ascii="Arial" w:cs="Arial" w:eastAsia="Arial" w:hAnsi="Arial"/>
          <w:sz w:val="17"/>
          <w:szCs w:val="17"/>
          <w:color w:val="57584F"/>
        </w:rPr>
      </w:pPr>
      <w:r>
        <w:rPr>
          <w:rFonts w:ascii="Arial" w:cs="Arial" w:eastAsia="Arial" w:hAnsi="Arial"/>
          <w:sz w:val="17"/>
          <w:szCs w:val="17"/>
          <w:color w:val="57584F"/>
        </w:rPr>
        <w:t>As a percentage of revenue, SG&amp;A expenses were 11.6% in the fourth quarter of 2019, or 10.7% on an adjusted basis, compared to 9.6% in the fourth quarter of 2018. For the full year, as a percentage of revenue, SG&amp;A expenses were 10.6%, or 10.3% on an adjusted basis, compared to 9.7% for the full year 2018.</w:t>
      </w:r>
      <w:r>
        <w:rPr>
          <w:rFonts w:ascii="Arial" w:cs="Arial" w:eastAsia="Arial" w:hAnsi="Arial"/>
          <w:sz w:val="28"/>
          <w:szCs w:val="28"/>
          <w:color w:val="57584F"/>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8" w:right="1440"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u w:val="single" w:color="auto"/>
          <w:color w:val="57584F"/>
        </w:rPr>
        <w:t>Free Cash Flow &amp; Capital Allocation</w:t>
      </w:r>
    </w:p>
    <w:p>
      <w:pPr>
        <w:spacing w:after="0" w:line="229" w:lineRule="exact"/>
        <w:rPr>
          <w:sz w:val="20"/>
          <w:szCs w:val="20"/>
          <w:color w:val="auto"/>
        </w:rPr>
      </w:pPr>
    </w:p>
    <w:p>
      <w:pPr>
        <w:jc w:val="both"/>
        <w:ind w:left="340" w:right="1359" w:hanging="332"/>
        <w:spacing w:after="0" w:line="256" w:lineRule="auto"/>
        <w:tabs>
          <w:tab w:leader="none" w:pos="438" w:val="left"/>
        </w:tabs>
        <w:numPr>
          <w:ilvl w:val="0"/>
          <w:numId w:val="8"/>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$1.02 billion in the fourth quarter compared to $912 million in the fourth quarter of 2018. For the full year, net cash provided by operating activities was $3.87 billion, compared to $3.57 billion for the full year of 2018.</w:t>
      </w:r>
    </w:p>
    <w:p>
      <w:pPr>
        <w:ind w:left="340" w:right="1359" w:hanging="332"/>
        <w:spacing w:after="0" w:line="281" w:lineRule="auto"/>
        <w:tabs>
          <w:tab w:leader="none" w:pos="366" w:val="left"/>
        </w:tabs>
        <w:numPr>
          <w:ilvl w:val="0"/>
          <w:numId w:val="8"/>
        </w:numPr>
        <w:rPr>
          <w:rFonts w:ascii="Arial" w:cs="Arial" w:eastAsia="Arial" w:hAnsi="Arial"/>
          <w:sz w:val="16"/>
          <w:szCs w:val="16"/>
          <w:color w:val="57584F"/>
        </w:rPr>
      </w:pPr>
      <w:r>
        <w:rPr>
          <w:rFonts w:ascii="Arial" w:cs="Arial" w:eastAsia="Arial" w:hAnsi="Arial"/>
          <w:sz w:val="16"/>
          <w:szCs w:val="16"/>
          <w:color w:val="57584F"/>
        </w:rPr>
        <w:t>Capital expenditures were $286 million in the fourth quarter of 2019, compared to $454 million in the fourth quarter of 2018. For the full year, capital expenditures were $1.82 billion, compared to $1.69 billion for the full year of 2018.</w:t>
      </w:r>
    </w:p>
    <w:p>
      <w:pPr>
        <w:spacing w:after="0" w:line="1" w:lineRule="exact"/>
        <w:rPr>
          <w:rFonts w:ascii="Arial" w:cs="Arial" w:eastAsia="Arial" w:hAnsi="Arial"/>
          <w:sz w:val="16"/>
          <w:szCs w:val="16"/>
          <w:color w:val="57584F"/>
        </w:rPr>
      </w:pPr>
    </w:p>
    <w:p>
      <w:pPr>
        <w:jc w:val="both"/>
        <w:ind w:left="340" w:right="1359" w:hanging="332"/>
        <w:spacing w:after="0" w:line="225" w:lineRule="auto"/>
        <w:tabs>
          <w:tab w:leader="none" w:pos="480" w:val="left"/>
        </w:tabs>
        <w:numPr>
          <w:ilvl w:val="0"/>
          <w:numId w:val="8"/>
        </w:numPr>
        <w:rPr>
          <w:rFonts w:ascii="Arial" w:cs="Arial" w:eastAsia="Arial" w:hAnsi="Arial"/>
          <w:sz w:val="18"/>
          <w:szCs w:val="18"/>
          <w:color w:val="57584F"/>
        </w:rPr>
      </w:pPr>
      <w:r>
        <w:rPr>
          <w:rFonts w:ascii="Arial" w:cs="Arial" w:eastAsia="Arial" w:hAnsi="Arial"/>
          <w:sz w:val="18"/>
          <w:szCs w:val="18"/>
          <w:color w:val="57584F"/>
        </w:rPr>
        <w:t>Free cash flow was $756 million, including $20 million in asset sales, in the fourth quarter of 2019, compared to $560 million, including $102 million in asset sales, in the fourth quarter of 2018. For the full year, free cash flow was $2.11 billion, including $49 million in asset sales, compared to $2.08 billion, including $208 million in asset sales, for the full year of 2018.</w:t>
      </w:r>
      <w:r>
        <w:rPr>
          <w:rFonts w:ascii="Arial" w:cs="Arial" w:eastAsia="Arial" w:hAnsi="Arial"/>
          <w:sz w:val="30"/>
          <w:szCs w:val="30"/>
          <w:color w:val="57584F"/>
          <w:vertAlign w:val="superscript"/>
        </w:rPr>
        <w:t>(b)</w:t>
      </w:r>
    </w:p>
    <w:p>
      <w:pPr>
        <w:jc w:val="both"/>
        <w:ind w:left="340" w:right="1359" w:hanging="332"/>
        <w:spacing w:after="0" w:line="249" w:lineRule="auto"/>
        <w:tabs>
          <w:tab w:leader="none" w:pos="437" w:val="left"/>
        </w:tabs>
        <w:numPr>
          <w:ilvl w:val="0"/>
          <w:numId w:val="8"/>
        </w:numPr>
        <w:rPr>
          <w:rFonts w:ascii="Arial" w:cs="Arial" w:eastAsia="Arial" w:hAnsi="Arial"/>
          <w:sz w:val="18"/>
          <w:szCs w:val="18"/>
          <w:color w:val="57584F"/>
        </w:rPr>
      </w:pPr>
      <w:r>
        <w:rPr>
          <w:rFonts w:ascii="Arial" w:cs="Arial" w:eastAsia="Arial" w:hAnsi="Arial"/>
          <w:sz w:val="18"/>
          <w:szCs w:val="18"/>
          <w:color w:val="57584F"/>
        </w:rPr>
        <w:t>The Company paid $218 million of dividends to shareholders in the fourth quarter of 2019. For the full year, the Company returned $1.12 billion to shareholders comprised of $876 million in dividends and $248 million in share repurchases.</w:t>
      </w:r>
    </w:p>
    <w:p>
      <w:pPr>
        <w:spacing w:after="0" w:line="2" w:lineRule="exact"/>
        <w:rPr>
          <w:rFonts w:ascii="Arial" w:cs="Arial" w:eastAsia="Arial" w:hAnsi="Arial"/>
          <w:sz w:val="18"/>
          <w:szCs w:val="18"/>
          <w:color w:val="57584F"/>
        </w:rPr>
      </w:pPr>
    </w:p>
    <w:p>
      <w:pPr>
        <w:ind w:left="340" w:right="1359" w:hanging="332"/>
        <w:spacing w:after="0" w:line="261" w:lineRule="auto"/>
        <w:tabs>
          <w:tab w:leader="none" w:pos="424" w:val="left"/>
        </w:tabs>
        <w:numPr>
          <w:ilvl w:val="0"/>
          <w:numId w:val="8"/>
        </w:numPr>
        <w:rPr>
          <w:rFonts w:ascii="Arial" w:cs="Arial" w:eastAsia="Arial" w:hAnsi="Arial"/>
          <w:sz w:val="18"/>
          <w:szCs w:val="18"/>
          <w:color w:val="57584F"/>
        </w:rPr>
      </w:pPr>
      <w:r>
        <w:rPr>
          <w:rFonts w:ascii="Arial" w:cs="Arial" w:eastAsia="Arial" w:hAnsi="Arial"/>
          <w:sz w:val="18"/>
          <w:szCs w:val="18"/>
          <w:color w:val="57584F"/>
        </w:rPr>
        <w:t>The Company spent $527 million on acquisitions of solid waste businesses during 2019, $9 million of which was spent in the fourth quarter.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57584F"/>
        </w:rPr>
        <w:t>Income Taxes</w:t>
      </w:r>
    </w:p>
    <w:p>
      <w:pPr>
        <w:spacing w:after="0" w:line="229" w:lineRule="exact"/>
        <w:rPr>
          <w:sz w:val="20"/>
          <w:szCs w:val="20"/>
          <w:color w:val="auto"/>
        </w:rPr>
      </w:pPr>
    </w:p>
    <w:p>
      <w:pPr>
        <w:jc w:val="both"/>
        <w:ind w:left="340" w:right="1359" w:hanging="332"/>
        <w:spacing w:after="0" w:line="341" w:lineRule="auto"/>
        <w:tabs>
          <w:tab w:leader="none" w:pos="411" w:val="left"/>
        </w:tabs>
        <w:numPr>
          <w:ilvl w:val="0"/>
          <w:numId w:val="9"/>
        </w:numPr>
        <w:rPr>
          <w:rFonts w:ascii="Arial" w:cs="Arial" w:eastAsia="Arial" w:hAnsi="Arial"/>
          <w:sz w:val="16"/>
          <w:szCs w:val="16"/>
          <w:color w:val="57584F"/>
        </w:rPr>
      </w:pPr>
      <w:r>
        <w:rPr>
          <w:rFonts w:ascii="Arial" w:cs="Arial" w:eastAsia="Arial" w:hAnsi="Arial"/>
          <w:sz w:val="16"/>
          <w:szCs w:val="16"/>
          <w:color w:val="57584F"/>
        </w:rPr>
        <w:t>The Company’s effective tax rate for the fourth quarter of 2019 was 15.8%. On an adjusted basis, the tax rate was 16.3%. For the full year, the Company’s effective tax rate was 20.6%. On an adjusted basis, the tax rate was 20.2%.</w:t>
      </w:r>
      <w:r>
        <w:rPr>
          <w:rFonts w:ascii="Arial" w:cs="Arial" w:eastAsia="Arial" w:hAnsi="Arial"/>
          <w:sz w:val="26"/>
          <w:szCs w:val="26"/>
          <w:color w:val="57584F"/>
          <w:vertAlign w:val="superscript"/>
        </w:rPr>
        <w:t>(b)</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r>
        <w:rPr>
          <w:rFonts w:ascii="Arial" w:cs="Arial" w:eastAsia="Arial" w:hAnsi="Arial"/>
          <w:sz w:val="30"/>
          <w:szCs w:val="30"/>
          <w:color w:val="57584F"/>
          <w:vertAlign w:val="superscript"/>
        </w:rPr>
        <w: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57584F"/>
        </w:rPr>
        <w:t>Profitability</w:t>
      </w:r>
    </w:p>
    <w:p>
      <w:pPr>
        <w:spacing w:after="0" w:line="23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57584F"/>
        </w:rPr>
      </w:pPr>
      <w:r>
        <w:rPr>
          <w:rFonts w:ascii="Arial" w:cs="Arial" w:eastAsia="Arial" w:hAnsi="Arial"/>
          <w:sz w:val="18"/>
          <w:szCs w:val="18"/>
          <w:color w:val="57584F"/>
        </w:rPr>
        <w:t>Adjusted operating EBITDA is expected to be between $4.56 and $4.66 billion for the full year.</w:t>
      </w:r>
      <w:r>
        <w:rPr>
          <w:rFonts w:ascii="Arial" w:cs="Arial" w:eastAsia="Arial" w:hAnsi="Arial"/>
          <w:sz w:val="30"/>
          <w:szCs w:val="30"/>
          <w:color w:val="57584F"/>
          <w:vertAlign w:val="superscript"/>
        </w:rPr>
        <w:t>(b)</w:t>
      </w:r>
    </w:p>
    <w:p>
      <w:pPr>
        <w:spacing w:after="0" w:line="120" w:lineRule="exact"/>
        <w:rPr>
          <w:rFonts w:ascii="Arial" w:cs="Arial" w:eastAsia="Arial" w:hAnsi="Arial"/>
          <w:sz w:val="18"/>
          <w:szCs w:val="18"/>
          <w:color w:val="57584F"/>
        </w:rPr>
      </w:pPr>
    </w:p>
    <w:p>
      <w:pPr>
        <w:ind w:left="34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Revenue Growth</w:t>
      </w:r>
    </w:p>
    <w:p>
      <w:pPr>
        <w:spacing w:after="0" w:line="229" w:lineRule="exact"/>
        <w:rPr>
          <w:rFonts w:ascii="Arial" w:cs="Arial" w:eastAsia="Arial" w:hAnsi="Arial"/>
          <w:sz w:val="18"/>
          <w:szCs w:val="18"/>
          <w:color w:val="57584F"/>
        </w:rPr>
      </w:pPr>
    </w:p>
    <w:p>
      <w:pPr>
        <w:ind w:left="340" w:right="1359" w:hanging="332"/>
        <w:spacing w:after="0" w:line="258" w:lineRule="auto"/>
        <w:tabs>
          <w:tab w:leader="none" w:pos="421" w:val="left"/>
        </w:tabs>
        <w:numPr>
          <w:ilvl w:val="0"/>
          <w:numId w:val="10"/>
        </w:numPr>
        <w:rPr>
          <w:rFonts w:ascii="Arial" w:cs="Arial" w:eastAsia="Arial" w:hAnsi="Arial"/>
          <w:sz w:val="18"/>
          <w:szCs w:val="18"/>
          <w:color w:val="57584F"/>
        </w:rPr>
      </w:pPr>
      <w:r>
        <w:rPr>
          <w:rFonts w:ascii="Arial" w:cs="Arial" w:eastAsia="Arial" w:hAnsi="Arial"/>
          <w:sz w:val="18"/>
          <w:szCs w:val="18"/>
          <w:color w:val="57584F"/>
        </w:rPr>
        <w:t>Core price is expected to be 4.0% or greater. Internal revenue growth from yield on the collection and disposal business is expected to be about 2.5%.</w:t>
      </w:r>
    </w:p>
    <w:p>
      <w:pPr>
        <w:spacing w:after="0" w:line="1" w:lineRule="exact"/>
        <w:rPr>
          <w:rFonts w:ascii="Arial" w:cs="Arial" w:eastAsia="Arial" w:hAnsi="Arial"/>
          <w:sz w:val="18"/>
          <w:szCs w:val="18"/>
          <w:color w:val="57584F"/>
        </w:rPr>
      </w:pPr>
    </w:p>
    <w:p>
      <w:pPr>
        <w:ind w:left="320" w:hanging="312"/>
        <w:spacing w:after="0"/>
        <w:tabs>
          <w:tab w:leader="none" w:pos="320" w:val="left"/>
        </w:tabs>
        <w:numPr>
          <w:ilvl w:val="0"/>
          <w:numId w:val="10"/>
        </w:numPr>
        <w:rPr>
          <w:rFonts w:ascii="Arial" w:cs="Arial" w:eastAsia="Arial" w:hAnsi="Arial"/>
          <w:sz w:val="18"/>
          <w:szCs w:val="18"/>
          <w:color w:val="57584F"/>
        </w:rPr>
      </w:pPr>
      <w:r>
        <w:rPr>
          <w:rFonts w:ascii="Arial" w:cs="Arial" w:eastAsia="Arial" w:hAnsi="Arial"/>
          <w:sz w:val="18"/>
          <w:szCs w:val="18"/>
          <w:color w:val="57584F"/>
        </w:rPr>
        <w:t>Internal revenue growth from volume is expected to be about 1.5%.</w:t>
      </w:r>
    </w:p>
    <w:p>
      <w:pPr>
        <w:spacing w:after="0" w:line="206" w:lineRule="exact"/>
        <w:rPr>
          <w:rFonts w:ascii="Arial" w:cs="Arial" w:eastAsia="Arial" w:hAnsi="Arial"/>
          <w:sz w:val="18"/>
          <w:szCs w:val="18"/>
          <w:color w:val="57584F"/>
        </w:rPr>
      </w:pPr>
    </w:p>
    <w:p>
      <w:pPr>
        <w:ind w:left="34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229" w:lineRule="exact"/>
        <w:rPr>
          <w:rFonts w:ascii="Arial" w:cs="Arial" w:eastAsia="Arial" w:hAnsi="Arial"/>
          <w:sz w:val="18"/>
          <w:szCs w:val="18"/>
          <w:color w:val="57584F"/>
        </w:rPr>
      </w:pPr>
    </w:p>
    <w:p>
      <w:pPr>
        <w:ind w:left="340" w:right="1359" w:hanging="332"/>
        <w:spacing w:after="0" w:line="212" w:lineRule="auto"/>
        <w:tabs>
          <w:tab w:leader="none" w:pos="334" w:val="left"/>
        </w:tabs>
        <w:numPr>
          <w:ilvl w:val="0"/>
          <w:numId w:val="10"/>
        </w:numPr>
        <w:rPr>
          <w:rFonts w:ascii="Arial" w:cs="Arial" w:eastAsia="Arial" w:hAnsi="Arial"/>
          <w:sz w:val="18"/>
          <w:szCs w:val="18"/>
          <w:color w:val="57584F"/>
        </w:rPr>
      </w:pPr>
      <w:r>
        <w:rPr>
          <w:rFonts w:ascii="Arial" w:cs="Arial" w:eastAsia="Arial" w:hAnsi="Arial"/>
          <w:sz w:val="18"/>
          <w:szCs w:val="18"/>
          <w:color w:val="57584F"/>
        </w:rPr>
        <w:t>Free cash flow is projected to be between $2.15 and $2.25 billion, exclusive of transaction and advisory costs incurred for the acquisition of Advanced Disposal.</w:t>
      </w:r>
      <w:r>
        <w:rPr>
          <w:rFonts w:ascii="Arial" w:cs="Arial" w:eastAsia="Arial" w:hAnsi="Arial"/>
          <w:sz w:val="30"/>
          <w:szCs w:val="30"/>
          <w:color w:val="57584F"/>
          <w:vertAlign w:val="superscript"/>
        </w:rPr>
        <w:t>(b)</w:t>
      </w:r>
    </w:p>
    <w:p>
      <w:pPr>
        <w:spacing w:after="0" w:line="1" w:lineRule="exact"/>
        <w:rPr>
          <w:rFonts w:ascii="Arial" w:cs="Arial" w:eastAsia="Arial" w:hAnsi="Arial"/>
          <w:sz w:val="18"/>
          <w:szCs w:val="18"/>
          <w:color w:val="57584F"/>
        </w:rPr>
      </w:pPr>
    </w:p>
    <w:p>
      <w:pPr>
        <w:ind w:left="320" w:hanging="312"/>
        <w:spacing w:after="0"/>
        <w:tabs>
          <w:tab w:leader="none" w:pos="320" w:val="left"/>
        </w:tabs>
        <w:numPr>
          <w:ilvl w:val="0"/>
          <w:numId w:val="10"/>
        </w:numPr>
        <w:rPr>
          <w:rFonts w:ascii="Arial" w:cs="Arial" w:eastAsia="Arial" w:hAnsi="Arial"/>
          <w:sz w:val="18"/>
          <w:szCs w:val="18"/>
          <w:color w:val="57584F"/>
        </w:rPr>
      </w:pPr>
      <w:r>
        <w:rPr>
          <w:rFonts w:ascii="Arial" w:cs="Arial" w:eastAsia="Arial" w:hAnsi="Arial"/>
          <w:sz w:val="18"/>
          <w:szCs w:val="18"/>
          <w:color w:val="57584F"/>
        </w:rPr>
        <w:t>Capital expenditures are expected to be in the range of $1.7 to $1.8 billion.</w:t>
      </w:r>
    </w:p>
    <w:p>
      <w:pPr>
        <w:spacing w:after="0" w:line="7" w:lineRule="exact"/>
        <w:rPr>
          <w:rFonts w:ascii="Arial" w:cs="Arial" w:eastAsia="Arial" w:hAnsi="Arial"/>
          <w:sz w:val="18"/>
          <w:szCs w:val="18"/>
          <w:color w:val="57584F"/>
        </w:rPr>
      </w:pPr>
    </w:p>
    <w:p>
      <w:pPr>
        <w:ind w:left="360" w:hanging="352"/>
        <w:spacing w:after="0"/>
        <w:tabs>
          <w:tab w:leader="none" w:pos="360" w:val="left"/>
        </w:tabs>
        <w:numPr>
          <w:ilvl w:val="0"/>
          <w:numId w:val="10"/>
        </w:numPr>
        <w:rPr>
          <w:rFonts w:ascii="Arial" w:cs="Arial" w:eastAsia="Arial" w:hAnsi="Arial"/>
          <w:sz w:val="16"/>
          <w:szCs w:val="16"/>
          <w:color w:val="57584F"/>
        </w:rPr>
      </w:pPr>
      <w:r>
        <w:rPr>
          <w:rFonts w:ascii="Arial" w:cs="Arial" w:eastAsia="Arial" w:hAnsi="Arial"/>
          <w:sz w:val="16"/>
          <w:szCs w:val="16"/>
          <w:color w:val="57584F"/>
        </w:rPr>
        <w:t>The Board of Directors has indicated its intention to increase the dividend by $0.13 per share to $2.18 on an annual</w:t>
      </w:r>
    </w:p>
    <w:p>
      <w:pPr>
        <w:spacing w:after="0" w:line="32" w:lineRule="exact"/>
        <w:rPr>
          <w:sz w:val="20"/>
          <w:szCs w:val="20"/>
          <w:color w:val="auto"/>
        </w:rPr>
      </w:pPr>
    </w:p>
    <w:p>
      <w:pPr>
        <w:ind w:left="340" w:right="1359"/>
        <w:spacing w:after="0" w:line="219" w:lineRule="auto"/>
        <w:rPr>
          <w:sz w:val="20"/>
          <w:szCs w:val="20"/>
          <w:color w:val="auto"/>
        </w:rPr>
      </w:pPr>
      <w:r>
        <w:rPr>
          <w:rFonts w:ascii="Arial" w:cs="Arial" w:eastAsia="Arial" w:hAnsi="Arial"/>
          <w:sz w:val="17"/>
          <w:szCs w:val="17"/>
          <w:color w:val="57584F"/>
        </w:rPr>
        <w:t>basis for an approximate annual cost of $920 million. This represents the 17</w:t>
      </w:r>
      <w:r>
        <w:rPr>
          <w:rFonts w:ascii="Arial" w:cs="Arial" w:eastAsia="Arial" w:hAnsi="Arial"/>
          <w:sz w:val="28"/>
          <w:szCs w:val="28"/>
          <w:color w:val="57584F"/>
          <w:vertAlign w:val="superscript"/>
        </w:rPr>
        <w:t>th</w:t>
      </w:r>
      <w:r>
        <w:rPr>
          <w:rFonts w:ascii="Arial" w:cs="Arial" w:eastAsia="Arial" w:hAnsi="Arial"/>
          <w:sz w:val="17"/>
          <w:szCs w:val="17"/>
          <w:color w:val="57584F"/>
        </w:rPr>
        <w:t xml:space="preserve"> consecutive year of increases in the Company’s per share dividend. The Board must separately approve and declare each dividend.</w:t>
      </w:r>
    </w:p>
    <w:p>
      <w:pPr>
        <w:spacing w:after="0" w:line="1" w:lineRule="exact"/>
        <w:rPr>
          <w:sz w:val="20"/>
          <w:szCs w:val="20"/>
          <w:color w:val="auto"/>
        </w:rPr>
      </w:pPr>
    </w:p>
    <w:p>
      <w:pPr>
        <w:jc w:val="both"/>
        <w:ind w:left="340" w:right="1359" w:hanging="332"/>
        <w:spacing w:after="0" w:line="255" w:lineRule="auto"/>
        <w:tabs>
          <w:tab w:leader="none" w:pos="412" w:val="left"/>
        </w:tabs>
        <w:numPr>
          <w:ilvl w:val="0"/>
          <w:numId w:val="11"/>
        </w:numPr>
        <w:rPr>
          <w:rFonts w:ascii="Arial" w:cs="Arial" w:eastAsia="Arial" w:hAnsi="Arial"/>
          <w:sz w:val="18"/>
          <w:szCs w:val="18"/>
          <w:color w:val="57584F"/>
        </w:rPr>
      </w:pPr>
      <w:r>
        <w:rPr>
          <w:rFonts w:ascii="Arial" w:cs="Arial" w:eastAsia="Arial" w:hAnsi="Arial"/>
          <w:sz w:val="18"/>
          <w:szCs w:val="18"/>
          <w:color w:val="57584F"/>
        </w:rPr>
        <w:t>The Company has $1.32 billion remaining on its existing Board of Directors’ authorization to repurchase common stock. Given the strength of the Company’s free cash flow performance in 2019 and outlook for 2020, the Company expects to restart its share repurchase program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6" w:name="page7"/>
    <w:bookmarkEnd w:id="6"/>
    <w:p>
      <w:pPr>
        <w:jc w:val="both"/>
        <w:ind w:right="1359"/>
        <w:spacing w:after="0" w:line="302" w:lineRule="auto"/>
        <w:rPr>
          <w:sz w:val="20"/>
          <w:szCs w:val="20"/>
          <w:color w:val="auto"/>
        </w:rPr>
      </w:pPr>
      <w:r>
        <w:rPr>
          <w:rFonts w:ascii="Arial" w:cs="Arial" w:eastAsia="Arial" w:hAnsi="Arial"/>
          <w:sz w:val="16"/>
          <w:szCs w:val="16"/>
          <w:color w:val="57584F"/>
        </w:rPr>
        <w:t>Fish concluded, “Our hardworking team members made 2019 a successful year, and 2020 is set to be an outstanding year as we drive organic growth in the solid waste business and anticipate closing on the acquisition of Advanced Disposal. We will continue to focus on the long-term growth of our business through investments in our team members, technology, and asset network. We are confident that we are positioned for success in 2020 and beyond.”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57584F"/>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57584F"/>
        </w:rPr>
        <w:t>----------</w:t>
      </w:r>
    </w:p>
    <w:p>
      <w:pPr>
        <w:spacing w:after="0" w:line="9" w:lineRule="exact"/>
        <w:rPr>
          <w:sz w:val="20"/>
          <w:szCs w:val="20"/>
          <w:color w:val="auto"/>
        </w:rPr>
      </w:pPr>
    </w:p>
    <w:p>
      <w:pPr>
        <w:ind w:left="640" w:right="1399" w:hanging="324"/>
        <w:spacing w:after="0" w:line="291" w:lineRule="auto"/>
        <w:tabs>
          <w:tab w:leader="none" w:pos="633" w:val="left"/>
        </w:tabs>
        <w:numPr>
          <w:ilvl w:val="0"/>
          <w:numId w:val="12"/>
        </w:numPr>
        <w:rPr>
          <w:rFonts w:ascii="Arial" w:cs="Arial" w:eastAsia="Arial" w:hAnsi="Arial"/>
          <w:sz w:val="15"/>
          <w:szCs w:val="15"/>
          <w:color w:val="57584F"/>
        </w:rPr>
      </w:pPr>
      <w:r>
        <w:rPr>
          <w:rFonts w:ascii="Arial" w:cs="Arial" w:eastAsia="Arial" w:hAnsi="Arial"/>
          <w:sz w:val="15"/>
          <w:szCs w:val="15"/>
          <w:color w:val="57584F"/>
        </w:rPr>
        <w:t>For purposes of this press release, all references to “Net income” refer to the financial statement line items “Net income attributable to Waste Management, Inc.”</w:t>
      </w:r>
    </w:p>
    <w:p>
      <w:pPr>
        <w:spacing w:after="0" w:line="178" w:lineRule="exact"/>
        <w:rPr>
          <w:rFonts w:ascii="Arial" w:cs="Arial" w:eastAsia="Arial" w:hAnsi="Arial"/>
          <w:sz w:val="15"/>
          <w:szCs w:val="15"/>
          <w:color w:val="57584F"/>
        </w:rPr>
      </w:pPr>
    </w:p>
    <w:p>
      <w:pPr>
        <w:jc w:val="both"/>
        <w:ind w:left="640" w:right="1359" w:hanging="324"/>
        <w:spacing w:after="0" w:line="323" w:lineRule="auto"/>
        <w:tabs>
          <w:tab w:leader="none" w:pos="626" w:val="left"/>
        </w:tabs>
        <w:numPr>
          <w:ilvl w:val="0"/>
          <w:numId w:val="12"/>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adjusted operating EBITDA, adjusted operating EBITDA margin, adjusted operating expenses, adjusted SG&amp;A expenses, adjusted tax rate, and free cash flow are non-GAAP measures. Please see “Non-GAAP Financial Measures” below and the reconciliations in the accompanying schedules for more information.</w:t>
      </w:r>
    </w:p>
    <w:p>
      <w:pPr>
        <w:spacing w:after="0" w:line="160" w:lineRule="exact"/>
        <w:rPr>
          <w:rFonts w:ascii="Arial" w:cs="Arial" w:eastAsia="Arial" w:hAnsi="Arial"/>
          <w:sz w:val="14"/>
          <w:szCs w:val="14"/>
          <w:color w:val="57584F"/>
        </w:rPr>
      </w:pPr>
    </w:p>
    <w:p>
      <w:pPr>
        <w:ind w:left="640" w:right="1559" w:hanging="324"/>
        <w:spacing w:after="0" w:line="305" w:lineRule="auto"/>
        <w:tabs>
          <w:tab w:leader="none" w:pos="633" w:val="left"/>
        </w:tabs>
        <w:numPr>
          <w:ilvl w:val="0"/>
          <w:numId w:val="12"/>
        </w:numPr>
        <w:rPr>
          <w:rFonts w:ascii="Arial" w:cs="Arial" w:eastAsia="Arial" w:hAnsi="Arial"/>
          <w:sz w:val="15"/>
          <w:szCs w:val="15"/>
          <w:color w:val="57584F"/>
        </w:rPr>
      </w:pPr>
      <w:r>
        <w:rPr>
          <w:rFonts w:ascii="Arial" w:cs="Arial" w:eastAsia="Arial" w:hAnsi="Arial"/>
          <w:sz w:val="15"/>
          <w:szCs w:val="15"/>
          <w:color w:val="57584F"/>
        </w:rPr>
        <w:t>Management defines operating EBITDA as GAAP income from operations before depreciation and amortization; this measure may not be comparable to similarly-titled measures reported by other companies.</w:t>
      </w:r>
    </w:p>
    <w:p>
      <w:pPr>
        <w:spacing w:after="0" w:line="169" w:lineRule="exact"/>
        <w:rPr>
          <w:rFonts w:ascii="Arial" w:cs="Arial" w:eastAsia="Arial" w:hAnsi="Arial"/>
          <w:sz w:val="15"/>
          <w:szCs w:val="15"/>
          <w:color w:val="57584F"/>
        </w:rPr>
      </w:pPr>
    </w:p>
    <w:p>
      <w:pPr>
        <w:jc w:val="both"/>
        <w:ind w:left="640" w:right="1359" w:hanging="324"/>
        <w:spacing w:after="0" w:line="308" w:lineRule="auto"/>
        <w:tabs>
          <w:tab w:leader="none" w:pos="663" w:val="left"/>
        </w:tabs>
        <w:numPr>
          <w:ilvl w:val="0"/>
          <w:numId w:val="12"/>
        </w:numPr>
        <w:rPr>
          <w:rFonts w:ascii="Arial" w:cs="Arial" w:eastAsia="Arial" w:hAnsi="Arial"/>
          <w:sz w:val="14"/>
          <w:szCs w:val="14"/>
          <w:color w:val="57584F"/>
        </w:rPr>
      </w:pPr>
      <w:r>
        <w:rPr>
          <w:rFonts w:ascii="Arial" w:cs="Arial" w:eastAsia="Arial" w:hAnsi="Arial"/>
          <w:sz w:val="14"/>
          <w:szCs w:val="14"/>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 Please refer to the press release tables, where the Company has provided two years of quarterly core price data using the new methodology.</w:t>
      </w:r>
    </w:p>
    <w:p>
      <w:pPr>
        <w:spacing w:after="0" w:line="170" w:lineRule="exact"/>
        <w:rPr>
          <w:rFonts w:ascii="Arial" w:cs="Arial" w:eastAsia="Arial" w:hAnsi="Arial"/>
          <w:sz w:val="14"/>
          <w:szCs w:val="14"/>
          <w:color w:val="57584F"/>
        </w:rPr>
      </w:pPr>
    </w:p>
    <w:p>
      <w:pPr>
        <w:ind w:left="620" w:hanging="304"/>
        <w:spacing w:after="0"/>
        <w:tabs>
          <w:tab w:leader="none" w:pos="620" w:val="left"/>
        </w:tabs>
        <w:numPr>
          <w:ilvl w:val="0"/>
          <w:numId w:val="12"/>
        </w:numPr>
        <w:rPr>
          <w:rFonts w:ascii="Arial" w:cs="Arial" w:eastAsia="Arial" w:hAnsi="Arial"/>
          <w:sz w:val="15"/>
          <w:szCs w:val="15"/>
          <w:color w:val="57584F"/>
        </w:rPr>
      </w:pPr>
      <w:r>
        <w:rPr>
          <w:rFonts w:ascii="Arial" w:cs="Arial" w:eastAsia="Arial" w:hAnsi="Arial"/>
          <w:sz w:val="15"/>
          <w:szCs w:val="15"/>
          <w:color w:val="57584F"/>
        </w:rPr>
        <w:t>The Company’s 2020 Outlook does not include the impact of our planned acquisition of Advanced Disposal Services, Inc.</w:t>
      </w:r>
    </w:p>
    <w:p>
      <w:pPr>
        <w:spacing w:after="0" w:line="229" w:lineRule="exact"/>
        <w:rPr>
          <w:sz w:val="20"/>
          <w:szCs w:val="20"/>
          <w:color w:val="auto"/>
        </w:rPr>
      </w:pPr>
    </w:p>
    <w:p>
      <w:pPr>
        <w:jc w:val="both"/>
        <w:ind w:right="1359"/>
        <w:spacing w:after="0" w:line="264" w:lineRule="auto"/>
        <w:rPr>
          <w:sz w:val="20"/>
          <w:szCs w:val="20"/>
          <w:color w:val="auto"/>
        </w:rPr>
      </w:pPr>
      <w:r>
        <w:rPr>
          <w:rFonts w:ascii="Arial" w:cs="Arial" w:eastAsia="Arial" w:hAnsi="Arial"/>
          <w:sz w:val="18"/>
          <w:szCs w:val="18"/>
          <w:color w:val="57584F"/>
        </w:rPr>
        <w:t>The Company will host a conference call at 10:00 AM (Eastern) Feb. 13, 2020 to discuss the fourth quarter and full year 2019 results. Information contained within this press release will be referenced and should be considered in conjunction with the call.</w:t>
      </w:r>
    </w:p>
    <w:p>
      <w:pPr>
        <w:spacing w:after="0" w:line="181" w:lineRule="exact"/>
        <w:rPr>
          <w:sz w:val="20"/>
          <w:szCs w:val="20"/>
          <w:color w:val="auto"/>
        </w:rPr>
      </w:pPr>
    </w:p>
    <w:p>
      <w:pPr>
        <w:jc w:val="both"/>
        <w:ind w:right="1359"/>
        <w:spacing w:after="0" w:line="259" w:lineRule="auto"/>
        <w:rPr>
          <w:sz w:val="20"/>
          <w:szCs w:val="20"/>
          <w:color w:val="auto"/>
        </w:rPr>
      </w:pPr>
      <w:r>
        <w:rPr>
          <w:rFonts w:ascii="Arial" w:cs="Arial" w:eastAsia="Arial" w:hAnsi="Arial"/>
          <w:sz w:val="18"/>
          <w:szCs w:val="18"/>
          <w:color w:val="57584F"/>
        </w:rPr>
        <w:t xml:space="preserve">The conference call will be webcast live from the “Events &amp; Presentations” section of </w:t>
      </w:r>
      <w:r>
        <w:rPr>
          <w:rFonts w:ascii="Arial" w:cs="Arial" w:eastAsia="Arial" w:hAnsi="Arial"/>
          <w:sz w:val="18"/>
          <w:szCs w:val="18"/>
          <w:u w:val="single" w:color="auto"/>
          <w:color w:val="000000"/>
        </w:rPr>
        <w:t>investors.wm.com</w:t>
      </w:r>
      <w:r>
        <w:rPr>
          <w:rFonts w:ascii="Arial" w:cs="Arial" w:eastAsia="Arial" w:hAnsi="Arial"/>
          <w:sz w:val="18"/>
          <w:szCs w:val="18"/>
          <w:color w:val="57584F"/>
        </w:rPr>
        <w:t>. To access the conference call by telephone, please dial (877) 710-6139 approximately 10 minutes prior to the scheduled start of the call. If you are calling from outside of the United States or Canada, please dial (706) 643-7398. Please utilize conference ID number 9977058 when prompted by the conference call operator.</w:t>
      </w:r>
    </w:p>
    <w:p>
      <w:pPr>
        <w:spacing w:after="0" w:line="187" w:lineRule="exact"/>
        <w:rPr>
          <w:sz w:val="20"/>
          <w:szCs w:val="20"/>
          <w:color w:val="auto"/>
        </w:rPr>
      </w:pPr>
    </w:p>
    <w:p>
      <w:pPr>
        <w:jc w:val="both"/>
        <w:ind w:right="1359"/>
        <w:spacing w:after="0" w:line="25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00"/>
        </w:rPr>
        <w:t>investors.wm.com</w:t>
      </w:r>
      <w:r>
        <w:rPr>
          <w:rFonts w:ascii="Arial" w:cs="Arial" w:eastAsia="Arial" w:hAnsi="Arial"/>
          <w:sz w:val="18"/>
          <w:szCs w:val="18"/>
          <w:color w:val="57584F"/>
        </w:rPr>
        <w:t xml:space="preserve"> and by telephone from approximately 1:00 PM (Eastern) Feb. 13, 2020 through 5:00 PM (Eastern) on Feb. 27, 2020. To access the replay telephonically, please dial (855) 859-2056, or from outside of the United States or Canada, dial (404) 537-3406 and use the replay conference ID number 9977058.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27" w:lineRule="exact"/>
        <w:rPr>
          <w:sz w:val="20"/>
          <w:szCs w:val="20"/>
          <w:color w:val="auto"/>
        </w:rPr>
      </w:pPr>
    </w:p>
    <w:p>
      <w:pPr>
        <w:jc w:val="both"/>
        <w:ind w:right="1359"/>
        <w:spacing w:after="0" w:line="252"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000000"/>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00"/>
        </w:rPr>
        <w:t>www.thinkgreen.com</w:t>
      </w:r>
      <w:r>
        <w:rPr>
          <w:rFonts w:ascii="Arial" w:cs="Arial" w:eastAsia="Arial" w:hAnsi="Arial"/>
          <w:sz w:val="18"/>
          <w:szCs w:val="18"/>
          <w:color w:val="5959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424180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90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222222"/>
        </w:rPr>
        <w:t>FORWARD-LOOKING STATEMENTS</w:t>
      </w:r>
    </w:p>
    <w:p>
      <w:pPr>
        <w:spacing w:after="0" w:line="27" w:lineRule="exact"/>
        <w:rPr>
          <w:sz w:val="20"/>
          <w:szCs w:val="20"/>
          <w:color w:val="auto"/>
        </w:rPr>
      </w:pPr>
    </w:p>
    <w:p>
      <w:pPr>
        <w:jc w:val="both"/>
        <w:ind w:right="1359"/>
        <w:spacing w:after="0" w:line="283" w:lineRule="auto"/>
        <w:rPr>
          <w:sz w:val="20"/>
          <w:szCs w:val="20"/>
          <w:color w:val="auto"/>
        </w:rPr>
      </w:pPr>
      <w:r>
        <w:rPr>
          <w:rFonts w:ascii="Arial" w:cs="Arial" w:eastAsia="Arial" w:hAnsi="Arial"/>
          <w:sz w:val="16"/>
          <w:szCs w:val="16"/>
          <w:color w:val="595959"/>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“2020 OUTLOOK” and all statements about future business performance, growth, investments and timing and closing of the Advanced Disposal Services, Inc. acquisition.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including developments related to emerging contaminants and renewable fuel; commodity price fluctuations; international trade restrictions; weakness in economic conditions;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NON-GAAP FINANCIAL MEASURES</w:t>
      </w:r>
    </w:p>
    <w:p>
      <w:pPr>
        <w:spacing w:after="0" w:line="27" w:lineRule="exact"/>
        <w:rPr>
          <w:sz w:val="20"/>
          <w:szCs w:val="20"/>
          <w:color w:val="auto"/>
        </w:rPr>
      </w:pPr>
    </w:p>
    <w:p>
      <w:pPr>
        <w:jc w:val="both"/>
        <w:ind w:right="1359"/>
        <w:spacing w:after="0" w:line="268" w:lineRule="auto"/>
        <w:rPr>
          <w:sz w:val="20"/>
          <w:szCs w:val="20"/>
          <w:color w:val="auto"/>
        </w:rPr>
      </w:pPr>
      <w:r>
        <w:rPr>
          <w:rFonts w:ascii="Arial" w:cs="Arial" w:eastAsia="Arial" w:hAnsi="Arial"/>
          <w:sz w:val="17"/>
          <w:szCs w:val="17"/>
          <w:color w:val="57584F"/>
        </w:rPr>
        <w:t>To supplement its financial information, the Company has presented, and/or may discuss on the conference call, adjusted earnings per diluted share, adjusted net income, adjusted operating EBITDA, adjusted operating EBITDA margin, adjusted operating expenses, adjusted SG&amp;A expenses, adjusted tax rate and free cash flow, as well as projections of adjusted operating EBITDA and free cash flow; these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82" w:lineRule="exact"/>
        <w:rPr>
          <w:sz w:val="20"/>
          <w:szCs w:val="20"/>
          <w:color w:val="auto"/>
        </w:rPr>
      </w:pPr>
    </w:p>
    <w:p>
      <w:pPr>
        <w:jc w:val="both"/>
        <w:ind w:right="1359"/>
        <w:spacing w:after="0" w:line="291" w:lineRule="auto"/>
        <w:rPr>
          <w:sz w:val="20"/>
          <w:szCs w:val="20"/>
          <w:color w:val="auto"/>
        </w:rPr>
      </w:pPr>
      <w:r>
        <w:rPr>
          <w:rFonts w:ascii="Arial" w:cs="Arial" w:eastAsia="Arial" w:hAnsi="Arial"/>
          <w:sz w:val="16"/>
          <w:szCs w:val="16"/>
          <w:color w:val="57584F"/>
        </w:rPr>
        <w:t>The Company’s non-GAAP results and projections exclude the impact of costs incurred in connection with the pending acquisition of Advanced Disposal Services, Inc. In addition, the Company’s projected full year 2020 operating EBITDA is anticipated to exclude the effects of other events or circumstances in 2020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407035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1121" w:right="1440" w:bottom="1440" w:gutter="0" w:footer="0" w:header="0"/>
        </w:sectPr>
      </w:pPr>
    </w:p>
    <w:bookmarkStart w:id="8" w:name="page9"/>
    <w:bookmarkEnd w:id="8"/>
    <w:p>
      <w:pPr>
        <w:jc w:val="both"/>
        <w:ind w:right="1359"/>
        <w:spacing w:after="0" w:line="289" w:lineRule="auto"/>
        <w:rPr>
          <w:sz w:val="20"/>
          <w:szCs w:val="20"/>
          <w:color w:val="auto"/>
        </w:rPr>
      </w:pPr>
      <w:r>
        <w:rPr>
          <w:rFonts w:ascii="Arial" w:cs="Arial" w:eastAsia="Arial" w:hAnsi="Arial"/>
          <w:sz w:val="16"/>
          <w:szCs w:val="16"/>
          <w:color w:val="57584F"/>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67" w:lineRule="exact"/>
        <w:rPr>
          <w:sz w:val="20"/>
          <w:szCs w:val="20"/>
          <w:color w:val="auto"/>
        </w:rPr>
      </w:pPr>
    </w:p>
    <w:p>
      <w:pPr>
        <w:jc w:val="both"/>
        <w:ind w:right="1359"/>
        <w:spacing w:after="0" w:line="264" w:lineRule="auto"/>
        <w:rPr>
          <w:sz w:val="20"/>
          <w:szCs w:val="20"/>
          <w:color w:val="auto"/>
        </w:rPr>
      </w:pPr>
      <w:r>
        <w:rPr>
          <w:rFonts w:ascii="Arial" w:cs="Arial" w:eastAsia="Arial" w:hAnsi="Arial"/>
          <w:sz w:val="18"/>
          <w:szCs w:val="18"/>
          <w:color w:val="57584F"/>
        </w:rPr>
        <w:t>The quantitative reconciliations of non-GAAP measures used herein to the most comparable GAAP measures are included in the accompanying schedules, with the exception of projected operating EBITDA. Non-GAAP measures should not be considered a substitute for financial measures presented in accordance with GAAP.</w:t>
      </w:r>
    </w:p>
    <w:p>
      <w:pPr>
        <w:spacing w:after="0" w:line="181" w:lineRule="exact"/>
        <w:rPr>
          <w:sz w:val="20"/>
          <w:szCs w:val="20"/>
          <w:color w:val="auto"/>
        </w:rPr>
      </w:pPr>
    </w:p>
    <w:p>
      <w:pPr>
        <w:ind w:left="424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461010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908"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3,846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(Gain) loss from divestitures, asset impairments and unusual items, net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3,191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8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84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8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424.5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425.3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424.6</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428.5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-4261485</wp:posOffset>
            </wp:positionV>
            <wp:extent cx="7246620" cy="3961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20" w:type="dxa"/>
            <w:vAlign w:val="bottom"/>
          </w:tcPr>
          <w:p>
            <w:pPr>
              <w:jc w:val="center"/>
              <w:ind w:left="3130"/>
              <w:spacing w:after="0"/>
              <w:rPr>
                <w:sz w:val="20"/>
                <w:szCs w:val="20"/>
                <w:color w:val="auto"/>
              </w:rPr>
            </w:pPr>
            <w:r>
              <w:rPr>
                <w:rFonts w:ascii="Arial" w:cs="Arial" w:eastAsia="Arial" w:hAnsi="Arial"/>
                <w:sz w:val="18"/>
                <w:szCs w:val="18"/>
                <w:b w:val="1"/>
                <w:bCs w:val="1"/>
                <w:color w:val="auto"/>
              </w:rPr>
              <w:t>WASTE MANAGEMENT, INC.</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jc w:val="center"/>
              <w:ind w:left="3130"/>
              <w:spacing w:after="0"/>
              <w:rPr>
                <w:sz w:val="20"/>
                <w:szCs w:val="20"/>
                <w:color w:val="auto"/>
              </w:rPr>
            </w:pPr>
            <w:r>
              <w:rPr>
                <w:rFonts w:ascii="Arial" w:cs="Arial" w:eastAsia="Arial" w:hAnsi="Arial"/>
                <w:sz w:val="18"/>
                <w:szCs w:val="18"/>
                <w:b w:val="1"/>
                <w:bCs w:val="1"/>
                <w:color w:val="auto"/>
                <w:w w:val="95"/>
              </w:rPr>
              <w:t>(In Millions)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(Unaudited)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3,561</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308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2,926</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3756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7560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1,671</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1,923</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30"/>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30"/>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New borrowings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Premiums paid on early extinguishment of debt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commercial paper borrowings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Common stock repurchase program</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(1,004)</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Exercise of common stock options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 and cash equivalents</w:t>
            </w:r>
          </w:p>
        </w:tc>
        <w:tc>
          <w:tcPr>
            <w:tcW w:w="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 and cash equivalents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r>
      <w:tr>
        <w:trPr>
          <w:trHeight w:val="223"/>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8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-4844415</wp:posOffset>
            </wp:positionV>
            <wp:extent cx="7246620" cy="4545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54533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11"/>
          </w:tcPr>
          <w:p>
            <w:pPr>
              <w:jc w:val="center"/>
              <w:ind w:left="3"/>
              <w:spacing w:after="0"/>
              <w:rPr>
                <w:sz w:val="20"/>
                <w:szCs w:val="20"/>
                <w:color w:val="auto"/>
              </w:rPr>
            </w:pPr>
            <w:r>
              <w:rPr>
                <w:rFonts w:ascii="Arial" w:cs="Arial" w:eastAsia="Arial" w:hAnsi="Arial"/>
                <w:sz w:val="18"/>
                <w:szCs w:val="18"/>
                <w:b w:val="1"/>
                <w:bCs w:val="1"/>
                <w:color w:val="auto"/>
              </w:rPr>
              <w:t>WASTE MANAGEMENT, INC.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11"/>
          </w:tcPr>
          <w:p>
            <w:pPr>
              <w:jc w:val="center"/>
              <w:ind w:left="3"/>
              <w:spacing w:after="0"/>
              <w:rPr>
                <w:sz w:val="20"/>
                <w:szCs w:val="20"/>
                <w:color w:val="auto"/>
              </w:rPr>
            </w:pPr>
            <w:r>
              <w:rPr>
                <w:rFonts w:ascii="Arial" w:cs="Arial" w:eastAsia="Arial" w:hAnsi="Arial"/>
                <w:sz w:val="18"/>
                <w:szCs w:val="18"/>
                <w:b w:val="1"/>
                <w:bCs w:val="1"/>
                <w:color w:val="auto"/>
                <w:w w:val="99"/>
              </w:rPr>
              <w:t>SUMMARY DATA SHEET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(In Millions)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b w:val="1"/>
                <w:bCs w:val="1"/>
                <w:color w:val="auto"/>
                <w:w w:val="92"/>
              </w:rPr>
              <w:t>Operating Revenues by Line of Business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13"/>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11"/>
          </w:tcPr>
          <w:p>
            <w:pPr>
              <w:ind w:left="14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11"/>
          </w:tcPr>
          <w:p>
            <w:pPr>
              <w:jc w:val="right"/>
              <w:ind w:right="9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Other collection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10,240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rPr>
              <w:t>3,846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Intercompany (a)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(3,249)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15,455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12"/>
          </w:tcPr>
          <w:p>
            <w:pPr>
              <w:jc w:val="center"/>
              <w:ind w:right="640"/>
              <w:spacing w:after="0"/>
              <w:rPr>
                <w:sz w:val="20"/>
                <w:szCs w:val="20"/>
                <w:color w:val="auto"/>
              </w:rPr>
            </w:pPr>
            <w:r>
              <w:rPr>
                <w:rFonts w:ascii="Arial" w:cs="Arial" w:eastAsia="Arial" w:hAnsi="Arial"/>
                <w:sz w:val="14"/>
                <w:szCs w:val="14"/>
                <w:b w:val="1"/>
                <w:bCs w:val="1"/>
                <w:color w:val="auto"/>
                <w:w w:val="93"/>
              </w:rPr>
              <w:t>Period-to-Period Change for the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12"/>
          </w:tcPr>
          <w:p>
            <w:pPr>
              <w:jc w:val="right"/>
              <w:ind w:right="40"/>
              <w:spacing w:after="0"/>
              <w:rPr>
                <w:sz w:val="20"/>
                <w:szCs w:val="20"/>
                <w:color w:val="auto"/>
              </w:rPr>
            </w:pPr>
            <w:r>
              <w:rPr>
                <w:rFonts w:ascii="Arial" w:cs="Arial" w:eastAsia="Arial" w:hAnsi="Arial"/>
                <w:sz w:val="14"/>
                <w:szCs w:val="14"/>
                <w:b w:val="1"/>
                <w:bCs w:val="1"/>
                <w:color w:val="auto"/>
                <w:w w:val="96"/>
              </w:rPr>
              <w:t>Period-to-Period Change for the</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6"/>
          </w:tcPr>
          <w:p>
            <w:pPr>
              <w:jc w:val="center"/>
              <w:ind w:left="163"/>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December 31, 2019 vs. 2018</w:t>
            </w: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4"/>
                <w:szCs w:val="14"/>
                <w:b w:val="1"/>
                <w:bCs w:val="1"/>
                <w:color w:val="auto"/>
                <w:w w:val="93"/>
              </w:rPr>
              <w:t>December 31, 2019 vs. 2018</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As a %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5"/>
              </w:rPr>
              <w:t>As a %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Related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1"/>
        </w:trPr>
        <w:tc>
          <w:tcPr>
            <w:tcW w:w="3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Company(c)</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CEEFF"/>
            </w:tcBorders>
            <w:gridSpan w:val="2"/>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Company(c)</w:t>
            </w:r>
          </w:p>
        </w:tc>
        <w:tc>
          <w:tcPr>
            <w:tcW w:w="16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Collection and disposal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w:t>
            </w:r>
          </w:p>
        </w:tc>
        <w:tc>
          <w:tcPr>
            <w:tcW w:w="1160" w:type="dxa"/>
            <w:vAlign w:val="bottom"/>
            <w:gridSpan w:val="5"/>
            <w:shd w:val="clear" w:color="auto" w:fill="CCEEFF"/>
          </w:tcPr>
          <w:p>
            <w:pPr>
              <w:jc w:val="right"/>
              <w:ind w:right="39"/>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12"/>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Recycling commodities (d)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(109)</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(33.3)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Fuel surcharges and mandated fees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0.6</w:t>
            </w: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3260" w:type="dxa"/>
            <w:vAlign w:val="bottom"/>
          </w:tcPr>
          <w:p>
            <w:pPr>
              <w:ind w:left="120"/>
              <w:spacing w:after="0"/>
              <w:rPr>
                <w:sz w:val="20"/>
                <w:szCs w:val="20"/>
                <w:color w:val="auto"/>
              </w:rPr>
            </w:pPr>
            <w:r>
              <w:rPr>
                <w:rFonts w:ascii="Arial" w:cs="Arial" w:eastAsia="Arial" w:hAnsi="Arial"/>
                <w:sz w:val="14"/>
                <w:szCs w:val="14"/>
                <w:color w:val="auto"/>
              </w:rPr>
              <w:t>Total average yield (e)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4"/>
                <w:szCs w:val="14"/>
                <w:color w:val="auto"/>
                <w:w w:val="96"/>
              </w:rPr>
              <w:t>(20)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48"/>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Volume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96"/>
              </w:rPr>
              <w:t>(15)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w w:val="90"/>
              </w:rPr>
              <w:t>(0.4)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Pr>
          <w:p>
            <w:pPr>
              <w:ind w:left="120"/>
              <w:spacing w:after="0"/>
              <w:rPr>
                <w:sz w:val="20"/>
                <w:szCs w:val="20"/>
                <w:color w:val="auto"/>
              </w:rPr>
            </w:pPr>
            <w:r>
              <w:rPr>
                <w:rFonts w:ascii="Arial" w:cs="Arial" w:eastAsia="Arial" w:hAnsi="Arial"/>
                <w:sz w:val="14"/>
                <w:szCs w:val="14"/>
                <w:color w:val="auto"/>
              </w:rPr>
              <w:t>Internal revenue growth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4"/>
                <w:szCs w:val="14"/>
                <w:color w:val="auto"/>
                <w:w w:val="96"/>
              </w:rPr>
              <w:t>(35)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168"/>
              <w:spacing w:after="0"/>
              <w:rPr>
                <w:sz w:val="20"/>
                <w:szCs w:val="20"/>
                <w:color w:val="auto"/>
              </w:rPr>
            </w:pPr>
            <w:r>
              <w:rPr>
                <w:rFonts w:ascii="Arial" w:cs="Arial" w:eastAsia="Arial" w:hAnsi="Arial"/>
                <w:sz w:val="14"/>
                <w:szCs w:val="14"/>
                <w:color w:val="auto"/>
                <w:w w:val="90"/>
              </w:rPr>
              <w:t>(0.9)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4"/>
                <w:szCs w:val="14"/>
                <w:color w:val="auto"/>
              </w:rPr>
              <w:t>Divestitures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4"/>
                <w:szCs w:val="14"/>
                <w:color w:val="auto"/>
                <w:w w:val="96"/>
              </w:rPr>
              <w:t>(10)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8"/>
              <w:spacing w:after="0"/>
              <w:rPr>
                <w:sz w:val="20"/>
                <w:szCs w:val="20"/>
                <w:color w:val="auto"/>
              </w:rPr>
            </w:pPr>
            <w:r>
              <w:rPr>
                <w:rFonts w:ascii="Arial" w:cs="Arial" w:eastAsia="Arial" w:hAnsi="Arial"/>
                <w:sz w:val="14"/>
                <w:szCs w:val="14"/>
                <w:color w:val="auto"/>
                <w:w w:val="90"/>
              </w:rPr>
              <w:t>(0.3)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w w:val="91"/>
              </w:rPr>
              <w:t>(104)</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83"/>
        </w:trPr>
        <w:tc>
          <w:tcPr>
            <w:tcW w:w="3260" w:type="dxa"/>
            <w:vAlign w:val="bottom"/>
          </w:tcPr>
          <w:p>
            <w:pPr>
              <w:ind w:left="2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11"/>
          </w:tcPr>
          <w:p>
            <w:pPr>
              <w:jc w:val="center"/>
              <w:ind w:left="68"/>
              <w:spacing w:after="0"/>
              <w:rPr>
                <w:sz w:val="20"/>
                <w:szCs w:val="20"/>
                <w:color w:val="auto"/>
              </w:rPr>
            </w:pPr>
            <w:r>
              <w:rPr>
                <w:rFonts w:ascii="Arial" w:cs="Arial" w:eastAsia="Arial" w:hAnsi="Arial"/>
                <w:sz w:val="14"/>
                <w:szCs w:val="14"/>
                <w:b w:val="1"/>
                <w:bCs w:val="1"/>
                <w:color w:val="auto"/>
                <w:w w:val="93"/>
              </w:rPr>
              <w:t>Period-to-Period Change for the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13"/>
          </w:tcPr>
          <w:p>
            <w:pPr>
              <w:ind w:left="220"/>
              <w:spacing w:after="0"/>
              <w:rPr>
                <w:sz w:val="20"/>
                <w:szCs w:val="20"/>
                <w:color w:val="auto"/>
              </w:rPr>
            </w:pPr>
            <w:r>
              <w:rPr>
                <w:rFonts w:ascii="Arial" w:cs="Arial" w:eastAsia="Arial" w:hAnsi="Arial"/>
                <w:sz w:val="14"/>
                <w:szCs w:val="14"/>
                <w:b w:val="1"/>
                <w:bCs w:val="1"/>
                <w:color w:val="auto"/>
              </w:rPr>
              <w:t>Period-to-Period Change for the</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gridSpan w:val="18"/>
          </w:tcPr>
          <w:p>
            <w:pPr>
              <w:jc w:val="center"/>
              <w:ind w:right="360"/>
              <w:spacing w:after="0"/>
              <w:rPr>
                <w:sz w:val="20"/>
                <w:szCs w:val="20"/>
                <w:color w:val="auto"/>
              </w:rPr>
            </w:pPr>
            <w:r>
              <w:rPr>
                <w:rFonts w:ascii="Arial" w:cs="Arial" w:eastAsia="Arial" w:hAnsi="Arial"/>
                <w:sz w:val="14"/>
                <w:szCs w:val="14"/>
                <w:b w:val="1"/>
                <w:bCs w:val="1"/>
                <w:color w:val="auto"/>
                <w:w w:val="92"/>
              </w:rPr>
              <w:t>Three Months Ended December 31, 2019 vs. 2018</w:t>
            </w:r>
          </w:p>
        </w:tc>
        <w:tc>
          <w:tcPr>
            <w:tcW w:w="140" w:type="dxa"/>
            <w:vAlign w:val="bottom"/>
          </w:tcPr>
          <w:p>
            <w:pPr>
              <w:spacing w:after="0"/>
              <w:rPr>
                <w:sz w:val="14"/>
                <w:szCs w:val="14"/>
                <w:color w:val="auto"/>
              </w:rPr>
            </w:pPr>
          </w:p>
        </w:tc>
        <w:tc>
          <w:tcPr>
            <w:tcW w:w="2800" w:type="dxa"/>
            <w:vAlign w:val="bottom"/>
            <w:gridSpan w:val="13"/>
          </w:tcPr>
          <w:p>
            <w:pPr>
              <w:ind w:left="20"/>
              <w:spacing w:after="0"/>
              <w:rPr>
                <w:sz w:val="20"/>
                <w:szCs w:val="20"/>
                <w:color w:val="auto"/>
              </w:rPr>
            </w:pPr>
            <w:r>
              <w:rPr>
                <w:rFonts w:ascii="Arial" w:cs="Arial" w:eastAsia="Arial" w:hAnsi="Arial"/>
                <w:sz w:val="14"/>
                <w:szCs w:val="14"/>
                <w:b w:val="1"/>
                <w:bCs w:val="1"/>
                <w:color w:val="auto"/>
              </w:rPr>
              <w:t>Year Ended December 31, 2019 vs. 2018</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10"/>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11"/>
          </w:tcPr>
          <w:p>
            <w:pPr>
              <w:ind w:left="300"/>
              <w:spacing w:after="0" w:line="142" w:lineRule="exact"/>
              <w:rPr>
                <w:sz w:val="20"/>
                <w:szCs w:val="20"/>
                <w:color w:val="auto"/>
              </w:rPr>
            </w:pPr>
            <w:r>
              <w:rPr>
                <w:rFonts w:ascii="Arial" w:cs="Arial" w:eastAsia="Arial" w:hAnsi="Arial"/>
                <w:sz w:val="14"/>
                <w:szCs w:val="14"/>
                <w:b w:val="1"/>
                <w:bCs w:val="1"/>
                <w:color w:val="auto"/>
              </w:rPr>
              <w:t>As a % of Related Business(b)</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
              <w:spacing w:after="0" w:line="155" w:lineRule="exact"/>
              <w:rPr>
                <w:sz w:val="20"/>
                <w:szCs w:val="20"/>
                <w:color w:val="auto"/>
              </w:rPr>
            </w:pPr>
            <w:r>
              <w:rPr>
                <w:rFonts w:ascii="Arial" w:cs="Arial" w:eastAsia="Arial" w:hAnsi="Arial"/>
                <w:sz w:val="14"/>
                <w:szCs w:val="14"/>
                <w:b w:val="1"/>
                <w:bCs w:val="1"/>
                <w:color w:val="auto"/>
              </w:rPr>
              <w:t>Yield</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373"/>
              <w:spacing w:after="0" w:line="155" w:lineRule="exact"/>
              <w:rPr>
                <w:sz w:val="20"/>
                <w:szCs w:val="20"/>
                <w:color w:val="auto"/>
              </w:rPr>
            </w:pPr>
            <w:r>
              <w:rPr>
                <w:rFonts w:ascii="Arial" w:cs="Arial" w:eastAsia="Arial" w:hAnsi="Arial"/>
                <w:sz w:val="14"/>
                <w:szCs w:val="14"/>
                <w:b w:val="1"/>
                <w:bCs w:val="1"/>
                <w:color w:val="auto"/>
                <w:w w:val="86"/>
              </w:rPr>
              <w:t>Volume</w:t>
            </w:r>
          </w:p>
        </w:tc>
        <w:tc>
          <w:tcPr>
            <w:tcW w:w="360" w:type="dxa"/>
            <w:vAlign w:val="bottom"/>
            <w:tcBorders>
              <w:bottom w:val="single" w:sz="8" w:color="CCEEFF"/>
            </w:tcBorders>
            <w:gridSpan w:val="3"/>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Yield</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w w:val="90"/>
              </w:rPr>
              <w:t>Volume</w:t>
            </w:r>
          </w:p>
        </w:tc>
        <w:tc>
          <w:tcPr>
            <w:tcW w:w="16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Transfer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collection and disposal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-6156960</wp:posOffset>
            </wp:positionV>
            <wp:extent cx="7246620" cy="2006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066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-3721100</wp:posOffset>
            </wp:positionV>
            <wp:extent cx="7246620" cy="386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86778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10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4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net impact of commodity price variability and changes in fees.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gridSpan w:val="7"/>
          </w:tcPr>
          <w:p>
            <w:pPr>
              <w:jc w:val="center"/>
              <w:ind w:left="433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980" w:type="dxa"/>
            <w:vAlign w:val="bottom"/>
            <w:gridSpan w:val="7"/>
          </w:tcPr>
          <w:p>
            <w:pPr>
              <w:jc w:val="center"/>
              <w:ind w:left="4330"/>
              <w:spacing w:after="0"/>
              <w:rPr>
                <w:sz w:val="20"/>
                <w:szCs w:val="20"/>
                <w:color w:val="auto"/>
              </w:rPr>
            </w:pPr>
            <w:r>
              <w:rPr>
                <w:rFonts w:ascii="Arial" w:cs="Arial" w:eastAsia="Arial" w:hAnsi="Arial"/>
                <w:sz w:val="18"/>
                <w:szCs w:val="18"/>
                <w:b w:val="1"/>
                <w:bCs w:val="1"/>
                <w:color w:val="auto"/>
                <w:w w:val="99"/>
              </w:rPr>
              <w:t>SUMMARY DATA SHEET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5"/>
              </w:rPr>
              <w:t>(In Millions)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78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Free Cash Flow (a)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7"/>
              </w:rPr>
              <w:t>Years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(1,818)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Proceeds from divestitures of businesses and other assets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divested)</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rPr>
              <w:t>Years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consideration for current year acquisitions, net of cash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Cash paid for acquisitions consummated during the period,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Cash paid for acquisitions including contingent consideration and other</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items from prior periods, net of cash 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7"/>
              </w:rPr>
              <w:t>Years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6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Total landfill amortization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Landfill amortization, accretion and other related expense</w:t>
            </w:r>
          </w:p>
        </w:tc>
        <w:tc>
          <w:tcPr>
            <w:tcW w:w="4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-5582285</wp:posOffset>
            </wp:positionV>
            <wp:extent cx="7246620" cy="556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65775"/>
                    </a:xfrm>
                    <a:prstGeom prst="rect">
                      <a:avLst/>
                    </a:prstGeom>
                    <a:noFill/>
                  </pic:spPr>
                </pic:pic>
              </a:graphicData>
            </a:graphic>
          </wp:anchor>
        </w:drawing>
      </w:r>
    </w:p>
    <w:p>
      <w:pPr>
        <w:spacing w:after="0" w:line="182" w:lineRule="exact"/>
        <w:rPr>
          <w:sz w:val="20"/>
          <w:szCs w:val="20"/>
          <w:color w:val="auto"/>
        </w:rPr>
      </w:pPr>
    </w:p>
    <w:p>
      <w:pPr>
        <w:jc w:val="both"/>
        <w:ind w:left="340" w:hanging="332"/>
        <w:spacing w:after="0" w:line="256"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4" w:name="page15"/>
    <w:bookmarkEnd w:id="14"/>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Core Price </w:t>
      </w:r>
      <w:r>
        <w:rPr>
          <w:rFonts w:ascii="Arial" w:cs="Arial" w:eastAsia="Arial" w:hAnsi="Arial"/>
          <w:sz w:val="18"/>
          <w:szCs w:val="18"/>
          <w:b w:val="1"/>
          <w:bCs w:val="1"/>
          <w:i w:val="1"/>
          <w:iCs w:val="1"/>
          <w:color w:val="auto"/>
        </w:rPr>
        <w:t>(a)</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2019</w:t>
            </w:r>
          </w:p>
        </w:tc>
        <w:tc>
          <w:tcPr>
            <w:tcW w:w="1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5"/>
        </w:trPr>
        <w:tc>
          <w:tcPr>
            <w:tcW w:w="3960" w:type="dxa"/>
            <w:vAlign w:val="bottom"/>
          </w:tcPr>
          <w:p>
            <w:pPr>
              <w:spacing w:after="0"/>
              <w:rPr>
                <w:sz w:val="16"/>
                <w:szCs w:val="16"/>
                <w:color w:val="auto"/>
              </w:rPr>
            </w:pPr>
          </w:p>
        </w:tc>
        <w:tc>
          <w:tcPr>
            <w:tcW w:w="880" w:type="dxa"/>
            <w:vAlign w:val="bottom"/>
          </w:tcPr>
          <w:p>
            <w:pPr>
              <w:ind w:left="540"/>
              <w:spacing w:after="0" w:line="195" w:lineRule="exact"/>
              <w:rPr>
                <w:sz w:val="20"/>
                <w:szCs w:val="20"/>
                <w:color w:val="auto"/>
              </w:rPr>
            </w:pPr>
            <w:r>
              <w:rPr>
                <w:rFonts w:ascii="Arial" w:cs="Arial" w:eastAsia="Arial" w:hAnsi="Arial"/>
                <w:sz w:val="18"/>
                <w:szCs w:val="18"/>
                <w:b w:val="1"/>
                <w:bCs w:val="1"/>
                <w:color w:val="auto"/>
              </w:rPr>
              <w:t>Q1</w:t>
            </w:r>
          </w:p>
        </w:tc>
        <w:tc>
          <w:tcPr>
            <w:tcW w:w="840" w:type="dxa"/>
            <w:vAlign w:val="bottom"/>
          </w:tcPr>
          <w:p>
            <w:pPr>
              <w:spacing w:after="0"/>
              <w:rPr>
                <w:sz w:val="16"/>
                <w:szCs w:val="16"/>
                <w:color w:val="auto"/>
              </w:rPr>
            </w:pPr>
          </w:p>
        </w:tc>
        <w:tc>
          <w:tcPr>
            <w:tcW w:w="1460" w:type="dxa"/>
            <w:vAlign w:val="bottom"/>
          </w:tcPr>
          <w:p>
            <w:pPr>
              <w:ind w:left="340"/>
              <w:spacing w:after="0" w:line="195" w:lineRule="exact"/>
              <w:rPr>
                <w:sz w:val="20"/>
                <w:szCs w:val="20"/>
                <w:color w:val="auto"/>
              </w:rPr>
            </w:pPr>
            <w:r>
              <w:rPr>
                <w:rFonts w:ascii="Arial" w:cs="Arial" w:eastAsia="Arial" w:hAnsi="Arial"/>
                <w:sz w:val="18"/>
                <w:szCs w:val="18"/>
                <w:b w:val="1"/>
                <w:bCs w:val="1"/>
                <w:color w:val="auto"/>
              </w:rPr>
              <w:t>Q2</w:t>
            </w:r>
          </w:p>
        </w:tc>
        <w:tc>
          <w:tcPr>
            <w:tcW w:w="156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Q3</w:t>
            </w:r>
          </w:p>
        </w:tc>
        <w:tc>
          <w:tcPr>
            <w:tcW w:w="1400" w:type="dxa"/>
            <w:vAlign w:val="bottom"/>
          </w:tcPr>
          <w:p>
            <w:pPr>
              <w:ind w:left="340"/>
              <w:spacing w:after="0" w:line="195" w:lineRule="exact"/>
              <w:rPr>
                <w:sz w:val="20"/>
                <w:szCs w:val="20"/>
                <w:color w:val="auto"/>
              </w:rPr>
            </w:pPr>
            <w:r>
              <w:rPr>
                <w:rFonts w:ascii="Arial" w:cs="Arial" w:eastAsia="Arial" w:hAnsi="Arial"/>
                <w:sz w:val="18"/>
                <w:szCs w:val="18"/>
                <w:b w:val="1"/>
                <w:bCs w:val="1"/>
                <w:color w:val="auto"/>
              </w:rPr>
              <w:t>Q4</w:t>
            </w:r>
          </w:p>
        </w:tc>
        <w:tc>
          <w:tcPr>
            <w:tcW w:w="1140" w:type="dxa"/>
            <w:vAlign w:val="bottom"/>
          </w:tcPr>
          <w:p>
            <w:pPr>
              <w:ind w:left="220"/>
              <w:spacing w:after="0" w:line="195" w:lineRule="exact"/>
              <w:rPr>
                <w:sz w:val="20"/>
                <w:szCs w:val="20"/>
                <w:color w:val="auto"/>
              </w:rPr>
            </w:pPr>
            <w:r>
              <w:rPr>
                <w:rFonts w:ascii="Arial" w:cs="Arial" w:eastAsia="Arial" w:hAnsi="Arial"/>
                <w:sz w:val="18"/>
                <w:szCs w:val="18"/>
                <w:b w:val="1"/>
                <w:bCs w:val="1"/>
                <w:color w:val="auto"/>
              </w:rPr>
              <w:t>Full Year</w:t>
            </w:r>
          </w:p>
        </w:tc>
        <w:tc>
          <w:tcPr>
            <w:tcW w:w="180" w:type="dxa"/>
            <w:vAlign w:val="bottom"/>
          </w:tcPr>
          <w:p>
            <w:pPr>
              <w:spacing w:after="0"/>
              <w:rPr>
                <w:sz w:val="16"/>
                <w:szCs w:val="16"/>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840" w:type="dxa"/>
            <w:vAlign w:val="bottom"/>
          </w:tcPr>
          <w:p>
            <w:pPr>
              <w:ind w:left="100"/>
              <w:spacing w:after="0"/>
              <w:rPr>
                <w:sz w:val="20"/>
                <w:szCs w:val="20"/>
                <w:color w:val="auto"/>
              </w:rPr>
            </w:pPr>
            <w:r>
              <w:rPr>
                <w:rFonts w:ascii="Arial" w:cs="Arial" w:eastAsia="Arial" w:hAnsi="Arial"/>
                <w:sz w:val="18"/>
                <w:szCs w:val="18"/>
                <w:color w:val="auto"/>
              </w:rPr>
              <w:t>5.3%</w:t>
            </w:r>
          </w:p>
        </w:tc>
        <w:tc>
          <w:tcPr>
            <w:tcW w:w="1460" w:type="dxa"/>
            <w:vAlign w:val="bottom"/>
          </w:tcPr>
          <w:p>
            <w:pPr>
              <w:ind w:left="780"/>
              <w:spacing w:after="0"/>
              <w:rPr>
                <w:sz w:val="20"/>
                <w:szCs w:val="20"/>
                <w:color w:val="auto"/>
              </w:rPr>
            </w:pPr>
            <w:r>
              <w:rPr>
                <w:rFonts w:ascii="Arial" w:cs="Arial" w:eastAsia="Arial" w:hAnsi="Arial"/>
                <w:sz w:val="18"/>
                <w:szCs w:val="18"/>
                <w:color w:val="auto"/>
              </w:rPr>
              <w:t>5.3%</w:t>
            </w:r>
          </w:p>
        </w:tc>
        <w:tc>
          <w:tcPr>
            <w:tcW w:w="1560" w:type="dxa"/>
            <w:vAlign w:val="bottom"/>
          </w:tcPr>
          <w:p>
            <w:pPr>
              <w:ind w:left="820"/>
              <w:spacing w:after="0"/>
              <w:rPr>
                <w:sz w:val="20"/>
                <w:szCs w:val="20"/>
                <w:color w:val="auto"/>
              </w:rPr>
            </w:pPr>
            <w:r>
              <w:rPr>
                <w:rFonts w:ascii="Arial" w:cs="Arial" w:eastAsia="Arial" w:hAnsi="Arial"/>
                <w:sz w:val="18"/>
                <w:szCs w:val="18"/>
                <w:color w:val="auto"/>
              </w:rPr>
              <w:t>5.1%</w:t>
            </w:r>
          </w:p>
        </w:tc>
        <w:tc>
          <w:tcPr>
            <w:tcW w:w="1400" w:type="dxa"/>
            <w:vAlign w:val="bottom"/>
          </w:tcPr>
          <w:p>
            <w:pPr>
              <w:ind w:left="78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5.4%</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840" w:type="dxa"/>
            <w:vAlign w:val="bottom"/>
          </w:tcPr>
          <w:p>
            <w:pPr>
              <w:ind w:left="100"/>
              <w:spacing w:after="0"/>
              <w:rPr>
                <w:sz w:val="20"/>
                <w:szCs w:val="20"/>
                <w:color w:val="auto"/>
              </w:rPr>
            </w:pPr>
            <w:r>
              <w:rPr>
                <w:rFonts w:ascii="Arial" w:cs="Arial" w:eastAsia="Arial" w:hAnsi="Arial"/>
                <w:sz w:val="18"/>
                <w:szCs w:val="18"/>
                <w:color w:val="auto"/>
              </w:rPr>
              <w:t>4.4%</w:t>
            </w:r>
          </w:p>
        </w:tc>
        <w:tc>
          <w:tcPr>
            <w:tcW w:w="1460" w:type="dxa"/>
            <w:vAlign w:val="bottom"/>
          </w:tcPr>
          <w:p>
            <w:pPr>
              <w:ind w:left="780"/>
              <w:spacing w:after="0"/>
              <w:rPr>
                <w:sz w:val="20"/>
                <w:szCs w:val="20"/>
                <w:color w:val="auto"/>
              </w:rPr>
            </w:pPr>
            <w:r>
              <w:rPr>
                <w:rFonts w:ascii="Arial" w:cs="Arial" w:eastAsia="Arial" w:hAnsi="Arial"/>
                <w:sz w:val="18"/>
                <w:szCs w:val="18"/>
                <w:color w:val="auto"/>
              </w:rPr>
              <w:t>4.3%</w:t>
            </w:r>
          </w:p>
        </w:tc>
        <w:tc>
          <w:tcPr>
            <w:tcW w:w="1560" w:type="dxa"/>
            <w:vAlign w:val="bottom"/>
          </w:tcPr>
          <w:p>
            <w:pPr>
              <w:ind w:left="820"/>
              <w:spacing w:after="0"/>
              <w:rPr>
                <w:sz w:val="20"/>
                <w:szCs w:val="20"/>
                <w:color w:val="auto"/>
              </w:rPr>
            </w:pPr>
            <w:r>
              <w:rPr>
                <w:rFonts w:ascii="Arial" w:cs="Arial" w:eastAsia="Arial" w:hAnsi="Arial"/>
                <w:sz w:val="18"/>
                <w:szCs w:val="18"/>
                <w:color w:val="auto"/>
              </w:rPr>
              <w:t>4.1%</w:t>
            </w:r>
          </w:p>
        </w:tc>
        <w:tc>
          <w:tcPr>
            <w:tcW w:w="1400" w:type="dxa"/>
            <w:vAlign w:val="bottom"/>
          </w:tcPr>
          <w:p>
            <w:pPr>
              <w:ind w:left="78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4.2%</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840" w:type="dxa"/>
            <w:vAlign w:val="bottom"/>
          </w:tcPr>
          <w:p>
            <w:pPr>
              <w:ind w:left="100"/>
              <w:spacing w:after="0"/>
              <w:rPr>
                <w:sz w:val="20"/>
                <w:szCs w:val="20"/>
                <w:color w:val="auto"/>
              </w:rPr>
            </w:pPr>
            <w:r>
              <w:rPr>
                <w:rFonts w:ascii="Arial" w:cs="Arial" w:eastAsia="Arial" w:hAnsi="Arial"/>
                <w:sz w:val="18"/>
                <w:szCs w:val="18"/>
                <w:color w:val="auto"/>
              </w:rPr>
              <w:t>6.1%</w:t>
            </w:r>
          </w:p>
        </w:tc>
        <w:tc>
          <w:tcPr>
            <w:tcW w:w="1460" w:type="dxa"/>
            <w:vAlign w:val="bottom"/>
          </w:tcPr>
          <w:p>
            <w:pPr>
              <w:ind w:left="780"/>
              <w:spacing w:after="0"/>
              <w:rPr>
                <w:sz w:val="20"/>
                <w:szCs w:val="20"/>
                <w:color w:val="auto"/>
              </w:rPr>
            </w:pPr>
            <w:r>
              <w:rPr>
                <w:rFonts w:ascii="Arial" w:cs="Arial" w:eastAsia="Arial" w:hAnsi="Arial"/>
                <w:sz w:val="18"/>
                <w:szCs w:val="18"/>
                <w:color w:val="auto"/>
              </w:rPr>
              <w:t>5.0%</w:t>
            </w:r>
          </w:p>
        </w:tc>
        <w:tc>
          <w:tcPr>
            <w:tcW w:w="1560" w:type="dxa"/>
            <w:vAlign w:val="bottom"/>
          </w:tcPr>
          <w:p>
            <w:pPr>
              <w:ind w:left="820"/>
              <w:spacing w:after="0"/>
              <w:rPr>
                <w:sz w:val="20"/>
                <w:szCs w:val="20"/>
                <w:color w:val="auto"/>
              </w:rPr>
            </w:pPr>
            <w:r>
              <w:rPr>
                <w:rFonts w:ascii="Arial" w:cs="Arial" w:eastAsia="Arial" w:hAnsi="Arial"/>
                <w:sz w:val="18"/>
                <w:szCs w:val="18"/>
                <w:color w:val="auto"/>
              </w:rPr>
              <w:t>4.9%</w:t>
            </w:r>
          </w:p>
        </w:tc>
        <w:tc>
          <w:tcPr>
            <w:tcW w:w="1400" w:type="dxa"/>
            <w:vAlign w:val="bottom"/>
          </w:tcPr>
          <w:p>
            <w:pPr>
              <w:ind w:left="78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5.1%</w:t>
            </w:r>
          </w:p>
        </w:tc>
      </w:tr>
      <w:tr>
        <w:trPr>
          <w:trHeight w:val="212"/>
        </w:trPr>
        <w:tc>
          <w:tcPr>
            <w:tcW w:w="484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840" w:type="dxa"/>
            <w:vAlign w:val="bottom"/>
          </w:tcPr>
          <w:p>
            <w:pPr>
              <w:ind w:left="100"/>
              <w:spacing w:after="0"/>
              <w:rPr>
                <w:sz w:val="20"/>
                <w:szCs w:val="20"/>
                <w:color w:val="auto"/>
              </w:rPr>
            </w:pPr>
            <w:r>
              <w:rPr>
                <w:rFonts w:ascii="Arial" w:cs="Arial" w:eastAsia="Arial" w:hAnsi="Arial"/>
                <w:sz w:val="18"/>
                <w:szCs w:val="18"/>
                <w:color w:val="auto"/>
              </w:rPr>
              <w:t>4.3%</w:t>
            </w:r>
          </w:p>
        </w:tc>
        <w:tc>
          <w:tcPr>
            <w:tcW w:w="1460" w:type="dxa"/>
            <w:vAlign w:val="bottom"/>
          </w:tcPr>
          <w:p>
            <w:pPr>
              <w:ind w:left="780"/>
              <w:spacing w:after="0"/>
              <w:rPr>
                <w:sz w:val="20"/>
                <w:szCs w:val="20"/>
                <w:color w:val="auto"/>
              </w:rPr>
            </w:pPr>
            <w:r>
              <w:rPr>
                <w:rFonts w:ascii="Arial" w:cs="Arial" w:eastAsia="Arial" w:hAnsi="Arial"/>
                <w:sz w:val="18"/>
                <w:szCs w:val="18"/>
                <w:color w:val="auto"/>
              </w:rPr>
              <w:t>4.0%</w:t>
            </w:r>
          </w:p>
        </w:tc>
        <w:tc>
          <w:tcPr>
            <w:tcW w:w="1560" w:type="dxa"/>
            <w:vAlign w:val="bottom"/>
          </w:tcPr>
          <w:p>
            <w:pPr>
              <w:ind w:left="820"/>
              <w:spacing w:after="0"/>
              <w:rPr>
                <w:sz w:val="20"/>
                <w:szCs w:val="20"/>
                <w:color w:val="auto"/>
              </w:rPr>
            </w:pPr>
            <w:r>
              <w:rPr>
                <w:rFonts w:ascii="Arial" w:cs="Arial" w:eastAsia="Arial" w:hAnsi="Arial"/>
                <w:sz w:val="18"/>
                <w:szCs w:val="18"/>
                <w:color w:val="auto"/>
              </w:rPr>
              <w:t>3.9%</w:t>
            </w:r>
          </w:p>
        </w:tc>
        <w:tc>
          <w:tcPr>
            <w:tcW w:w="1400" w:type="dxa"/>
            <w:vAlign w:val="bottom"/>
          </w:tcPr>
          <w:p>
            <w:pPr>
              <w:ind w:left="78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4.0%</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Solid Waste</w:t>
            </w: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4.5%</w:t>
            </w:r>
          </w:p>
        </w:tc>
        <w:tc>
          <w:tcPr>
            <w:tcW w:w="1460" w:type="dxa"/>
            <w:vAlign w:val="bottom"/>
          </w:tcPr>
          <w:p>
            <w:pPr>
              <w:ind w:left="780"/>
              <w:spacing w:after="0"/>
              <w:rPr>
                <w:sz w:val="20"/>
                <w:szCs w:val="20"/>
                <w:color w:val="auto"/>
              </w:rPr>
            </w:pPr>
            <w:r>
              <w:rPr>
                <w:rFonts w:ascii="Arial" w:cs="Arial" w:eastAsia="Arial" w:hAnsi="Arial"/>
                <w:sz w:val="18"/>
                <w:szCs w:val="18"/>
                <w:b w:val="1"/>
                <w:bCs w:val="1"/>
                <w:color w:val="auto"/>
              </w:rPr>
              <w:t>4.2%</w:t>
            </w:r>
          </w:p>
        </w:tc>
        <w:tc>
          <w:tcPr>
            <w:tcW w:w="1560" w:type="dxa"/>
            <w:vAlign w:val="bottom"/>
          </w:tcPr>
          <w:p>
            <w:pPr>
              <w:ind w:left="820"/>
              <w:spacing w:after="0"/>
              <w:rPr>
                <w:sz w:val="20"/>
                <w:szCs w:val="20"/>
                <w:color w:val="auto"/>
              </w:rPr>
            </w:pPr>
            <w:r>
              <w:rPr>
                <w:rFonts w:ascii="Arial" w:cs="Arial" w:eastAsia="Arial" w:hAnsi="Arial"/>
                <w:sz w:val="18"/>
                <w:szCs w:val="18"/>
                <w:b w:val="1"/>
                <w:bCs w:val="1"/>
                <w:color w:val="auto"/>
              </w:rPr>
              <w:t>4.0%</w:t>
            </w:r>
          </w:p>
        </w:tc>
        <w:tc>
          <w:tcPr>
            <w:tcW w:w="1400" w:type="dxa"/>
            <w:vAlign w:val="bottom"/>
          </w:tcPr>
          <w:p>
            <w:pPr>
              <w:ind w:left="780"/>
              <w:spacing w:after="0"/>
              <w:rPr>
                <w:sz w:val="20"/>
                <w:szCs w:val="20"/>
                <w:color w:val="auto"/>
              </w:rPr>
            </w:pPr>
            <w:r>
              <w:rPr>
                <w:rFonts w:ascii="Arial" w:cs="Arial" w:eastAsia="Arial" w:hAnsi="Arial"/>
                <w:sz w:val="18"/>
                <w:szCs w:val="18"/>
                <w:b w:val="1"/>
                <w:bCs w:val="1"/>
                <w:color w:val="auto"/>
              </w:rPr>
              <w:t>4.3%</w:t>
            </w:r>
          </w:p>
        </w:tc>
        <w:tc>
          <w:tcPr>
            <w:tcW w:w="1320" w:type="dxa"/>
            <w:vAlign w:val="bottom"/>
            <w:gridSpan w:val="2"/>
          </w:tcPr>
          <w:p>
            <w:pPr>
              <w:ind w:left="900"/>
              <w:spacing w:after="0"/>
              <w:rPr>
                <w:sz w:val="20"/>
                <w:szCs w:val="20"/>
                <w:color w:val="auto"/>
              </w:rPr>
            </w:pPr>
            <w:r>
              <w:rPr>
                <w:rFonts w:ascii="Arial" w:cs="Arial" w:eastAsia="Arial" w:hAnsi="Arial"/>
                <w:sz w:val="18"/>
                <w:szCs w:val="18"/>
                <w:b w:val="1"/>
                <w:bCs w:val="1"/>
                <w:color w:val="auto"/>
                <w:w w:val="97"/>
              </w:rPr>
              <w:t>4.2%</w:t>
            </w:r>
          </w:p>
        </w:tc>
      </w:tr>
      <w:tr>
        <w:trPr>
          <w:trHeight w:val="216"/>
        </w:trPr>
        <w:tc>
          <w:tcPr>
            <w:tcW w:w="3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2018</w:t>
            </w: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195"/>
        </w:trPr>
        <w:tc>
          <w:tcPr>
            <w:tcW w:w="3960" w:type="dxa"/>
            <w:vAlign w:val="bottom"/>
          </w:tcPr>
          <w:p>
            <w:pPr>
              <w:spacing w:after="0"/>
              <w:rPr>
                <w:sz w:val="16"/>
                <w:szCs w:val="16"/>
                <w:color w:val="auto"/>
              </w:rPr>
            </w:pPr>
          </w:p>
        </w:tc>
        <w:tc>
          <w:tcPr>
            <w:tcW w:w="880" w:type="dxa"/>
            <w:vAlign w:val="bottom"/>
          </w:tcPr>
          <w:p>
            <w:pPr>
              <w:ind w:left="540"/>
              <w:spacing w:after="0" w:line="195" w:lineRule="exact"/>
              <w:rPr>
                <w:sz w:val="20"/>
                <w:szCs w:val="20"/>
                <w:color w:val="auto"/>
              </w:rPr>
            </w:pPr>
            <w:r>
              <w:rPr>
                <w:rFonts w:ascii="Arial" w:cs="Arial" w:eastAsia="Arial" w:hAnsi="Arial"/>
                <w:sz w:val="18"/>
                <w:szCs w:val="18"/>
                <w:b w:val="1"/>
                <w:bCs w:val="1"/>
                <w:color w:val="auto"/>
              </w:rPr>
              <w:t>Q1</w:t>
            </w:r>
          </w:p>
        </w:tc>
        <w:tc>
          <w:tcPr>
            <w:tcW w:w="840" w:type="dxa"/>
            <w:vAlign w:val="bottom"/>
          </w:tcPr>
          <w:p>
            <w:pPr>
              <w:spacing w:after="0"/>
              <w:rPr>
                <w:sz w:val="16"/>
                <w:szCs w:val="16"/>
                <w:color w:val="auto"/>
              </w:rPr>
            </w:pPr>
          </w:p>
        </w:tc>
        <w:tc>
          <w:tcPr>
            <w:tcW w:w="1460" w:type="dxa"/>
            <w:vAlign w:val="bottom"/>
          </w:tcPr>
          <w:p>
            <w:pPr>
              <w:ind w:left="340"/>
              <w:spacing w:after="0" w:line="195" w:lineRule="exact"/>
              <w:rPr>
                <w:sz w:val="20"/>
                <w:szCs w:val="20"/>
                <w:color w:val="auto"/>
              </w:rPr>
            </w:pPr>
            <w:r>
              <w:rPr>
                <w:rFonts w:ascii="Arial" w:cs="Arial" w:eastAsia="Arial" w:hAnsi="Arial"/>
                <w:sz w:val="18"/>
                <w:szCs w:val="18"/>
                <w:b w:val="1"/>
                <w:bCs w:val="1"/>
                <w:color w:val="auto"/>
              </w:rPr>
              <w:t>Q2</w:t>
            </w:r>
          </w:p>
        </w:tc>
        <w:tc>
          <w:tcPr>
            <w:tcW w:w="156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Q3</w:t>
            </w:r>
          </w:p>
        </w:tc>
        <w:tc>
          <w:tcPr>
            <w:tcW w:w="1400" w:type="dxa"/>
            <w:vAlign w:val="bottom"/>
          </w:tcPr>
          <w:p>
            <w:pPr>
              <w:ind w:left="340"/>
              <w:spacing w:after="0" w:line="195" w:lineRule="exact"/>
              <w:rPr>
                <w:sz w:val="20"/>
                <w:szCs w:val="20"/>
                <w:color w:val="auto"/>
              </w:rPr>
            </w:pPr>
            <w:r>
              <w:rPr>
                <w:rFonts w:ascii="Arial" w:cs="Arial" w:eastAsia="Arial" w:hAnsi="Arial"/>
                <w:sz w:val="18"/>
                <w:szCs w:val="18"/>
                <w:b w:val="1"/>
                <w:bCs w:val="1"/>
                <w:color w:val="auto"/>
              </w:rPr>
              <w:t>Q4</w:t>
            </w:r>
          </w:p>
        </w:tc>
        <w:tc>
          <w:tcPr>
            <w:tcW w:w="1320" w:type="dxa"/>
            <w:vAlign w:val="bottom"/>
            <w:gridSpan w:val="2"/>
          </w:tcPr>
          <w:p>
            <w:pPr>
              <w:ind w:left="220"/>
              <w:spacing w:after="0" w:line="195" w:lineRule="exact"/>
              <w:rPr>
                <w:sz w:val="20"/>
                <w:szCs w:val="20"/>
                <w:color w:val="auto"/>
              </w:rPr>
            </w:pPr>
            <w:r>
              <w:rPr>
                <w:rFonts w:ascii="Arial" w:cs="Arial" w:eastAsia="Arial" w:hAnsi="Arial"/>
                <w:sz w:val="18"/>
                <w:szCs w:val="18"/>
                <w:b w:val="1"/>
                <w:bCs w:val="1"/>
                <w:color w:val="auto"/>
              </w:rPr>
              <w:t>Full Year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840" w:type="dxa"/>
            <w:vAlign w:val="bottom"/>
          </w:tcPr>
          <w:p>
            <w:pPr>
              <w:ind w:left="100"/>
              <w:spacing w:after="0"/>
              <w:rPr>
                <w:sz w:val="20"/>
                <w:szCs w:val="20"/>
                <w:color w:val="auto"/>
              </w:rPr>
            </w:pPr>
            <w:r>
              <w:rPr>
                <w:rFonts w:ascii="Arial" w:cs="Arial" w:eastAsia="Arial" w:hAnsi="Arial"/>
                <w:sz w:val="18"/>
                <w:szCs w:val="18"/>
                <w:color w:val="auto"/>
              </w:rPr>
              <w:t>5.4%</w:t>
            </w:r>
          </w:p>
        </w:tc>
        <w:tc>
          <w:tcPr>
            <w:tcW w:w="1460" w:type="dxa"/>
            <w:vAlign w:val="bottom"/>
          </w:tcPr>
          <w:p>
            <w:pPr>
              <w:ind w:left="780"/>
              <w:spacing w:after="0"/>
              <w:rPr>
                <w:sz w:val="20"/>
                <w:szCs w:val="20"/>
                <w:color w:val="auto"/>
              </w:rPr>
            </w:pPr>
            <w:r>
              <w:rPr>
                <w:rFonts w:ascii="Arial" w:cs="Arial" w:eastAsia="Arial" w:hAnsi="Arial"/>
                <w:sz w:val="18"/>
                <w:szCs w:val="18"/>
                <w:color w:val="auto"/>
              </w:rPr>
              <w:t>6.1%</w:t>
            </w:r>
          </w:p>
        </w:tc>
        <w:tc>
          <w:tcPr>
            <w:tcW w:w="1560" w:type="dxa"/>
            <w:vAlign w:val="bottom"/>
          </w:tcPr>
          <w:p>
            <w:pPr>
              <w:ind w:left="820"/>
              <w:spacing w:after="0"/>
              <w:rPr>
                <w:sz w:val="20"/>
                <w:szCs w:val="20"/>
                <w:color w:val="auto"/>
              </w:rPr>
            </w:pPr>
            <w:r>
              <w:rPr>
                <w:rFonts w:ascii="Arial" w:cs="Arial" w:eastAsia="Arial" w:hAnsi="Arial"/>
                <w:sz w:val="18"/>
                <w:szCs w:val="18"/>
                <w:color w:val="auto"/>
              </w:rPr>
              <w:t>6.1%</w:t>
            </w:r>
          </w:p>
        </w:tc>
        <w:tc>
          <w:tcPr>
            <w:tcW w:w="1400" w:type="dxa"/>
            <w:vAlign w:val="bottom"/>
          </w:tcPr>
          <w:p>
            <w:pPr>
              <w:ind w:left="78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5.9%</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840" w:type="dxa"/>
            <w:vAlign w:val="bottom"/>
          </w:tcPr>
          <w:p>
            <w:pPr>
              <w:ind w:left="100"/>
              <w:spacing w:after="0"/>
              <w:rPr>
                <w:sz w:val="20"/>
                <w:szCs w:val="20"/>
                <w:color w:val="auto"/>
              </w:rPr>
            </w:pPr>
            <w:r>
              <w:rPr>
                <w:rFonts w:ascii="Arial" w:cs="Arial" w:eastAsia="Arial" w:hAnsi="Arial"/>
                <w:sz w:val="18"/>
                <w:szCs w:val="18"/>
                <w:color w:val="auto"/>
              </w:rPr>
              <w:t>3.0%</w:t>
            </w:r>
          </w:p>
        </w:tc>
        <w:tc>
          <w:tcPr>
            <w:tcW w:w="1460" w:type="dxa"/>
            <w:vAlign w:val="bottom"/>
          </w:tcPr>
          <w:p>
            <w:pPr>
              <w:ind w:left="780"/>
              <w:spacing w:after="0"/>
              <w:rPr>
                <w:sz w:val="20"/>
                <w:szCs w:val="20"/>
                <w:color w:val="auto"/>
              </w:rPr>
            </w:pPr>
            <w:r>
              <w:rPr>
                <w:rFonts w:ascii="Arial" w:cs="Arial" w:eastAsia="Arial" w:hAnsi="Arial"/>
                <w:sz w:val="18"/>
                <w:szCs w:val="18"/>
                <w:color w:val="auto"/>
              </w:rPr>
              <w:t>3.1%</w:t>
            </w:r>
          </w:p>
        </w:tc>
        <w:tc>
          <w:tcPr>
            <w:tcW w:w="1560" w:type="dxa"/>
            <w:vAlign w:val="bottom"/>
          </w:tcPr>
          <w:p>
            <w:pPr>
              <w:ind w:left="820"/>
              <w:spacing w:after="0"/>
              <w:rPr>
                <w:sz w:val="20"/>
                <w:szCs w:val="20"/>
                <w:color w:val="auto"/>
              </w:rPr>
            </w:pPr>
            <w:r>
              <w:rPr>
                <w:rFonts w:ascii="Arial" w:cs="Arial" w:eastAsia="Arial" w:hAnsi="Arial"/>
                <w:sz w:val="18"/>
                <w:szCs w:val="18"/>
                <w:color w:val="auto"/>
              </w:rPr>
              <w:t>3.4%</w:t>
            </w:r>
          </w:p>
        </w:tc>
        <w:tc>
          <w:tcPr>
            <w:tcW w:w="1400" w:type="dxa"/>
            <w:vAlign w:val="bottom"/>
          </w:tcPr>
          <w:p>
            <w:pPr>
              <w:ind w:left="780"/>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3.2%</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840" w:type="dxa"/>
            <w:vAlign w:val="bottom"/>
          </w:tcPr>
          <w:p>
            <w:pPr>
              <w:ind w:left="100"/>
              <w:spacing w:after="0"/>
              <w:rPr>
                <w:sz w:val="20"/>
                <w:szCs w:val="20"/>
                <w:color w:val="auto"/>
              </w:rPr>
            </w:pPr>
            <w:r>
              <w:rPr>
                <w:rFonts w:ascii="Arial" w:cs="Arial" w:eastAsia="Arial" w:hAnsi="Arial"/>
                <w:sz w:val="18"/>
                <w:szCs w:val="18"/>
                <w:color w:val="auto"/>
              </w:rPr>
              <w:t>4.8%</w:t>
            </w:r>
          </w:p>
        </w:tc>
        <w:tc>
          <w:tcPr>
            <w:tcW w:w="1460" w:type="dxa"/>
            <w:vAlign w:val="bottom"/>
          </w:tcPr>
          <w:p>
            <w:pPr>
              <w:ind w:left="780"/>
              <w:spacing w:after="0"/>
              <w:rPr>
                <w:sz w:val="20"/>
                <w:szCs w:val="20"/>
                <w:color w:val="auto"/>
              </w:rPr>
            </w:pPr>
            <w:r>
              <w:rPr>
                <w:rFonts w:ascii="Arial" w:cs="Arial" w:eastAsia="Arial" w:hAnsi="Arial"/>
                <w:sz w:val="18"/>
                <w:szCs w:val="18"/>
                <w:color w:val="auto"/>
              </w:rPr>
              <w:t>6.3%</w:t>
            </w:r>
          </w:p>
        </w:tc>
        <w:tc>
          <w:tcPr>
            <w:tcW w:w="1560" w:type="dxa"/>
            <w:vAlign w:val="bottom"/>
          </w:tcPr>
          <w:p>
            <w:pPr>
              <w:ind w:left="820"/>
              <w:spacing w:after="0"/>
              <w:rPr>
                <w:sz w:val="20"/>
                <w:szCs w:val="20"/>
                <w:color w:val="auto"/>
              </w:rPr>
            </w:pPr>
            <w:r>
              <w:rPr>
                <w:rFonts w:ascii="Arial" w:cs="Arial" w:eastAsia="Arial" w:hAnsi="Arial"/>
                <w:sz w:val="18"/>
                <w:szCs w:val="18"/>
                <w:color w:val="auto"/>
              </w:rPr>
              <w:t>6.1%</w:t>
            </w:r>
          </w:p>
        </w:tc>
        <w:tc>
          <w:tcPr>
            <w:tcW w:w="1400" w:type="dxa"/>
            <w:vAlign w:val="bottom"/>
          </w:tcPr>
          <w:p>
            <w:pPr>
              <w:ind w:left="780"/>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5.9%</w:t>
            </w:r>
          </w:p>
        </w:tc>
      </w:tr>
      <w:tr>
        <w:trPr>
          <w:trHeight w:val="212"/>
        </w:trPr>
        <w:tc>
          <w:tcPr>
            <w:tcW w:w="484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840" w:type="dxa"/>
            <w:vAlign w:val="bottom"/>
          </w:tcPr>
          <w:p>
            <w:pPr>
              <w:ind w:left="100"/>
              <w:spacing w:after="0"/>
              <w:rPr>
                <w:sz w:val="20"/>
                <w:szCs w:val="20"/>
                <w:color w:val="auto"/>
              </w:rPr>
            </w:pPr>
            <w:r>
              <w:rPr>
                <w:rFonts w:ascii="Arial" w:cs="Arial" w:eastAsia="Arial" w:hAnsi="Arial"/>
                <w:sz w:val="18"/>
                <w:szCs w:val="18"/>
                <w:color w:val="auto"/>
              </w:rPr>
              <w:t>3.3%</w:t>
            </w:r>
          </w:p>
        </w:tc>
        <w:tc>
          <w:tcPr>
            <w:tcW w:w="1460" w:type="dxa"/>
            <w:vAlign w:val="bottom"/>
          </w:tcPr>
          <w:p>
            <w:pPr>
              <w:ind w:left="780"/>
              <w:spacing w:after="0"/>
              <w:rPr>
                <w:sz w:val="20"/>
                <w:szCs w:val="20"/>
                <w:color w:val="auto"/>
              </w:rPr>
            </w:pPr>
            <w:r>
              <w:rPr>
                <w:rFonts w:ascii="Arial" w:cs="Arial" w:eastAsia="Arial" w:hAnsi="Arial"/>
                <w:sz w:val="18"/>
                <w:szCs w:val="18"/>
                <w:color w:val="auto"/>
              </w:rPr>
              <w:t>3.0%</w:t>
            </w:r>
          </w:p>
        </w:tc>
        <w:tc>
          <w:tcPr>
            <w:tcW w:w="1560" w:type="dxa"/>
            <w:vAlign w:val="bottom"/>
          </w:tcPr>
          <w:p>
            <w:pPr>
              <w:ind w:left="820"/>
              <w:spacing w:after="0"/>
              <w:rPr>
                <w:sz w:val="20"/>
                <w:szCs w:val="20"/>
                <w:color w:val="auto"/>
              </w:rPr>
            </w:pPr>
            <w:r>
              <w:rPr>
                <w:rFonts w:ascii="Arial" w:cs="Arial" w:eastAsia="Arial" w:hAnsi="Arial"/>
                <w:sz w:val="18"/>
                <w:szCs w:val="18"/>
                <w:color w:val="auto"/>
              </w:rPr>
              <w:t>2.9%</w:t>
            </w:r>
          </w:p>
        </w:tc>
        <w:tc>
          <w:tcPr>
            <w:tcW w:w="1400" w:type="dxa"/>
            <w:vAlign w:val="bottom"/>
          </w:tcPr>
          <w:p>
            <w:pPr>
              <w:ind w:left="780"/>
              <w:spacing w:after="0"/>
              <w:rPr>
                <w:sz w:val="20"/>
                <w:szCs w:val="20"/>
                <w:color w:val="auto"/>
              </w:rPr>
            </w:pPr>
            <w:r>
              <w:rPr>
                <w:rFonts w:ascii="Arial" w:cs="Arial" w:eastAsia="Arial" w:hAnsi="Arial"/>
                <w:sz w:val="18"/>
                <w:szCs w:val="18"/>
                <w:color w:val="auto"/>
              </w:rPr>
              <w:t>3.4%</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w w:val="97"/>
              </w:rPr>
              <w:t>3.1%</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Solid Waste</w:t>
            </w: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3.8%</w:t>
            </w:r>
          </w:p>
        </w:tc>
        <w:tc>
          <w:tcPr>
            <w:tcW w:w="1460" w:type="dxa"/>
            <w:vAlign w:val="bottom"/>
          </w:tcPr>
          <w:p>
            <w:pPr>
              <w:ind w:left="780"/>
              <w:spacing w:after="0"/>
              <w:rPr>
                <w:sz w:val="20"/>
                <w:szCs w:val="20"/>
                <w:color w:val="auto"/>
              </w:rPr>
            </w:pPr>
            <w:r>
              <w:rPr>
                <w:rFonts w:ascii="Arial" w:cs="Arial" w:eastAsia="Arial" w:hAnsi="Arial"/>
                <w:sz w:val="18"/>
                <w:szCs w:val="18"/>
                <w:b w:val="1"/>
                <w:bCs w:val="1"/>
                <w:color w:val="auto"/>
              </w:rPr>
              <w:t>4.2%</w:t>
            </w:r>
          </w:p>
        </w:tc>
        <w:tc>
          <w:tcPr>
            <w:tcW w:w="1560" w:type="dxa"/>
            <w:vAlign w:val="bottom"/>
          </w:tcPr>
          <w:p>
            <w:pPr>
              <w:ind w:left="820"/>
              <w:spacing w:after="0"/>
              <w:rPr>
                <w:sz w:val="20"/>
                <w:szCs w:val="20"/>
                <w:color w:val="auto"/>
              </w:rPr>
            </w:pPr>
            <w:r>
              <w:rPr>
                <w:rFonts w:ascii="Arial" w:cs="Arial" w:eastAsia="Arial" w:hAnsi="Arial"/>
                <w:sz w:val="18"/>
                <w:szCs w:val="18"/>
                <w:b w:val="1"/>
                <w:bCs w:val="1"/>
                <w:color w:val="auto"/>
              </w:rPr>
              <w:t>4.3%</w:t>
            </w:r>
          </w:p>
        </w:tc>
        <w:tc>
          <w:tcPr>
            <w:tcW w:w="1400" w:type="dxa"/>
            <w:vAlign w:val="bottom"/>
          </w:tcPr>
          <w:p>
            <w:pPr>
              <w:ind w:left="780"/>
              <w:spacing w:after="0"/>
              <w:rPr>
                <w:sz w:val="20"/>
                <w:szCs w:val="20"/>
                <w:color w:val="auto"/>
              </w:rPr>
            </w:pPr>
            <w:r>
              <w:rPr>
                <w:rFonts w:ascii="Arial" w:cs="Arial" w:eastAsia="Arial" w:hAnsi="Arial"/>
                <w:sz w:val="18"/>
                <w:szCs w:val="18"/>
                <w:b w:val="1"/>
                <w:bCs w:val="1"/>
                <w:color w:val="auto"/>
              </w:rPr>
              <w:t>4.4%</w:t>
            </w:r>
          </w:p>
        </w:tc>
        <w:tc>
          <w:tcPr>
            <w:tcW w:w="1320" w:type="dxa"/>
            <w:vAlign w:val="bottom"/>
            <w:gridSpan w:val="2"/>
          </w:tcPr>
          <w:p>
            <w:pPr>
              <w:ind w:left="900"/>
              <w:spacing w:after="0"/>
              <w:rPr>
                <w:sz w:val="20"/>
                <w:szCs w:val="20"/>
                <w:color w:val="auto"/>
              </w:rPr>
            </w:pPr>
            <w:r>
              <w:rPr>
                <w:rFonts w:ascii="Arial" w:cs="Arial" w:eastAsia="Arial" w:hAnsi="Arial"/>
                <w:sz w:val="18"/>
                <w:szCs w:val="18"/>
                <w:b w:val="1"/>
                <w:bCs w:val="1"/>
                <w:color w:val="auto"/>
                <w:w w:val="97"/>
              </w:rPr>
              <w:t>4.2%</w:t>
            </w:r>
          </w:p>
        </w:tc>
      </w:tr>
    </w:tbl>
    <w:p>
      <w:pPr>
        <w:spacing w:after="0" w:line="229" w:lineRule="exact"/>
        <w:rPr>
          <w:sz w:val="20"/>
          <w:szCs w:val="20"/>
          <w:color w:val="auto"/>
        </w:rPr>
      </w:pPr>
    </w:p>
    <w:p>
      <w:pPr>
        <w:jc w:val="both"/>
        <w:ind w:left="340" w:hanging="332"/>
        <w:spacing w:after="0" w:line="279" w:lineRule="auto"/>
        <w:tabs>
          <w:tab w:leader="none" w:pos="34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 The 2019 and 2018 quarterly and full year data provided represent core price data using the new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Income from</w:t>
            </w:r>
          </w:p>
        </w:tc>
        <w:tc>
          <w:tcPr>
            <w:tcW w:w="26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Pre-tax</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Tax</w:t>
            </w:r>
          </w:p>
        </w:tc>
        <w:tc>
          <w:tcPr>
            <w:tcW w:w="22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Net</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2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4"/>
              </w:rPr>
              <w:t>Expense</w:t>
            </w:r>
          </w:p>
        </w:tc>
        <w:tc>
          <w:tcPr>
            <w:tcW w:w="2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Income (a)</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655</w:t>
            </w:r>
          </w:p>
        </w:tc>
        <w:tc>
          <w:tcPr>
            <w:tcW w:w="20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531</w:t>
            </w:r>
          </w:p>
        </w:tc>
        <w:tc>
          <w:tcPr>
            <w:tcW w:w="20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84</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447</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9"/>
              </w:rPr>
              <w:t>Loss from divestitures, asset impairments and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unusual items,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1"/>
              </w:rPr>
              <w:t>Enterprise resource planning system related costs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 amounts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726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340" w:type="dxa"/>
            <w:vAlign w:val="bottom"/>
            <w:vMerge w:val="continue"/>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Income from</w:t>
            </w:r>
          </w:p>
        </w:tc>
        <w:tc>
          <w:tcPr>
            <w:tcW w:w="26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Pre-tax</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Tax</w:t>
            </w: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2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Operations</w:t>
            </w:r>
          </w:p>
        </w:tc>
        <w:tc>
          <w:tcPr>
            <w:tcW w:w="2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Expense</w:t>
            </w:r>
          </w:p>
        </w:tc>
        <w:tc>
          <w:tcPr>
            <w:tcW w:w="2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 (a)</w:t>
            </w:r>
          </w:p>
        </w:tc>
        <w:tc>
          <w:tcPr>
            <w:tcW w:w="2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767</w:t>
            </w:r>
          </w:p>
        </w:tc>
        <w:tc>
          <w:tcPr>
            <w:tcW w:w="20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659</w:t>
            </w:r>
          </w:p>
        </w:tc>
        <w:tc>
          <w:tcPr>
            <w:tcW w:w="20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128</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531</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9"/>
              </w:rPr>
              <w:t>Gain from divestitures, asset impairments and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unusual items, net</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Tax benefits related to adjustment to deferred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 amounts</w:t>
            </w: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hanging="332"/>
        <w:spacing w:after="0" w:line="258"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2019 adjusted effective tax rate was 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Income from</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20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ind w:left="160"/>
              <w:spacing w:after="0"/>
              <w:rPr>
                <w:sz w:val="20"/>
                <w:szCs w:val="20"/>
                <w:color w:val="auto"/>
              </w:rPr>
            </w:pPr>
            <w:r>
              <w:rPr>
                <w:rFonts w:ascii="Arial" w:cs="Arial" w:eastAsia="Arial" w:hAnsi="Arial"/>
                <w:sz w:val="18"/>
                <w:szCs w:val="18"/>
                <w:b w:val="1"/>
                <w:bCs w:val="1"/>
                <w:color w:val="auto"/>
              </w:rPr>
              <w:t>Tax Expense</w:t>
            </w:r>
          </w:p>
        </w:tc>
        <w:tc>
          <w:tcPr>
            <w:tcW w:w="200" w:type="dxa"/>
            <w:vAlign w:val="bottom"/>
          </w:tcPr>
          <w:p>
            <w:pPr>
              <w:spacing w:after="0"/>
              <w:rPr>
                <w:sz w:val="20"/>
                <w:szCs w:val="20"/>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Income (a)</w:t>
            </w: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2,706</w:t>
            </w:r>
          </w:p>
        </w:tc>
        <w:tc>
          <w:tcPr>
            <w:tcW w:w="22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2,105</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434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1,670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Impairment of an investment and other</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9"/>
              </w:rPr>
              <w:t>Loss from divestitures, asset impairments and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unusual items,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 amounts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2,809</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w:t>
            </w:r>
          </w:p>
        </w:tc>
        <w:tc>
          <w:tcPr>
            <w:tcW w:w="2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340" w:type="dxa"/>
            <w:vAlign w:val="bottom"/>
            <w:gridSpan w:val="2"/>
            <w:vMerge w:val="continue"/>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vMerge w:val="restart"/>
          </w:tcPr>
          <w:p>
            <w:pPr>
              <w:jc w:val="center"/>
              <w:ind w:right="50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December 31, 2018</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4"/>
              </w:rPr>
              <w:t>Income from</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Tax Expense</w:t>
            </w:r>
          </w:p>
        </w:tc>
        <w:tc>
          <w:tcPr>
            <w:tcW w:w="2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Income (a)</w:t>
            </w:r>
          </w:p>
        </w:tc>
        <w:tc>
          <w:tcPr>
            <w:tcW w:w="2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Arial" w:cs="Arial" w:eastAsia="Arial" w:hAnsi="Arial"/>
                <w:sz w:val="18"/>
                <w:szCs w:val="18"/>
                <w:b w:val="1"/>
                <w:bCs w:val="1"/>
                <w:color w:val="auto"/>
              </w:rPr>
              <w:t>As reported amounts</w:t>
            </w:r>
          </w:p>
        </w:tc>
        <w:tc>
          <w:tcPr>
            <w:tcW w:w="2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2,789</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2,376</w:t>
            </w:r>
          </w:p>
        </w:tc>
        <w:tc>
          <w:tcPr>
            <w:tcW w:w="100" w:type="dxa"/>
            <w:vAlign w:val="bottom"/>
          </w:tcPr>
          <w:p>
            <w:pPr>
              <w:spacing w:after="0"/>
              <w:rPr>
                <w:sz w:val="17"/>
                <w:szCs w:val="17"/>
                <w:color w:val="auto"/>
              </w:rPr>
            </w:pPr>
          </w:p>
        </w:tc>
        <w:tc>
          <w:tcPr>
            <w:tcW w:w="3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453</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1,925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4.45</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9"/>
              </w:rPr>
              <w:t>Gain from divestitures, asset impairments and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unusual items,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Tax benefits related to income tax audit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Benefit primarily related to favorable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8"/>
              </w:rPr>
              <w:t>adjustments from changes in state tax law and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impact of Tax Cuts and Jobs Act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Tax benefits related to adjustment to deferred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Charges related to multiemployer pension plans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 amounts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1,477</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2019 adjusted effective tax rate was 20.2%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8"/>
          </w:tcPr>
          <w:p>
            <w:pPr>
              <w:jc w:val="right"/>
              <w:ind w:right="57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As a % of</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As a %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w w:val="95"/>
              </w:rPr>
              <w:t>Adjusted Operating EBITDA and Adjusted Operating EBITDA Margin</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Revenues</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64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3,846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Income from operations, as reported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as reported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Operating EBITDA, as reported</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1,050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rPr>
              <w:t>1,137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Adjustments: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40" w:type="dxa"/>
            <w:vAlign w:val="bottom"/>
            <w:gridSpan w:val="2"/>
          </w:tcPr>
          <w:p>
            <w:pPr>
              <w:ind w:left="340"/>
              <w:spacing w:after="0"/>
              <w:rPr>
                <w:sz w:val="20"/>
                <w:szCs w:val="20"/>
                <w:color w:val="auto"/>
              </w:rPr>
            </w:pPr>
            <w:r>
              <w:rPr>
                <w:rFonts w:ascii="Arial" w:cs="Arial" w:eastAsia="Arial" w:hAnsi="Arial"/>
                <w:sz w:val="18"/>
                <w:szCs w:val="18"/>
                <w:color w:val="auto"/>
                <w:w w:val="93"/>
              </w:rPr>
              <w:t>(Gain) loss from divestitures, asset impairments and unusual items,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Advanced Disposal acquisition-related costs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Enterprise resource planning system related costs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4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EBITDA (a)</w:t>
            </w: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1,093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7"/>
              </w:rPr>
              <w:t>28.4%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1"/>
          </w:tcPr>
          <w:p>
            <w:pPr>
              <w:ind w:left="860"/>
              <w:spacing w:after="0"/>
              <w:rPr>
                <w:sz w:val="20"/>
                <w:szCs w:val="20"/>
                <w:color w:val="auto"/>
              </w:rPr>
            </w:pPr>
            <w:r>
              <w:rPr>
                <w:rFonts w:ascii="Arial" w:cs="Arial" w:eastAsia="Arial" w:hAnsi="Arial"/>
                <w:sz w:val="18"/>
                <w:szCs w:val="18"/>
                <w:b w:val="1"/>
                <w:bCs w:val="1"/>
                <w:color w:val="auto"/>
              </w:rPr>
              <w:t>Years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8"/>
          </w:tcPr>
          <w:p>
            <w:pPr>
              <w:jc w:val="right"/>
              <w:ind w:right="55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As a %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Adjusted Operating EBITDA and Adjusted Operating EBITDA Margin</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Revenues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Revenues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revenues, as reported</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15,455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Income from operations, as reported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2,706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Depreciation and amortization, as reported</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1,574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640" w:type="dxa"/>
            <w:vAlign w:val="bottom"/>
            <w:gridSpan w:val="2"/>
          </w:tcPr>
          <w:p>
            <w:pPr>
              <w:ind w:left="340"/>
              <w:spacing w:after="0" w:line="191" w:lineRule="exact"/>
              <w:rPr>
                <w:sz w:val="20"/>
                <w:szCs w:val="20"/>
                <w:color w:val="auto"/>
              </w:rPr>
            </w:pPr>
            <w:r>
              <w:rPr>
                <w:rFonts w:ascii="Arial" w:cs="Arial" w:eastAsia="Arial" w:hAnsi="Arial"/>
                <w:sz w:val="18"/>
                <w:szCs w:val="18"/>
                <w:b w:val="1"/>
                <w:bCs w:val="1"/>
                <w:color w:val="auto"/>
              </w:rPr>
              <w:t>Operating EBITDA, as reported</w:t>
            </w:r>
          </w:p>
        </w:tc>
        <w:tc>
          <w:tcPr>
            <w:tcW w:w="60" w:type="dxa"/>
            <w:vAlign w:val="bottom"/>
          </w:tcPr>
          <w:p>
            <w:pPr>
              <w:spacing w:after="0"/>
              <w:rPr>
                <w:sz w:val="16"/>
                <w:szCs w:val="16"/>
                <w:color w:val="auto"/>
              </w:rPr>
            </w:pPr>
          </w:p>
        </w:tc>
        <w:tc>
          <w:tcPr>
            <w:tcW w:w="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line="191" w:lineRule="exact"/>
              <w:rPr>
                <w:sz w:val="20"/>
                <w:szCs w:val="20"/>
                <w:color w:val="auto"/>
              </w:rPr>
            </w:pPr>
            <w:r>
              <w:rPr>
                <w:rFonts w:ascii="Arial" w:cs="Arial" w:eastAsia="Arial" w:hAnsi="Arial"/>
                <w:sz w:val="18"/>
                <w:szCs w:val="18"/>
                <w:b w:val="1"/>
                <w:bCs w:val="1"/>
                <w:color w:val="auto"/>
              </w:rPr>
              <w:t>4,280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24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rPr>
              <w:t>4,266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Adjustments: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w w:val="90"/>
              </w:rPr>
              <w:t>(Gain) loss from divestitures, asset impairments and unusual items,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Advanced Disposal acquisition-related costs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Enterprise resource planning system related costs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Restructuring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Charges related to multiemployer pension plans</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Adjusted operating EBITDA</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4,383</w:t>
            </w:r>
          </w:p>
        </w:tc>
        <w:tc>
          <w:tcPr>
            <w:tcW w:w="160" w:type="dxa"/>
            <w:vAlign w:val="bottom"/>
          </w:tcPr>
          <w:p>
            <w:pPr>
              <w:spacing w:after="0"/>
              <w:rPr>
                <w:sz w:val="19"/>
                <w:szCs w:val="19"/>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28.4%</w:t>
            </w:r>
          </w:p>
        </w:tc>
        <w:tc>
          <w:tcPr>
            <w:tcW w:w="160" w:type="dxa"/>
            <w:vAlign w:val="bottom"/>
            <w:gridSpan w:val="2"/>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4,216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7"/>
              </w:rPr>
              <w:t>28.3%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2020 Projected Free Cash Flow Reconciliation (a)</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40" w:type="dxa"/>
            <w:vAlign w:val="bottom"/>
            <w:gridSpan w:val="2"/>
            <w:vMerge w:val="restart"/>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6"/>
          </w:tcPr>
          <w:p>
            <w:pPr>
              <w:ind w:left="100"/>
              <w:spacing w:after="0"/>
              <w:rPr>
                <w:sz w:val="20"/>
                <w:szCs w:val="20"/>
                <w:color w:val="auto"/>
              </w:rPr>
            </w:pPr>
            <w:r>
              <w:rPr>
                <w:rFonts w:ascii="Arial" w:cs="Arial" w:eastAsia="Arial" w:hAnsi="Arial"/>
                <w:sz w:val="18"/>
                <w:szCs w:val="18"/>
                <w:b w:val="1"/>
                <w:bCs w:val="1"/>
                <w:color w:val="auto"/>
              </w:rPr>
              <w:t>Scenario 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Scenario 2</w:t>
            </w:r>
          </w:p>
        </w:tc>
        <w:tc>
          <w:tcPr>
            <w:tcW w:w="0" w:type="dxa"/>
            <w:vAlign w:val="bottom"/>
          </w:tcPr>
          <w:p>
            <w:pPr>
              <w:spacing w:after="0"/>
              <w:rPr>
                <w:sz w:val="1"/>
                <w:szCs w:val="1"/>
                <w:color w:val="auto"/>
              </w:rPr>
            </w:pPr>
          </w:p>
        </w:tc>
      </w:tr>
      <w:tr>
        <w:trPr>
          <w:trHeight w:val="195"/>
        </w:trPr>
        <w:tc>
          <w:tcPr>
            <w:tcW w:w="5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top w:val="single" w:sz="8" w:color="auto"/>
            </w:tcBorders>
            <w:gridSpan w:val="3"/>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gridSpan w:val="2"/>
          </w:tcPr>
          <w:p>
            <w:pPr>
              <w:jc w:val="right"/>
              <w:ind w:right="4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8"/>
              </w:rPr>
              <w:t>3,950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500"/>
              <w:spacing w:after="0"/>
              <w:rPr>
                <w:sz w:val="20"/>
                <w:szCs w:val="20"/>
                <w:color w:val="auto"/>
              </w:rPr>
            </w:pPr>
            <w:r>
              <w:rPr>
                <w:rFonts w:ascii="Arial" w:cs="Arial" w:eastAsia="Arial" w:hAnsi="Arial"/>
                <w:sz w:val="18"/>
                <w:szCs w:val="18"/>
                <w:color w:val="auto"/>
                <w:w w:val="98"/>
              </w:rPr>
              <w:t>Proceeds from divestitures of businesses and other assets (net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40" w:type="dxa"/>
            <w:vAlign w:val="bottom"/>
            <w:gridSpan w:val="2"/>
          </w:tcPr>
          <w:p>
            <w:pPr>
              <w:ind w:left="500"/>
              <w:spacing w:after="0"/>
              <w:rPr>
                <w:sz w:val="20"/>
                <w:szCs w:val="20"/>
                <w:color w:val="auto"/>
              </w:rPr>
            </w:pPr>
            <w:r>
              <w:rPr>
                <w:rFonts w:ascii="Arial" w:cs="Arial" w:eastAsia="Arial" w:hAnsi="Arial"/>
                <w:sz w:val="18"/>
                <w:szCs w:val="18"/>
                <w:color w:val="auto"/>
              </w:rPr>
              <w:t>cash divested)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Free cash flow</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8"/>
              </w:rPr>
              <w:t>2,250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line="308" w:lineRule="auto"/>
        <w:tabs>
          <w:tab w:leader="none" w:pos="5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2020.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850"/>
              <w:spacing w:after="0"/>
              <w:rPr>
                <w:sz w:val="20"/>
                <w:szCs w:val="20"/>
                <w:color w:val="auto"/>
              </w:rPr>
            </w:pPr>
            <w:r>
              <w:rPr>
                <w:rFonts w:ascii="Arial" w:cs="Arial" w:eastAsia="Arial" w:hAnsi="Arial"/>
                <w:sz w:val="18"/>
                <w:szCs w:val="18"/>
                <w:b w:val="1"/>
                <w:bCs w:val="1"/>
                <w:color w:val="auto"/>
              </w:rPr>
              <w:t>Years Ended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8"/>
          </w:tcPr>
          <w:p>
            <w:pPr>
              <w:ind w:left="42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19"/>
                <w:szCs w:val="19"/>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As a %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9"/>
              </w:rPr>
              <w:t>Adjusted Operating Expenses and Adjusted Operating Expenses Margin</w:t>
            </w:r>
          </w:p>
        </w:tc>
        <w:tc>
          <w:tcPr>
            <w:tcW w:w="22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ind w:left="2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426"/>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15,455</w:t>
            </w: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14,914</w:t>
            </w: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Operating expenses, as reported</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9,496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9,249</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340"/>
              <w:spacing w:after="0"/>
              <w:rPr>
                <w:sz w:val="20"/>
                <w:szCs w:val="20"/>
                <w:color w:val="auto"/>
              </w:rPr>
            </w:pPr>
            <w:r>
              <w:rPr>
                <w:rFonts w:ascii="Arial" w:cs="Arial" w:eastAsia="Arial" w:hAnsi="Arial"/>
                <w:sz w:val="18"/>
                <w:szCs w:val="18"/>
                <w:color w:val="auto"/>
              </w:rPr>
              <w:t>Non-cash charges to write-off certain assets</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80" w:type="dxa"/>
            <w:vAlign w:val="bottom"/>
            <w:gridSpan w:val="3"/>
          </w:tcPr>
          <w:p>
            <w:pPr>
              <w:ind w:left="340"/>
              <w:spacing w:after="0"/>
              <w:rPr>
                <w:sz w:val="20"/>
                <w:szCs w:val="20"/>
                <w:color w:val="auto"/>
              </w:rPr>
            </w:pPr>
            <w:r>
              <w:rPr>
                <w:rFonts w:ascii="Arial" w:cs="Arial" w:eastAsia="Arial" w:hAnsi="Arial"/>
                <w:sz w:val="18"/>
                <w:szCs w:val="18"/>
                <w:color w:val="auto"/>
              </w:rPr>
              <w:t>Charges related to multiemployer pension plans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9,480</w:t>
            </w:r>
          </w:p>
        </w:tc>
        <w:tc>
          <w:tcPr>
            <w:tcW w:w="20" w:type="dxa"/>
            <w:vAlign w:val="bottom"/>
            <w:tcBorders>
              <w:bottom w:val="single" w:sz="8" w:color="auto"/>
            </w:tcBorders>
          </w:tcPr>
          <w:p>
            <w:pPr>
              <w:spacing w:after="0"/>
              <w:rPr>
                <w:sz w:val="19"/>
                <w:szCs w:val="19"/>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61.3%</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9,246</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62.0%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8"/>
          </w:tcPr>
          <w:p>
            <w:pPr>
              <w:ind w:left="38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19"/>
                <w:szCs w:val="19"/>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As a % of</w:t>
            </w:r>
          </w:p>
        </w:tc>
        <w:tc>
          <w:tcPr>
            <w:tcW w:w="2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As a %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w w:val="99"/>
              </w:rPr>
              <w:t>Adjusted SG&amp;A Expenses and Adjusted SG&amp;A Expenses Margin</w:t>
            </w:r>
          </w:p>
        </w:tc>
        <w:tc>
          <w:tcPr>
            <w:tcW w:w="8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Revenues</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580" w:type="dxa"/>
            <w:vAlign w:val="bottom"/>
            <w:gridSpan w:val="3"/>
          </w:tcPr>
          <w:p>
            <w:pPr>
              <w:ind w:left="280"/>
              <w:spacing w:after="0"/>
              <w:rPr>
                <w:sz w:val="20"/>
                <w:szCs w:val="20"/>
                <w:color w:val="auto"/>
              </w:rPr>
            </w:pPr>
            <w:r>
              <w:rPr>
                <w:rFonts w:ascii="Arial" w:cs="Arial" w:eastAsia="Arial" w:hAnsi="Arial"/>
                <w:sz w:val="18"/>
                <w:szCs w:val="18"/>
                <w:b w:val="1"/>
                <w:bCs w:val="1"/>
                <w:color w:val="auto"/>
              </w:rPr>
              <w:t>Operating revenues, as reported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3,846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3,842</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80" w:type="dxa"/>
            <w:vAlign w:val="bottom"/>
            <w:gridSpan w:val="3"/>
          </w:tcPr>
          <w:p>
            <w:pPr>
              <w:ind w:left="280"/>
              <w:spacing w:after="0"/>
              <w:rPr>
                <w:sz w:val="20"/>
                <w:szCs w:val="20"/>
                <w:color w:val="auto"/>
              </w:rPr>
            </w:pPr>
            <w:r>
              <w:rPr>
                <w:rFonts w:ascii="Arial" w:cs="Arial" w:eastAsia="Arial" w:hAnsi="Arial"/>
                <w:sz w:val="18"/>
                <w:szCs w:val="18"/>
                <w:b w:val="1"/>
                <w:bCs w:val="1"/>
                <w:color w:val="auto"/>
              </w:rPr>
              <w:t>SG&amp;A expenses, as reported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80" w:type="dxa"/>
            <w:vAlign w:val="bottom"/>
            <w:gridSpan w:val="3"/>
          </w:tcPr>
          <w:p>
            <w:pPr>
              <w:ind w:left="28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500"/>
              <w:spacing w:after="0"/>
              <w:rPr>
                <w:sz w:val="20"/>
                <w:szCs w:val="20"/>
                <w:color w:val="auto"/>
              </w:rPr>
            </w:pPr>
            <w:r>
              <w:rPr>
                <w:rFonts w:ascii="Arial" w:cs="Arial" w:eastAsia="Arial" w:hAnsi="Arial"/>
                <w:sz w:val="18"/>
                <w:szCs w:val="18"/>
                <w:color w:val="auto"/>
              </w:rPr>
              <w:t>Advanced Disposal acquisition-related costs</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80" w:type="dxa"/>
            <w:vAlign w:val="bottom"/>
            <w:gridSpan w:val="3"/>
          </w:tcPr>
          <w:p>
            <w:pPr>
              <w:ind w:left="500"/>
              <w:spacing w:after="0"/>
              <w:rPr>
                <w:sz w:val="20"/>
                <w:szCs w:val="20"/>
                <w:color w:val="auto"/>
              </w:rPr>
            </w:pPr>
            <w:r>
              <w:rPr>
                <w:rFonts w:ascii="Arial" w:cs="Arial" w:eastAsia="Arial" w:hAnsi="Arial"/>
                <w:sz w:val="18"/>
                <w:szCs w:val="18"/>
                <w:color w:val="auto"/>
              </w:rPr>
              <w:t>Enterprise resource planning system related costs</w:t>
            </w: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Adjusted SG&amp;A expenses</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2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10.7%</w:t>
            </w: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Years Ended</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8"/>
          </w:tcPr>
          <w:p>
            <w:pPr>
              <w:ind w:left="40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19"/>
                <w:szCs w:val="19"/>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As a % of</w:t>
            </w:r>
          </w:p>
        </w:tc>
        <w:tc>
          <w:tcPr>
            <w:tcW w:w="2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As a %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Adjusted SG&amp;A Expenses and Adjusted SG&amp;A Expenses Margin</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Revenues</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15,455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14,914</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SG&amp;A expenses, as reported</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80" w:type="dxa"/>
            <w:vAlign w:val="bottom"/>
            <w:gridSpan w:val="3"/>
          </w:tcPr>
          <w:p>
            <w:pPr>
              <w:ind w:left="18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ind w:left="340"/>
              <w:spacing w:after="0"/>
              <w:rPr>
                <w:sz w:val="20"/>
                <w:szCs w:val="20"/>
                <w:color w:val="auto"/>
              </w:rPr>
            </w:pPr>
            <w:r>
              <w:rPr>
                <w:rFonts w:ascii="Arial" w:cs="Arial" w:eastAsia="Arial" w:hAnsi="Arial"/>
                <w:sz w:val="18"/>
                <w:szCs w:val="18"/>
                <w:color w:val="auto"/>
              </w:rPr>
              <w:t>Advanced Disposal acquisition-related costs</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80" w:type="dxa"/>
            <w:vAlign w:val="bottom"/>
            <w:gridSpan w:val="3"/>
          </w:tcPr>
          <w:p>
            <w:pPr>
              <w:ind w:left="340"/>
              <w:spacing w:after="0"/>
              <w:rPr>
                <w:sz w:val="20"/>
                <w:szCs w:val="20"/>
                <w:color w:val="auto"/>
              </w:rPr>
            </w:pPr>
            <w:r>
              <w:rPr>
                <w:rFonts w:ascii="Arial" w:cs="Arial" w:eastAsia="Arial" w:hAnsi="Arial"/>
                <w:sz w:val="18"/>
                <w:szCs w:val="18"/>
                <w:color w:val="auto"/>
              </w:rPr>
              <w:t>Enterprise resource planning system related costs</w:t>
            </w:r>
          </w:p>
        </w:tc>
        <w:tc>
          <w:tcPr>
            <w:tcW w:w="2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Adjusted SG&amp;A expenses</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w:t>
            </w:r>
          </w:p>
        </w:tc>
        <w:tc>
          <w:tcPr>
            <w:tcW w:w="2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2020-02-13T09:56:57Z</dcterms:created>
  <dcterms:modified xsi:type="dcterms:W3CDTF">2020-02-13T09:56:57Z</dcterms:modified>
</cp:coreProperties>
</file>