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8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9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00" w:lineRule="exact"/>
        <w:rPr>
          <w:sz w:val="20"/>
          <w:szCs w:val="20"/>
          <w:color w:val="auto"/>
        </w:rPr>
      </w:pPr>
    </w:p>
    <w:p>
      <w:pPr>
        <w:spacing w:after="0" w:line="228" w:lineRule="exact"/>
        <w:rPr>
          <w:sz w:val="20"/>
          <w:szCs w:val="20"/>
          <w:color w:val="auto"/>
        </w:rPr>
      </w:pPr>
    </w:p>
    <w:p>
      <w:pPr>
        <w:ind w:left="1440" w:hanging="1081"/>
        <w:spacing w:after="0"/>
        <w:tabs>
          <w:tab w:leader="none" w:pos="1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w:t>
      </w:r>
    </w:p>
    <w:p>
      <w:pPr>
        <w:spacing w:after="0" w:line="27" w:lineRule="exact"/>
        <w:rPr>
          <w:rFonts w:ascii="MS PGothic" w:cs="MS PGothic" w:eastAsia="MS PGothic" w:hAnsi="MS PGothic"/>
          <w:sz w:val="22"/>
          <w:szCs w:val="22"/>
          <w:color w:val="auto"/>
        </w:rPr>
      </w:pPr>
    </w:p>
    <w:p>
      <w:pPr>
        <w:ind w:left="50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ACT OF 1934</w:t>
      </w:r>
    </w:p>
    <w:p>
      <w:pPr>
        <w:spacing w:after="0" w:line="151"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960" w:hanging="601"/>
        <w:spacing w:after="0"/>
        <w:tabs>
          <w:tab w:leader="none" w:pos="9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15(d) OF THE SECURITIES EXCHANGE ACT</w:t>
      </w:r>
    </w:p>
    <w:p>
      <w:pPr>
        <w:spacing w:after="0" w:line="25" w:lineRule="exact"/>
        <w:rPr>
          <w:rFonts w:ascii="Arial" w:cs="Arial" w:eastAsia="Arial" w:hAnsi="Arial"/>
          <w:sz w:val="21"/>
          <w:szCs w:val="21"/>
          <w:color w:val="auto"/>
        </w:rPr>
      </w:pPr>
    </w:p>
    <w:p>
      <w:pPr>
        <w:ind w:left="5320"/>
        <w:spacing w:after="0"/>
        <w:rPr>
          <w:rFonts w:ascii="Arial" w:cs="Arial" w:eastAsia="Arial" w:hAnsi="Arial"/>
          <w:sz w:val="21"/>
          <w:szCs w:val="21"/>
          <w:color w:val="auto"/>
        </w:rPr>
      </w:pPr>
      <w:r>
        <w:rPr>
          <w:rFonts w:ascii="Arial" w:cs="Arial" w:eastAsia="Arial" w:hAnsi="Arial"/>
          <w:sz w:val="22"/>
          <w:szCs w:val="22"/>
          <w:b w:val="1"/>
          <w:bCs w:val="1"/>
          <w:color w:val="auto"/>
        </w:rPr>
        <w:t>OF 1934</w:t>
      </w:r>
    </w:p>
    <w:p>
      <w:pPr>
        <w:spacing w:after="0" w:line="164" w:lineRule="exact"/>
        <w:rPr>
          <w:sz w:val="20"/>
          <w:szCs w:val="20"/>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-7620</wp:posOffset>
            </wp:positionV>
            <wp:extent cx="1238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967" w:right="11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4880" w:type="dxa"/>
            <w:vAlign w:val="bottom"/>
            <w:gridSpan w:val="5"/>
          </w:tcPr>
          <w:p>
            <w:pPr>
              <w:spacing w:after="0"/>
              <w:rPr>
                <w:sz w:val="24"/>
                <w:szCs w:val="24"/>
                <w:color w:val="auto"/>
              </w:rPr>
            </w:pPr>
          </w:p>
        </w:tc>
        <w:tc>
          <w:tcPr>
            <w:tcW w:w="23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888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2004 and 2003</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88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2004</w:t>
              </w:r>
            </w:hyperlink>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0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820" w:type="dxa"/>
            <w:vAlign w:val="bottom"/>
          </w:tcPr>
          <w:p>
            <w:pPr>
              <w:spacing w:after="0"/>
              <w:rPr>
                <w:sz w:val="17"/>
                <w:szCs w:val="17"/>
                <w:color w:val="auto"/>
              </w:rPr>
            </w:pPr>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17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Supplemental Schedules</w:t>
              </w:r>
            </w:hyperlink>
          </w:p>
        </w:tc>
        <w:tc>
          <w:tcPr>
            <w:tcW w:w="7320" w:type="dxa"/>
            <w:vAlign w:val="bottom"/>
            <w:gridSpan w:val="7"/>
          </w:tcPr>
          <w:p>
            <w:pPr>
              <w:spacing w:after="0"/>
              <w:rPr>
                <w:sz w:val="24"/>
                <w:szCs w:val="24"/>
                <w:color w:val="auto"/>
              </w:rPr>
            </w:pPr>
          </w:p>
        </w:tc>
        <w:tc>
          <w:tcPr>
            <w:tcW w:w="2320" w:type="dxa"/>
            <w:vAlign w:val="bottom"/>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5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Schedule H, Line 4(a) – Schedule of Delinquent Participant Contributions</w:t>
              </w:r>
            </w:hyperlink>
          </w:p>
        </w:tc>
        <w:tc>
          <w:tcPr>
            <w:tcW w:w="3560" w:type="dxa"/>
            <w:vAlign w:val="bottom"/>
            <w:gridSpan w:val="3"/>
          </w:tcPr>
          <w:p>
            <w:pPr>
              <w:spacing w:after="0"/>
              <w:rPr>
                <w:sz w:val="24"/>
                <w:szCs w:val="24"/>
                <w:color w:val="auto"/>
              </w:rPr>
            </w:pP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888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Schedule H, Line 4(i) – Schedule of Assets (Held At End of Year)</w:t>
              </w:r>
            </w:hyperlink>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13</w:t>
            </w:r>
          </w:p>
        </w:tc>
      </w:tr>
      <w:tr>
        <w:trPr>
          <w:trHeight w:val="639"/>
        </w:trPr>
        <w:tc>
          <w:tcPr>
            <w:tcW w:w="220" w:type="dxa"/>
            <w:vAlign w:val="bottom"/>
            <w:tcBorders>
              <w:bottom w:val="single" w:sz="8" w:color="808080"/>
            </w:tcBorders>
          </w:tcPr>
          <w:p>
            <w:pPr>
              <w:spacing w:after="0"/>
              <w:rPr>
                <w:sz w:val="24"/>
                <w:szCs w:val="24"/>
                <w:color w:val="auto"/>
              </w:rPr>
            </w:pPr>
          </w:p>
        </w:tc>
        <w:tc>
          <w:tcPr>
            <w:tcW w:w="1560" w:type="dxa"/>
            <w:vAlign w:val="bottom"/>
            <w:tcBorders>
              <w:top w:val="single" w:sz="8" w:color="0000EE"/>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2004 and 2003, and the related statement of changes in net assets available for benefits for the year ended December 31, 2004. These financial statements are the responsibility of the Plan’s management. Our responsibility is to express an opinion on these financial statements based on our audits.</w:t>
      </w:r>
    </w:p>
    <w:p>
      <w:pPr>
        <w:spacing w:after="0" w:line="10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2004 and 2003, and the changes in its net assets available for benefits for the year ended December 31, 2004, in conformity with U.S. generally accepted accounting principles.</w:t>
      </w:r>
    </w:p>
    <w:p>
      <w:pPr>
        <w:spacing w:after="0" w:line="1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 of assets (held at end of year) as of December 31, 2004, and schedule of delinquent participant contributions for the year then ended are presented for purposes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our audits of the financial statements and, in our opinion, are fairly stated in all material respects in relation to the financial statements taken as a whole.</w:t>
      </w:r>
    </w:p>
    <w:p>
      <w:pPr>
        <w:spacing w:after="0" w:line="34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2005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2004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Plan interest in the Master Trust (Note 3)</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$ 1,080,223,306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953,933,282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 loans</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52,842,934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49,381,642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1,133,066,240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1,003,314,924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Employee contributions</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1,441,701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 contributions</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1,581,931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Litigation settlement (Note 8)</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4,301,095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receivables</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3,023,632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5,131,525</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1,136,089,872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1,008,446,449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120"/>
              <w:spacing w:after="0"/>
              <w:rPr>
                <w:sz w:val="20"/>
                <w:szCs w:val="20"/>
                <w:color w:val="auto"/>
              </w:rPr>
            </w:pPr>
            <w:r>
              <w:rPr>
                <w:rFonts w:ascii="Arial" w:cs="Arial" w:eastAsia="Arial" w:hAnsi="Arial"/>
                <w:sz w:val="18"/>
                <w:szCs w:val="18"/>
                <w:i w:val="1"/>
                <w:iCs w:val="1"/>
                <w:color w:val="auto"/>
                <w:w w:val="91"/>
              </w:rPr>
              <w:t>The accompanying notes are an integral part of these financial statements.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2"/>
          </w:tcPr>
          <w:p>
            <w:pPr>
              <w:jc w:val="right"/>
              <w:ind w:right="275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40" w:type="dxa"/>
            <w:vAlign w:val="bottom"/>
          </w:tcPr>
          <w:p>
            <w:pPr>
              <w:jc w:val="center"/>
              <w:ind w:left="117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89"/>
              </w:rPr>
              <w:t>Year Ended December 31, 2004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0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71,387,105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6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4,532,705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42,287,254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118,207,064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80,589,680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Participant loan interest</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2,920,966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Litigation Settlement (Note 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2,333,427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Plan mergers (Note 9)</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12,434,643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216,485,780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88,842,357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800"/>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88,842,357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127,643,423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1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1,008,446,449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1,136,089,872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Plan document for a more complete description of the Plan’s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Employees of the Company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any other pension, retirement, profit-sharing, stock bonus, thrift or savings plan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w:t>
      </w:r>
    </w:p>
    <w:p>
      <w:pPr>
        <w:ind w:right="200"/>
        <w:spacing w:after="0" w:line="261" w:lineRule="auto"/>
        <w:rPr>
          <w:sz w:val="20"/>
          <w:szCs w:val="20"/>
          <w:color w:val="auto"/>
        </w:rPr>
      </w:pPr>
      <w:r>
        <w:rPr>
          <w:rFonts w:ascii="Arial" w:cs="Arial" w:eastAsia="Arial" w:hAnsi="Arial"/>
          <w:sz w:val="18"/>
          <w:szCs w:val="18"/>
          <w:color w:val="auto"/>
        </w:rPr>
        <w:t>3 percent of the participant’s compensation, as defined by the Plan, plus 50 percent of the participant’s Employee Contribution in excess of 3 percent of the participant’s compensation up to 6 percent of the participant’s compensation (“Employer Contribution”).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right="8820" w:firstLine="8"/>
        <w:spacing w:after="0" w:line="491"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Plan (continued) Investment Options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Certain participants’ accounts are invested in convertible notes (the “Notes”). No new investments are permitted in the Notes, and participants can move their investment out of the Notes at any time. The Plan utilizes cash equivalents to temporarily hold monies pending settlement for transactions initiated by participants.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02" w:lineRule="exact"/>
        <w:rPr>
          <w:sz w:val="20"/>
          <w:szCs w:val="20"/>
          <w:color w:val="auto"/>
        </w:rPr>
      </w:pPr>
    </w:p>
    <w:p>
      <w:pPr>
        <w:ind w:right="480"/>
        <w:spacing w:after="0" w:line="454" w:lineRule="auto"/>
        <w:rPr>
          <w:sz w:val="20"/>
          <w:szCs w:val="20"/>
          <w:color w:val="auto"/>
        </w:rPr>
      </w:pPr>
      <w:r>
        <w:rPr>
          <w:rFonts w:ascii="Arial" w:cs="Arial" w:eastAsia="Arial" w:hAnsi="Arial"/>
          <w:sz w:val="18"/>
          <w:szCs w:val="18"/>
          <w:color w:val="auto"/>
        </w:rPr>
        <w:t xml:space="preserve">Participants are immediately vested in their Employee Contribution, Rollover Contribution, and Employer Contribution accounts plus earnings thereon. </w:t>
      </w:r>
      <w:r>
        <w:rPr>
          <w:rFonts w:ascii="Arial" w:cs="Arial" w:eastAsia="Arial" w:hAnsi="Arial"/>
          <w:sz w:val="18"/>
          <w:szCs w:val="18"/>
          <w:b w:val="1"/>
          <w:bCs w:val="1"/>
          <w:color w:val="auto"/>
        </w:rPr>
        <w:t>Participant Accounts</w:t>
      </w:r>
    </w:p>
    <w:p>
      <w:pPr>
        <w:ind w:right="24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after receiving the hardship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which (a) existed prior to January 1, 1999, (b) result from a merger of another plan into this Plan or (c)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Such loans must be repaid over a period not to exceed 54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electing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2004, the Company elected to pay certain audit and legal fees of the Plan.</w:t>
      </w:r>
    </w:p>
    <w:p>
      <w:pPr>
        <w:spacing w:after="0" w:line="128" w:lineRule="exact"/>
        <w:rPr>
          <w:sz w:val="20"/>
          <w:szCs w:val="20"/>
          <w:color w:val="auto"/>
        </w:rPr>
      </w:pPr>
    </w:p>
    <w:p>
      <w:pPr>
        <w:ind w:right="8700" w:firstLine="8"/>
        <w:spacing w:after="0" w:line="46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2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are recorded when paid.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schedules,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of the financial statement date. The fair values of the common collective trust funds held by the Master Trust are established by State Street based on quoted market prices of the underlying assets. Short-term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investments and loans to participants are stated at cost, which approximates fair value. The Master Trust records purchases and sales of securities on a trade-date basis and dividends on the ex-dividend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Plan provides for investments in various securities, which,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for Bargaining Unit Employees (the “Union Plan”). As of December 31, 2004 and 2003, the Plan’s beneficial interest in the net assets of the Master Trust was 99.79% and 99.82%,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8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4"/>
                <w:szCs w:val="14"/>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Investments,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collective trust funds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952,914,406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$ 833,550,215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Short-term investments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10,111,033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4,937,729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stocks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10,531,517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Waste Management, Inc. common stock</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98,185,160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102,445,458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Convertible notes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1,084,133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Mutual funds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9,277,001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6,796,257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Limited partnerships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75,098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investments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1,082,178,348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955,629,311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Securities sold receivable</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290,675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receivable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924,635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Cash, non-interest bearing</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101,941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1,083,495,599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956,639,968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fees payable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899,646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Securities purchased payable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136,772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154,080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1,036,418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vMerge w:val="restart"/>
          </w:tcPr>
          <w:p>
            <w:pPr>
              <w:ind w:left="800"/>
              <w:spacing w:after="0"/>
              <w:rPr>
                <w:sz w:val="20"/>
                <w:szCs w:val="20"/>
                <w:color w:val="auto"/>
              </w:rPr>
            </w:pPr>
            <w:r>
              <w:rPr>
                <w:rFonts w:ascii="Arial" w:cs="Arial" w:eastAsia="Arial" w:hAnsi="Arial"/>
                <w:sz w:val="18"/>
                <w:szCs w:val="18"/>
                <w:color w:val="auto"/>
              </w:rPr>
              <w:t>Total net assets</w:t>
            </w:r>
          </w:p>
        </w:tc>
        <w:tc>
          <w:tcPr>
            <w:tcW w:w="4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1,082,459,181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955,654,469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Plan interest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1,080,223,306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$ 953,933,282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Union Plan interest</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2,235,875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1,721,187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160" w:type="dxa"/>
            <w:vAlign w:val="bottom"/>
          </w:tcPr>
          <w:p>
            <w:pPr>
              <w:jc w:val="right"/>
              <w:ind w:right="28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80" w:type="dxa"/>
            <w:vAlign w:val="bottom"/>
          </w:tcPr>
          <w:p>
            <w:pPr>
              <w:ind w:left="4080"/>
              <w:spacing w:after="0"/>
              <w:rPr>
                <w:sz w:val="20"/>
                <w:szCs w:val="20"/>
                <w:color w:val="auto"/>
              </w:rPr>
            </w:pPr>
            <w:r>
              <w:rPr>
                <w:rFonts w:ascii="Arial" w:cs="Arial" w:eastAsia="Arial" w:hAnsi="Arial"/>
                <w:sz w:val="18"/>
                <w:szCs w:val="18"/>
                <w:color w:val="auto"/>
              </w:rPr>
              <w:t>Waste Management Retirement Savings Plan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380" w:type="dxa"/>
            <w:vAlign w:val="bottom"/>
          </w:tcPr>
          <w:p>
            <w:pPr>
              <w:ind w:left="4180"/>
              <w:spacing w:after="0"/>
              <w:rPr>
                <w:sz w:val="20"/>
                <w:szCs w:val="20"/>
                <w:color w:val="auto"/>
              </w:rPr>
            </w:pPr>
            <w:r>
              <w:rPr>
                <w:rFonts w:ascii="Arial" w:cs="Arial" w:eastAsia="Arial" w:hAnsi="Arial"/>
                <w:sz w:val="18"/>
                <w:szCs w:val="18"/>
                <w:color w:val="auto"/>
              </w:rPr>
              <w:t>Notes to Financial Statements (continued)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3. Plan Interest in the Master Trust (continued)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0" w:type="dxa"/>
            <w:vAlign w:val="bottom"/>
            <w:gridSpan w:val="2"/>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2004, is as follows: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0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9,995,782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Common collective trust funds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66,711,094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2,815,341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Limited partnerships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585,088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Total net appreciation in fair value of investments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71,535,954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investment gain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84,717,792</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Administrative fees</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(3,951,905)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gain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80,765,887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400" w:type="dxa"/>
            <w:vAlign w:val="bottom"/>
            <w:gridSpan w:val="2"/>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80,589,680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 in investment gain from the Master Trust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Plan has received a determination letter from the Internal Revenue Service (“IRS”) dated June 20, 2002, stating that the Plan is qualified under</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401(a) of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Reconciliation of Financial Statements to Form 5500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2004 and 2003:</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2004</w:t>
            </w:r>
          </w:p>
        </w:tc>
        <w:tc>
          <w:tcPr>
            <w:tcW w:w="42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$ 1,136,089,872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$ 1,008,446,449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Less- Amounts pending distribution to participants</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(69,651)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(156,952)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1,136,020,221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1,008,289,497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benefits paid to participants per the financial statements to the Form 5500 for the year ended December 31, 2004: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$88,842,357</w:t>
            </w:r>
          </w:p>
        </w:tc>
        <w:tc>
          <w:tcPr>
            <w:tcW w:w="80" w:type="dxa"/>
            <w:vAlign w:val="bottom"/>
            <w:shd w:val="clear" w:color="auto" w:fill="CCEEFF"/>
          </w:tcPr>
          <w:p>
            <w:pPr>
              <w:spacing w:after="0"/>
              <w:rPr>
                <w:sz w:val="18"/>
                <w:szCs w:val="18"/>
                <w:color w:val="auto"/>
              </w:rPr>
            </w:pPr>
          </w:p>
        </w:tc>
      </w:tr>
      <w:tr>
        <w:trPr>
          <w:trHeight w:val="216"/>
        </w:trPr>
        <w:tc>
          <w:tcPr>
            <w:tcW w:w="10400" w:type="dxa"/>
            <w:vAlign w:val="bottom"/>
          </w:tcPr>
          <w:p>
            <w:pPr>
              <w:ind w:left="420"/>
              <w:spacing w:after="0"/>
              <w:rPr>
                <w:sz w:val="20"/>
                <w:szCs w:val="20"/>
                <w:color w:val="auto"/>
              </w:rPr>
            </w:pPr>
            <w:r>
              <w:rPr>
                <w:rFonts w:ascii="Arial" w:cs="Arial" w:eastAsia="Arial" w:hAnsi="Arial"/>
                <w:sz w:val="18"/>
                <w:szCs w:val="18"/>
                <w:color w:val="auto"/>
              </w:rPr>
              <w:t>Add - Amounts pending distribution to participants at December 31, 2004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69,651</w:t>
            </w:r>
          </w:p>
        </w:tc>
        <w:tc>
          <w:tcPr>
            <w:tcW w:w="80" w:type="dxa"/>
            <w:vAlign w:val="bottom"/>
          </w:tcPr>
          <w:p>
            <w:pPr>
              <w:spacing w:after="0"/>
              <w:rPr>
                <w:sz w:val="18"/>
                <w:szCs w:val="18"/>
                <w:color w:val="auto"/>
              </w:rPr>
            </w:pPr>
          </w:p>
        </w:tc>
      </w:tr>
      <w:tr>
        <w:trPr>
          <w:trHeight w:val="216"/>
        </w:trPr>
        <w:tc>
          <w:tcPr>
            <w:tcW w:w="10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Amounts pending distribution to participants at December 31, 2003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(156,952)</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Benefits paid to participants per the Form 5500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88,755,056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pending distribution are recorded on the Form 5500 for benefit claims that have been processed and approved for payment prior to December 31, but which have not yet been paid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 that the prices at which the Plan purchased the stock were artificially inflated by omissions of a material nature about Waste Management Holdings’ financial condition and that the stock of Waste Management Holdings should not have been an investment option. The plaintiffs in the D.C. Case also allege that certain of the defendants breached a variety of ERISA requirements by, among other things, electing to participate in the Illinois securities class action settlement related to a time frame ending February 28,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1998, rather than opting out of the settlements to assert distinct ERISA claims that did not apply to other members of the settlement class.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Illinois securities class action arose from Waste Management Holdings’ February 1998 restatement of prior period earnings and charge to fourth quarter 1997 earnings. The parties to the Illinois securities class action agreed to a settlement that became final in 1999 (the “Illinois Settlement”). The Plan participated in the settlement class and, in 2000, a share of the settlement proceeds was placed into the trust of the Plan.</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defendants in the D.C. Case asserts that most, if not all, of the plaintiffs’ causes of action have been released as a result of the Illinois Settlement or are time-barred. The defendants have filed a motion to dismiss the plaintiffs’ amended complaint. The outcome of this lawsuit cannot be predicted with certainty, and these matters could impact the Plan’s net assets available for benefits. The Plan and the other defendants intend to defend themselves vigorously in this litigation.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Litigation Settlement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Plan participated in the settlement of a securities class action related to the Company’s earnings announcements in July and August of 1999. As a result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this settlement, the Plan received approximately $2.3 million on March 17, 2004 and $4.3 million on June 25, 2004. Of this amount,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 million was accrued as a receivable as of December 31, 2003. The remaining $2.3 million was recognized as income in 2004, following finalization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allocations to the entire settlement class. Settlement monies received into the trust of the Plan were apportioned to participants’ accounts in relation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degree, if any, that a participant may have held an interest in the Company stock fund, through the Plan, from June 11, 1998 through November 9, 1999.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Mergers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2004, the assets from plans of acquired companies were merged into the Plan. The following sets forth assets transferred into the Plan as s result of mergers during 2004: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Peltz Group, Inc. Retirement Savings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$10,560,279</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American Waste Services, Inc. Participating Companies Profit Sharing Plan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722,734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Speedway Disposal &amp; Recycling, Inc. Salary Savings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892,906</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258,724</w:t>
            </w:r>
          </w:p>
        </w:tc>
        <w:tc>
          <w:tcPr>
            <w:tcW w:w="100" w:type="dxa"/>
            <w:vAlign w:val="bottom"/>
          </w:tcPr>
          <w:p>
            <w:pPr>
              <w:spacing w:after="0"/>
              <w:rPr>
                <w:sz w:val="19"/>
                <w:szCs w:val="19"/>
                <w:color w:val="auto"/>
              </w:rPr>
            </w:pPr>
          </w:p>
        </w:tc>
      </w:tr>
      <w:tr>
        <w:trPr>
          <w:trHeight w:val="216"/>
        </w:trPr>
        <w:tc>
          <w:tcPr>
            <w:tcW w:w="10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12,434,643</w:t>
            </w:r>
          </w:p>
        </w:tc>
      </w:tr>
      <w:tr>
        <w:trPr>
          <w:trHeight w:val="20"/>
        </w:trPr>
        <w:tc>
          <w:tcPr>
            <w:tcW w:w="10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 January 1, 2005, the deferral rate for participant contributions was increased from 1% to 15% of eligible pretax compensation to 1% to 25%, not to exceed certain limits as described in the Plan document.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Supplemental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431800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2004</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3"/>
              </w:rPr>
              <w:t>Participant Contributions Transferred toe</w:t>
            </w:r>
          </w:p>
        </w:tc>
        <w:tc>
          <w:tcPr>
            <w:tcW w:w="648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3"/>
              </w:rPr>
              <w:t>Total that Constitute Non Exempt</w:t>
            </w:r>
          </w:p>
        </w:tc>
      </w:tr>
      <w:tr>
        <w:trPr>
          <w:trHeight w:val="171"/>
        </w:trPr>
        <w:tc>
          <w:tcPr>
            <w:tcW w:w="17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jc w:val="center"/>
              <w:ind w:right="2179"/>
              <w:spacing w:after="0"/>
              <w:rPr>
                <w:sz w:val="20"/>
                <w:szCs w:val="20"/>
                <w:color w:val="auto"/>
              </w:rPr>
            </w:pPr>
            <w:r>
              <w:rPr>
                <w:rFonts w:ascii="Arial" w:cs="Arial" w:eastAsia="Arial" w:hAnsi="Arial"/>
                <w:sz w:val="14"/>
                <w:szCs w:val="14"/>
                <w:b w:val="1"/>
                <w:bCs w:val="1"/>
                <w:color w:val="auto"/>
                <w:w w:val="93"/>
              </w:rPr>
              <w:t>Late to Plan</w:t>
            </w:r>
          </w:p>
        </w:tc>
        <w:tc>
          <w:tcPr>
            <w:tcW w:w="210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tcPr>
          <w:p>
            <w:pPr>
              <w:jc w:val="center"/>
              <w:ind w:right="2539"/>
              <w:spacing w:after="0"/>
              <w:rPr>
                <w:sz w:val="20"/>
                <w:szCs w:val="20"/>
                <w:color w:val="auto"/>
              </w:rPr>
            </w:pPr>
            <w:r>
              <w:rPr>
                <w:rFonts w:ascii="Arial" w:cs="Arial" w:eastAsia="Arial" w:hAnsi="Arial"/>
                <w:sz w:val="14"/>
                <w:szCs w:val="14"/>
                <w:b w:val="1"/>
                <w:bCs w:val="1"/>
                <w:color w:val="auto"/>
                <w:w w:val="92"/>
              </w:rPr>
              <w:t>Prohibited Transactions</w:t>
            </w:r>
          </w:p>
        </w:tc>
      </w:tr>
      <w:tr>
        <w:trPr>
          <w:trHeight w:val="224"/>
        </w:trPr>
        <w:tc>
          <w:tcPr>
            <w:tcW w:w="1740" w:type="dxa"/>
            <w:vAlign w:val="bottom"/>
          </w:tcPr>
          <w:p>
            <w:pPr>
              <w:jc w:val="right"/>
              <w:ind w:right="19"/>
              <w:spacing w:after="0"/>
              <w:rPr>
                <w:sz w:val="20"/>
                <w:szCs w:val="20"/>
                <w:color w:val="auto"/>
              </w:rPr>
            </w:pPr>
            <w:r>
              <w:rPr>
                <w:rFonts w:ascii="Arial" w:cs="Arial" w:eastAsia="Arial" w:hAnsi="Arial"/>
                <w:sz w:val="18"/>
                <w:szCs w:val="18"/>
                <w:color w:val="auto"/>
              </w:rPr>
              <w:t>$2,498</w:t>
            </w:r>
          </w:p>
        </w:tc>
        <w:tc>
          <w:tcPr>
            <w:tcW w:w="3200" w:type="dxa"/>
            <w:vAlign w:val="bottom"/>
          </w:tcPr>
          <w:p>
            <w:pPr>
              <w:ind w:left="1400"/>
              <w:spacing w:after="0"/>
              <w:rPr>
                <w:sz w:val="20"/>
                <w:szCs w:val="20"/>
                <w:color w:val="auto"/>
              </w:rPr>
            </w:pPr>
            <w:r>
              <w:rPr>
                <w:rFonts w:ascii="Arial" w:cs="Arial" w:eastAsia="Arial" w:hAnsi="Arial"/>
                <w:sz w:val="18"/>
                <w:szCs w:val="18"/>
                <w:color w:val="auto"/>
              </w:rPr>
              <w:t>(A)</w:t>
            </w:r>
          </w:p>
        </w:tc>
        <w:tc>
          <w:tcPr>
            <w:tcW w:w="2100" w:type="dxa"/>
            <w:vAlign w:val="bottom"/>
          </w:tcPr>
          <w:p>
            <w:pPr>
              <w:jc w:val="right"/>
              <w:ind w:right="39"/>
              <w:spacing w:after="0"/>
              <w:rPr>
                <w:sz w:val="20"/>
                <w:szCs w:val="20"/>
                <w:color w:val="auto"/>
              </w:rPr>
            </w:pPr>
            <w:r>
              <w:rPr>
                <w:rFonts w:ascii="Arial" w:cs="Arial" w:eastAsia="Arial" w:hAnsi="Arial"/>
                <w:sz w:val="18"/>
                <w:szCs w:val="18"/>
                <w:color w:val="auto"/>
              </w:rPr>
              <w:t>$ 2,498</w:t>
            </w:r>
          </w:p>
        </w:tc>
        <w:tc>
          <w:tcPr>
            <w:tcW w:w="4380" w:type="dxa"/>
            <w:vAlign w:val="bottom"/>
          </w:tcPr>
          <w:p>
            <w:pPr>
              <w:ind w:left="1560"/>
              <w:spacing w:after="0"/>
              <w:rPr>
                <w:sz w:val="20"/>
                <w:szCs w:val="20"/>
                <w:color w:val="auto"/>
              </w:rPr>
            </w:pPr>
            <w:r>
              <w:rPr>
                <w:rFonts w:ascii="Arial" w:cs="Arial" w:eastAsia="Arial" w:hAnsi="Arial"/>
                <w:sz w:val="18"/>
                <w:szCs w:val="18"/>
                <w:color w:val="auto"/>
              </w:rPr>
              <w:t>(A)</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The Plan corrected these delinquent 2003 contributions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Identity of Issue</w:t>
            </w:r>
          </w:p>
        </w:tc>
        <w:tc>
          <w:tcPr>
            <w:tcW w:w="4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Description of Investment</w:t>
            </w:r>
          </w:p>
        </w:tc>
        <w:tc>
          <w:tcPr>
            <w:tcW w:w="34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Current Value</w:t>
            </w:r>
          </w:p>
        </w:tc>
      </w:tr>
      <w:tr>
        <w:trPr>
          <w:trHeight w:val="209"/>
        </w:trPr>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*Participant Loans</w:t>
            </w: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1"/>
              </w:rPr>
              <w:t>Various maturity dates with</w:t>
            </w:r>
          </w:p>
        </w:tc>
        <w:tc>
          <w:tcPr>
            <w:tcW w:w="3420" w:type="dxa"/>
            <w:vAlign w:val="bottom"/>
          </w:tcPr>
          <w:p>
            <w:pPr>
              <w:ind w:left="1260"/>
              <w:spacing w:after="0"/>
              <w:rPr>
                <w:sz w:val="20"/>
                <w:szCs w:val="20"/>
                <w:color w:val="auto"/>
              </w:rPr>
            </w:pPr>
            <w:r>
              <w:rPr>
                <w:rFonts w:ascii="Arial" w:cs="Arial" w:eastAsia="Arial" w:hAnsi="Arial"/>
                <w:sz w:val="18"/>
                <w:szCs w:val="18"/>
                <w:color w:val="auto"/>
              </w:rPr>
              <w:t>$52,842,934</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0"/>
              </w:rPr>
              <w:t>interest rates ranging from</w:t>
            </w:r>
          </w:p>
        </w:tc>
        <w:tc>
          <w:tcPr>
            <w:tcW w:w="34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0"/>
              </w:rPr>
              <w:t>5.0% to 11.5%</w:t>
            </w:r>
          </w:p>
        </w:tc>
        <w:tc>
          <w:tcPr>
            <w:tcW w:w="3420" w:type="dxa"/>
            <w:vAlign w:val="bottom"/>
          </w:tcPr>
          <w:p>
            <w:pPr>
              <w:spacing w:after="0"/>
              <w:rPr>
                <w:sz w:val="20"/>
                <w:szCs w:val="20"/>
                <w:color w:val="auto"/>
              </w:rPr>
            </w:pPr>
          </w:p>
        </w:tc>
      </w:tr>
      <w:tr>
        <w:trPr>
          <w:trHeight w:val="284"/>
        </w:trPr>
        <w:tc>
          <w:tcPr>
            <w:tcW w:w="206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3560" w:type="dxa"/>
            <w:vAlign w:val="bottom"/>
            <w:gridSpan w:val="2"/>
          </w:tcPr>
          <w:p>
            <w:pPr>
              <w:spacing w:after="0"/>
              <w:rPr>
                <w:sz w:val="20"/>
                <w:szCs w:val="20"/>
                <w:color w:val="auto"/>
              </w:rPr>
            </w:pPr>
            <w:r>
              <w:rPr>
                <w:rFonts w:ascii="Arial" w:cs="Arial" w:eastAsia="Arial" w:hAnsi="Arial"/>
                <w:sz w:val="18"/>
                <w:szCs w:val="18"/>
                <w:color w:val="auto"/>
              </w:rPr>
              <w:t>*Party-in-interest</w:t>
            </w: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jc w:val="center"/>
              <w:ind w:right="54"/>
              <w:spacing w:after="0"/>
              <w:rPr>
                <w:sz w:val="20"/>
                <w:szCs w:val="20"/>
                <w:color w:val="auto"/>
              </w:rPr>
            </w:pPr>
            <w:r>
              <w:rPr>
                <w:rFonts w:ascii="Arial" w:cs="Arial" w:eastAsia="Arial" w:hAnsi="Arial"/>
                <w:sz w:val="18"/>
                <w:szCs w:val="18"/>
                <w:color w:val="auto"/>
                <w:w w:val="89"/>
              </w:rPr>
              <w:t>13</w:t>
            </w:r>
          </w:p>
        </w:tc>
        <w:tc>
          <w:tcPr>
            <w:tcW w:w="3420" w:type="dxa"/>
            <w:vAlign w:val="bottom"/>
          </w:tcPr>
          <w:p>
            <w:pPr>
              <w:spacing w:after="0"/>
              <w:rPr>
                <w:sz w:val="24"/>
                <w:szCs w:val="24"/>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 Pursuant to the requirements of section 15(d) of the Securities Exchange Act of 1934, the Administrative Committee has duly caused this Annual Report to be signed on its behalf by the undersigned 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Date: June 27, 2005</w:t>
            </w:r>
          </w:p>
        </w:tc>
        <w:tc>
          <w:tcPr>
            <w:tcW w:w="7900" w:type="dxa"/>
            <w:vAlign w:val="bottom"/>
            <w:gridSpan w:val="2"/>
          </w:tcPr>
          <w:p>
            <w:pPr>
              <w:ind w:left="2060"/>
              <w:spacing w:after="0"/>
              <w:rPr>
                <w:sz w:val="20"/>
                <w:szCs w:val="20"/>
                <w:color w:val="auto"/>
              </w:rPr>
            </w:pPr>
            <w:r>
              <w:rPr>
                <w:rFonts w:ascii="Arial" w:cs="Arial" w:eastAsia="Arial" w:hAnsi="Arial"/>
                <w:sz w:val="18"/>
                <w:szCs w:val="18"/>
                <w:color w:val="auto"/>
              </w:rPr>
              <w:t>WASTE MANAGEMENT RETIREMENT SAVINGS</w:t>
            </w:r>
          </w:p>
        </w:tc>
      </w:tr>
      <w:tr>
        <w:trPr>
          <w:trHeight w:val="230"/>
        </w:trPr>
        <w:tc>
          <w:tcPr>
            <w:tcW w:w="3520" w:type="dxa"/>
            <w:vAlign w:val="bottom"/>
          </w:tcPr>
          <w:p>
            <w:pPr>
              <w:spacing w:after="0"/>
              <w:rPr>
                <w:sz w:val="20"/>
                <w:szCs w:val="20"/>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PLAN</w:t>
            </w:r>
          </w:p>
        </w:tc>
        <w:tc>
          <w:tcPr>
            <w:tcW w:w="516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/s/Krista DelSota</w:t>
            </w:r>
          </w:p>
        </w:tc>
      </w:tr>
      <w:tr>
        <w:trPr>
          <w:trHeight w:val="209"/>
        </w:trPr>
        <w:tc>
          <w:tcPr>
            <w:tcW w:w="3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Krista DelSota</w:t>
            </w:r>
          </w:p>
        </w:tc>
      </w:tr>
      <w:tr>
        <w:trPr>
          <w:trHeight w:val="216"/>
        </w:trPr>
        <w:tc>
          <w:tcPr>
            <w:tcW w:w="3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Member, Administrative Committee of the Waste Management</w:t>
            </w:r>
          </w:p>
        </w:tc>
      </w:tr>
      <w:tr>
        <w:trPr>
          <w:trHeight w:val="216"/>
        </w:trPr>
        <w:tc>
          <w:tcPr>
            <w:tcW w:w="3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Employee Benefit Plans Member, Investment Committee of the Waste</w:t>
            </w:r>
          </w:p>
        </w:tc>
      </w:tr>
      <w:tr>
        <w:trPr>
          <w:trHeight w:val="230"/>
        </w:trPr>
        <w:tc>
          <w:tcPr>
            <w:tcW w:w="3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Management Employee Benefit Plans</w:t>
            </w:r>
          </w:p>
        </w:tc>
      </w:tr>
      <w:tr>
        <w:trPr>
          <w:trHeight w:val="392"/>
        </w:trPr>
        <w:tc>
          <w:tcPr>
            <w:tcW w:w="3520" w:type="dxa"/>
            <w:vAlign w:val="bottom"/>
          </w:tcPr>
          <w:p>
            <w:pPr>
              <w:spacing w:after="0"/>
              <w:rPr>
                <w:sz w:val="24"/>
                <w:szCs w:val="24"/>
                <w:color w:val="auto"/>
              </w:rPr>
            </w:pPr>
          </w:p>
        </w:tc>
        <w:tc>
          <w:tcPr>
            <w:tcW w:w="274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516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960" w:type="dxa"/>
            <w:vAlign w:val="bottom"/>
          </w:tcPr>
          <w:p>
            <w:pPr>
              <w:ind w:left="21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31"/>
        </w:trPr>
        <w:tc>
          <w:tcPr>
            <w:tcW w:w="2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60" w:type="dxa"/>
            <w:vAlign w:val="bottom"/>
            <w:vMerge w:val="restart"/>
          </w:tcPr>
          <w:p>
            <w:pPr>
              <w:ind w:left="3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8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931"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June 21, 2005, with respect to the financial statements and schedules of the Waste Management Retirement Savings Plan included in this Annual Report (Form 11-K) for the year ended December 31, 2004.</w:t>
      </w:r>
    </w:p>
    <w:p>
      <w:pPr>
        <w:spacing w:after="0" w:line="35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2019-12-20T03:51:05Z</dcterms:created>
  <dcterms:modified xsi:type="dcterms:W3CDTF">2019-12-20T03:51:05Z</dcterms:modified>
</cp:coreProperties>
</file>