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94106L109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November 28, 2011</w:t>
      </w:r>
    </w:p>
    <w:p>
      <w:pPr>
        <w:spacing w:after="0" w:line="23"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40" w:hanging="1028"/>
        <w:spacing w:after="0"/>
        <w:tabs>
          <w:tab w:leader="none" w:pos="1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sz w:val="24"/>
          <w:szCs w:val="24"/>
          <w:color w:val="auto"/>
        </w:rPr>
      </w:pPr>
    </w:p>
    <w:p>
      <w:pPr>
        <w:ind w:left="1740" w:hanging="1028"/>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 w:lineRule="exact"/>
        <w:rPr>
          <w:sz w:val="24"/>
          <w:szCs w:val="24"/>
          <w:color w:val="auto"/>
        </w:rPr>
      </w:pPr>
    </w:p>
    <w:p>
      <w:pPr>
        <w:ind w:left="1740" w:hanging="1028"/>
        <w:spacing w:after="0"/>
        <w:tabs>
          <w:tab w:leader="none" w:pos="17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94106L109</w:t>
            </w:r>
          </w:p>
        </w:tc>
        <w:tc>
          <w:tcPr>
            <w:tcW w:w="378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1"/>
              </w:rPr>
              <w:t>Page 2 of 5 Pages</w:t>
            </w: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97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ind w:left="360"/>
        <w:spacing w:after="0" w:line="228" w:lineRule="auto"/>
        <w:rPr>
          <w:sz w:val="20"/>
          <w:szCs w:val="20"/>
          <w:color w:val="auto"/>
        </w:rPr>
      </w:pPr>
      <w:r>
        <w:rPr>
          <w:rFonts w:ascii="Arial" w:cs="Arial" w:eastAsia="Arial" w:hAnsi="Arial"/>
          <w:sz w:val="22"/>
          <w:szCs w:val="22"/>
          <w:b w:val="1"/>
          <w:bCs w:val="1"/>
          <w:color w:val="auto"/>
        </w:rPr>
        <w:t>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Maori European Holding, S.L.</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bl>
      <w:tblPr>
        <w:tblLayout w:type="fixed"/>
        <w:tblInd w:w="360" w:type="dxa"/>
        <w:tblCellMar>
          <w:top w:w="0" w:type="dxa"/>
          <w:left w:w="0" w:type="dxa"/>
          <w:bottom w:w="0" w:type="dxa"/>
          <w:right w:w="0" w:type="dxa"/>
        </w:tblCellMar>
      </w:tblPr>
      <w:tr>
        <w:trPr>
          <w:trHeight w:val="193"/>
        </w:trPr>
        <w:tc>
          <w:tcPr>
            <w:tcW w:w="5320" w:type="dxa"/>
            <w:vAlign w:val="bottom"/>
          </w:tcPr>
          <w:p>
            <w:pPr>
              <w:jc w:val="right"/>
              <w:ind w:right="5092"/>
              <w:spacing w:after="0" w:line="192" w:lineRule="exact"/>
              <w:rPr>
                <w:sz w:val="20"/>
                <w:szCs w:val="20"/>
                <w:color w:val="auto"/>
              </w:rPr>
            </w:pPr>
            <w:r>
              <w:rPr>
                <w:rFonts w:ascii="Arial" w:cs="Arial" w:eastAsia="Arial" w:hAnsi="Arial"/>
                <w:sz w:val="22"/>
                <w:szCs w:val="22"/>
                <w:b w:val="1"/>
                <w:bCs w:val="1"/>
                <w:color w:val="auto"/>
                <w:w w:val="81"/>
              </w:rPr>
              <w:t>2</w:t>
            </w:r>
          </w:p>
        </w:tc>
        <w:tc>
          <w:tcPr>
            <w:tcW w:w="5620" w:type="dxa"/>
            <w:vAlign w:val="bottom"/>
          </w:tcPr>
          <w:p>
            <w:pPr>
              <w:jc w:val="right"/>
              <w:spacing w:after="0" w:line="19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5320" w:type="dxa"/>
            <w:vAlign w:val="bottom"/>
          </w:tcPr>
          <w:p>
            <w:pPr>
              <w:spacing w:after="0"/>
              <w:rPr>
                <w:sz w:val="24"/>
                <w:szCs w:val="24"/>
                <w:color w:val="auto"/>
              </w:rPr>
            </w:pPr>
          </w:p>
        </w:tc>
        <w:tc>
          <w:tcPr>
            <w:tcW w:w="56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66" w:lineRule="exact"/>
        <w:rPr>
          <w:sz w:val="20"/>
          <w:szCs w:val="20"/>
          <w:color w:val="auto"/>
        </w:rPr>
      </w:pPr>
    </w:p>
    <w:p>
      <w:pPr>
        <w:ind w:left="920" w:hanging="554"/>
        <w:spacing w:after="0"/>
        <w:tabs>
          <w:tab w:leader="none" w:pos="92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20" w:type="dxa"/>
            <w:vAlign w:val="bottom"/>
            <w:gridSpan w:val="2"/>
          </w:tcPr>
          <w:p>
            <w:pPr>
              <w:ind w:left="9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2060" w:type="dxa"/>
            <w:vAlign w:val="bottom"/>
          </w:tcPr>
          <w:p>
            <w:pPr>
              <w:jc w:val="right"/>
              <w:ind w:right="1488"/>
              <w:spacing w:after="0" w:line="243" w:lineRule="exact"/>
              <w:rPr>
                <w:sz w:val="20"/>
                <w:szCs w:val="20"/>
                <w:color w:val="auto"/>
              </w:rPr>
            </w:pPr>
            <w:r>
              <w:rPr>
                <w:rFonts w:ascii="Arial" w:cs="Arial" w:eastAsia="Arial" w:hAnsi="Arial"/>
                <w:sz w:val="22"/>
                <w:szCs w:val="22"/>
                <w:b w:val="1"/>
                <w:bCs w:val="1"/>
                <w:color w:val="auto"/>
              </w:rPr>
              <w:t>4</w:t>
            </w:r>
          </w:p>
        </w:tc>
        <w:tc>
          <w:tcPr>
            <w:tcW w:w="9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Spain</w:t>
            </w:r>
          </w:p>
        </w:tc>
        <w:tc>
          <w:tcPr>
            <w:tcW w:w="9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9360" w:type="dxa"/>
            <w:vAlign w:val="bottom"/>
          </w:tcPr>
          <w:p>
            <w:pPr>
              <w:ind w:left="900"/>
              <w:spacing w:after="0" w:line="176"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9360" w:type="dxa"/>
            <w:vAlign w:val="bottom"/>
          </w:tcPr>
          <w:p>
            <w:pPr>
              <w:ind w:left="360"/>
              <w:spacing w:after="0" w:line="243" w:lineRule="exact"/>
              <w:rPr>
                <w:sz w:val="20"/>
                <w:szCs w:val="20"/>
                <w:color w:val="auto"/>
              </w:rPr>
            </w:pPr>
            <w:r>
              <w:rPr>
                <w:rFonts w:ascii="Arial" w:cs="Arial" w:eastAsia="Arial" w:hAnsi="Arial"/>
                <w:sz w:val="22"/>
                <w:szCs w:val="22"/>
                <w:b w:val="1"/>
                <w:bCs w:val="1"/>
                <w:color w:val="auto"/>
              </w:rPr>
              <w:t>5</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93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13,061,472</w:t>
            </w:r>
          </w:p>
        </w:tc>
        <w:tc>
          <w:tcPr>
            <w:tcW w:w="0" w:type="dxa"/>
            <w:vAlign w:val="bottom"/>
          </w:tcPr>
          <w:p>
            <w:pPr>
              <w:spacing w:after="0"/>
              <w:rPr>
                <w:sz w:val="1"/>
                <w:szCs w:val="1"/>
                <w:color w:val="auto"/>
              </w:rPr>
            </w:pPr>
          </w:p>
        </w:tc>
      </w:tr>
      <w:tr>
        <w:trPr>
          <w:trHeight w:val="16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360" w:type="dxa"/>
            <w:vAlign w:val="bottom"/>
          </w:tcPr>
          <w:p>
            <w:pPr>
              <w:ind w:left="900"/>
              <w:spacing w:after="0" w:line="16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060" w:type="dxa"/>
            <w:vAlign w:val="bottom"/>
            <w:vMerge w:val="continue"/>
          </w:tcPr>
          <w:p>
            <w:pPr>
              <w:spacing w:after="0"/>
              <w:rPr>
                <w:sz w:val="11"/>
                <w:szCs w:val="11"/>
                <w:color w:val="auto"/>
              </w:rPr>
            </w:pPr>
          </w:p>
        </w:tc>
        <w:tc>
          <w:tcPr>
            <w:tcW w:w="9360" w:type="dxa"/>
            <w:vAlign w:val="bottom"/>
            <w:vMerge w:val="restart"/>
          </w:tcPr>
          <w:p>
            <w:pPr>
              <w:ind w:left="360"/>
              <w:spacing w:after="0" w:line="243" w:lineRule="exact"/>
              <w:rPr>
                <w:sz w:val="20"/>
                <w:szCs w:val="20"/>
                <w:color w:val="auto"/>
              </w:rPr>
            </w:pPr>
            <w:r>
              <w:rPr>
                <w:rFonts w:ascii="Arial" w:cs="Arial" w:eastAsia="Arial" w:hAnsi="Arial"/>
                <w:sz w:val="22"/>
                <w:szCs w:val="22"/>
                <w:b w:val="1"/>
                <w:bCs w:val="1"/>
                <w:color w:val="auto"/>
              </w:rPr>
              <w:t>6</w:t>
            </w:r>
          </w:p>
        </w:tc>
        <w:tc>
          <w:tcPr>
            <w:tcW w:w="0" w:type="dxa"/>
            <w:vAlign w:val="bottom"/>
          </w:tcPr>
          <w:p>
            <w:pPr>
              <w:spacing w:after="0"/>
              <w:rPr>
                <w:sz w:val="1"/>
                <w:szCs w:val="1"/>
                <w:color w:val="auto"/>
              </w:rPr>
            </w:pPr>
          </w:p>
        </w:tc>
      </w:tr>
      <w:tr>
        <w:trPr>
          <w:trHeight w:val="108"/>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9360" w:type="dxa"/>
            <w:vAlign w:val="bottom"/>
            <w:vMerge w:val="restart"/>
          </w:tcPr>
          <w:p>
            <w:pPr>
              <w:ind w:left="9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60" w:type="dxa"/>
            <w:vAlign w:val="bottom"/>
            <w:vMerge w:val="continue"/>
          </w:tcPr>
          <w:p>
            <w:pPr>
              <w:spacing w:after="0"/>
              <w:rPr>
                <w:sz w:val="6"/>
                <w:szCs w:val="6"/>
                <w:color w:val="auto"/>
              </w:rPr>
            </w:pPr>
          </w:p>
        </w:tc>
        <w:tc>
          <w:tcPr>
            <w:tcW w:w="9360" w:type="dxa"/>
            <w:vAlign w:val="bottom"/>
            <w:vMerge w:val="restart"/>
          </w:tcPr>
          <w:p>
            <w:pPr>
              <w:ind w:left="90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vMerge w:val="continue"/>
          </w:tcPr>
          <w:p>
            <w:pPr>
              <w:spacing w:after="0"/>
              <w:rPr>
                <w:sz w:val="10"/>
                <w:szCs w:val="10"/>
                <w:color w:val="auto"/>
              </w:rPr>
            </w:pPr>
          </w:p>
        </w:tc>
        <w:tc>
          <w:tcPr>
            <w:tcW w:w="9360" w:type="dxa"/>
            <w:vAlign w:val="bottom"/>
            <w:vMerge w:val="restart"/>
          </w:tcPr>
          <w:p>
            <w:pPr>
              <w:ind w:left="360"/>
              <w:spacing w:after="0" w:line="243" w:lineRule="exact"/>
              <w:rPr>
                <w:sz w:val="20"/>
                <w:szCs w:val="20"/>
                <w:color w:val="auto"/>
              </w:rPr>
            </w:pPr>
            <w:r>
              <w:rPr>
                <w:rFonts w:ascii="Arial" w:cs="Arial" w:eastAsia="Arial" w:hAnsi="Arial"/>
                <w:sz w:val="22"/>
                <w:szCs w:val="22"/>
                <w:b w:val="1"/>
                <w:bCs w:val="1"/>
                <w:color w:val="auto"/>
              </w:rPr>
              <w:t>7</w:t>
            </w:r>
          </w:p>
        </w:tc>
        <w:tc>
          <w:tcPr>
            <w:tcW w:w="0" w:type="dxa"/>
            <w:vAlign w:val="bottom"/>
          </w:tcPr>
          <w:p>
            <w:pPr>
              <w:spacing w:after="0"/>
              <w:rPr>
                <w:sz w:val="1"/>
                <w:szCs w:val="1"/>
                <w:color w:val="auto"/>
              </w:rPr>
            </w:pPr>
          </w:p>
        </w:tc>
      </w:tr>
      <w:tr>
        <w:trPr>
          <w:trHeight w:val="122"/>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60" w:type="dxa"/>
            <w:vAlign w:val="bottom"/>
            <w:vMerge w:val="continue"/>
          </w:tcPr>
          <w:p>
            <w:pPr>
              <w:spacing w:after="0"/>
              <w:rPr>
                <w:sz w:val="9"/>
                <w:szCs w:val="9"/>
                <w:color w:val="auto"/>
              </w:rPr>
            </w:pPr>
          </w:p>
        </w:tc>
        <w:tc>
          <w:tcPr>
            <w:tcW w:w="9360" w:type="dxa"/>
            <w:vAlign w:val="bottom"/>
            <w:vMerge w:val="restart"/>
          </w:tcPr>
          <w:p>
            <w:pPr>
              <w:ind w:left="900"/>
              <w:spacing w:after="0"/>
              <w:rPr>
                <w:sz w:val="20"/>
                <w:szCs w:val="20"/>
                <w:color w:val="auto"/>
              </w:rPr>
            </w:pPr>
            <w:r>
              <w:rPr>
                <w:rFonts w:ascii="Arial" w:cs="Arial" w:eastAsia="Arial" w:hAnsi="Arial"/>
                <w:sz w:val="18"/>
                <w:szCs w:val="18"/>
                <w:color w:val="auto"/>
              </w:rPr>
              <w:t>13,061,472</w:t>
            </w:r>
          </w:p>
        </w:tc>
        <w:tc>
          <w:tcPr>
            <w:tcW w:w="0" w:type="dxa"/>
            <w:vAlign w:val="bottom"/>
          </w:tcPr>
          <w:p>
            <w:pPr>
              <w:spacing w:after="0"/>
              <w:rPr>
                <w:sz w:val="1"/>
                <w:szCs w:val="1"/>
                <w:color w:val="auto"/>
              </w:rPr>
            </w:pPr>
          </w:p>
        </w:tc>
      </w:tr>
      <w:tr>
        <w:trPr>
          <w:trHeight w:val="127"/>
        </w:trPr>
        <w:tc>
          <w:tcPr>
            <w:tcW w:w="2060" w:type="dxa"/>
            <w:vAlign w:val="bottom"/>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9360" w:type="dxa"/>
            <w:vAlign w:val="bottom"/>
          </w:tcPr>
          <w:p>
            <w:pPr>
              <w:ind w:left="900"/>
              <w:spacing w:after="0" w:line="16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9360" w:type="dxa"/>
            <w:vAlign w:val="bottom"/>
          </w:tcPr>
          <w:p>
            <w:pPr>
              <w:ind w:left="360"/>
              <w:spacing w:after="0"/>
              <w:rPr>
                <w:sz w:val="20"/>
                <w:szCs w:val="20"/>
                <w:color w:val="auto"/>
              </w:rPr>
            </w:pPr>
            <w:r>
              <w:rPr>
                <w:rFonts w:ascii="Arial" w:cs="Arial" w:eastAsia="Arial" w:hAnsi="Arial"/>
                <w:sz w:val="22"/>
                <w:szCs w:val="22"/>
                <w:b w:val="1"/>
                <w:bCs w:val="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-1544320</wp:posOffset>
            </wp:positionV>
            <wp:extent cx="7246620" cy="168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89735"/>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18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ind w:left="360"/>
        <w:spacing w:after="0" w:line="228" w:lineRule="auto"/>
        <w:rPr>
          <w:sz w:val="20"/>
          <w:szCs w:val="20"/>
          <w:color w:val="auto"/>
        </w:rPr>
      </w:pPr>
      <w:r>
        <w:rPr>
          <w:rFonts w:ascii="Arial" w:cs="Arial" w:eastAsia="Arial" w:hAnsi="Arial"/>
          <w:sz w:val="22"/>
          <w:szCs w:val="22"/>
          <w:b w:val="1"/>
          <w:bCs w:val="1"/>
          <w:color w:val="auto"/>
        </w:rPr>
        <w:t>9</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13,061,472</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IF THE AGGREGATE AMOUNT IN ROW (9) EXCLUDES CERTAIN SHARES</w:t>
      </w:r>
    </w:p>
    <w:tbl>
      <w:tblPr>
        <w:tblLayout w:type="fixed"/>
        <w:tblInd w:w="320" w:type="dxa"/>
        <w:tblCellMar>
          <w:top w:w="0" w:type="dxa"/>
          <w:left w:w="0" w:type="dxa"/>
          <w:bottom w:w="0" w:type="dxa"/>
          <w:right w:w="0" w:type="dxa"/>
        </w:tblCellMar>
      </w:tblPr>
      <w:tr>
        <w:trPr>
          <w:trHeight w:val="192"/>
        </w:trPr>
        <w:tc>
          <w:tcPr>
            <w:tcW w:w="40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w w:val="73"/>
              </w:rPr>
              <w:t>10</w:t>
            </w:r>
          </w:p>
        </w:tc>
        <w:tc>
          <w:tcPr>
            <w:tcW w:w="10580" w:type="dxa"/>
            <w:vAlign w:val="bottom"/>
          </w:tcPr>
          <w:p>
            <w:pPr>
              <w:ind w:left="200"/>
              <w:spacing w:after="0" w:line="19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179"/>
        </w:trPr>
        <w:tc>
          <w:tcPr>
            <w:tcW w:w="400" w:type="dxa"/>
            <w:vAlign w:val="bottom"/>
            <w:vMerge w:val="continue"/>
          </w:tcPr>
          <w:p>
            <w:pPr>
              <w:spacing w:after="0"/>
              <w:rPr>
                <w:sz w:val="15"/>
                <w:szCs w:val="15"/>
                <w:color w:val="auto"/>
              </w:rPr>
            </w:pPr>
          </w:p>
        </w:tc>
        <w:tc>
          <w:tcPr>
            <w:tcW w:w="10580" w:type="dxa"/>
            <w:vAlign w:val="bottom"/>
            <w:vMerge w:val="restart"/>
          </w:tcPr>
          <w:p>
            <w:pPr>
              <w:ind w:left="10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10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 OF CLASS REPRESENTED BY AMOUNT IN ROW 9</w:t>
      </w:r>
    </w:p>
    <w:p>
      <w:pPr>
        <w:ind w:left="320"/>
        <w:spacing w:after="0" w:line="228" w:lineRule="auto"/>
        <w:rPr>
          <w:sz w:val="20"/>
          <w:szCs w:val="20"/>
          <w:color w:val="auto"/>
        </w:rPr>
      </w:pPr>
      <w:r>
        <w:rPr>
          <w:rFonts w:ascii="Arial" w:cs="Arial" w:eastAsia="Arial" w:hAnsi="Arial"/>
          <w:sz w:val="22"/>
          <w:szCs w:val="22"/>
          <w:b w:val="1"/>
          <w:bCs w:val="1"/>
          <w:color w:val="auto"/>
        </w:rPr>
        <w:t>11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2.83%</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320"/>
        <w:spacing w:after="0" w:line="228" w:lineRule="auto"/>
        <w:rPr>
          <w:sz w:val="20"/>
          <w:szCs w:val="20"/>
          <w:color w:val="auto"/>
        </w:rPr>
      </w:pPr>
      <w:r>
        <w:rPr>
          <w:rFonts w:ascii="Arial" w:cs="Arial" w:eastAsia="Arial" w:hAnsi="Arial"/>
          <w:sz w:val="22"/>
          <w:szCs w:val="22"/>
          <w:b w:val="1"/>
          <w:bCs w:val="1"/>
          <w:color w:val="auto"/>
        </w:rPr>
        <w:t>12</w:t>
      </w:r>
    </w:p>
    <w:p>
      <w:pPr>
        <w:ind w:left="92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94106L109</w:t>
            </w:r>
          </w:p>
        </w:tc>
        <w:tc>
          <w:tcPr>
            <w:tcW w:w="378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1"/>
              </w:rPr>
              <w:t>Page 3 of 5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1 to Schedule 13G (this "</w:t>
      </w:r>
      <w:r>
        <w:rPr>
          <w:rFonts w:ascii="Arial" w:cs="Arial" w:eastAsia="Arial" w:hAnsi="Arial"/>
          <w:sz w:val="18"/>
          <w:szCs w:val="18"/>
          <w:u w:val="single" w:color="auto"/>
          <w:color w:val="auto"/>
        </w:rPr>
        <w:t>Amendment No. 1</w:t>
      </w:r>
      <w:r>
        <w:rPr>
          <w:rFonts w:ascii="Arial" w:cs="Arial" w:eastAsia="Arial" w:hAnsi="Arial"/>
          <w:sz w:val="18"/>
          <w:szCs w:val="18"/>
          <w:color w:val="auto"/>
        </w:rPr>
        <w:t>") is filed by Maori European Holding, S.L. ("</w:t>
      </w:r>
      <w:r>
        <w:rPr>
          <w:rFonts w:ascii="Arial" w:cs="Arial" w:eastAsia="Arial" w:hAnsi="Arial"/>
          <w:sz w:val="18"/>
          <w:szCs w:val="18"/>
          <w:u w:val="single" w:color="auto"/>
          <w:color w:val="auto"/>
        </w:rPr>
        <w:t>Maori</w:t>
      </w:r>
      <w:r>
        <w:rPr>
          <w:rFonts w:ascii="Arial" w:cs="Arial" w:eastAsia="Arial" w:hAnsi="Arial"/>
          <w:sz w:val="18"/>
          <w:szCs w:val="18"/>
          <w:color w:val="auto"/>
        </w:rPr>
        <w:t>"), formerly known as Riofisa Holding, S.L. This Amendment No. 1 amends the statement on Schedule 13G originally filed by Maori on June 30, 2008 to report the sale by Maori of 19,592,208 shares of common stock of the issuer. As a result of such sale, Maori has ceased to be the beneficial owner of more than five percent of the issuer’s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4000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Maori European Holding, S.L.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Arbea Campus Empresarial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Edificio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Carretera de Fuencarral a Alcobendas M 603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Km 3'800 Alcobendas (Madrid)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Spain</w:t>
      </w:r>
    </w:p>
    <w:p>
      <w:pPr>
        <w:spacing w:after="0" w:line="207" w:lineRule="exact"/>
        <w:rPr>
          <w:sz w:val="20"/>
          <w:szCs w:val="20"/>
          <w:color w:val="auto"/>
        </w:rPr>
      </w:pPr>
    </w:p>
    <w:p>
      <w:pPr>
        <w:jc w:val="center"/>
        <w:ind w:right="9680"/>
        <w:spacing w:after="0"/>
        <w:rPr>
          <w:sz w:val="20"/>
          <w:szCs w:val="20"/>
          <w:color w:val="auto"/>
        </w:rPr>
      </w:pPr>
      <w:r>
        <w:rPr>
          <w:rFonts w:ascii="Arial" w:cs="Arial" w:eastAsia="Arial" w:hAnsi="Arial"/>
          <w:sz w:val="16"/>
          <w:szCs w:val="16"/>
          <w:b w:val="1"/>
          <w:bCs w:val="1"/>
          <w:color w:val="auto"/>
        </w:rPr>
        <w:t>Item 2(c). Citizenship: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17"/>
          <w:szCs w:val="17"/>
          <w:b w:val="1"/>
          <w:bCs w:val="1"/>
          <w:color w:val="auto"/>
        </w:rPr>
        <w:t>Item 2(e). CUSIP Number: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94106L109</w:t>
            </w:r>
          </w:p>
        </w:tc>
        <w:tc>
          <w:tcPr>
            <w:tcW w:w="378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1"/>
              </w:rPr>
              <w:t>Page 4 of 5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13,061,472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2.83%</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00" w:hanging="400"/>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13,061,472</w:t>
      </w:r>
    </w:p>
    <w:p>
      <w:pPr>
        <w:spacing w:after="0" w:line="225" w:lineRule="exact"/>
        <w:rPr>
          <w:rFonts w:ascii="Arial" w:cs="Arial" w:eastAsia="Arial" w:hAnsi="Arial"/>
          <w:sz w:val="18"/>
          <w:szCs w:val="18"/>
          <w:color w:val="auto"/>
        </w:rPr>
      </w:pPr>
    </w:p>
    <w:p>
      <w:pPr>
        <w:ind w:left="1200" w:hanging="400"/>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225" w:lineRule="exact"/>
        <w:rPr>
          <w:rFonts w:ascii="Arial" w:cs="Arial" w:eastAsia="Arial" w:hAnsi="Arial"/>
          <w:sz w:val="18"/>
          <w:szCs w:val="18"/>
          <w:color w:val="auto"/>
        </w:rPr>
      </w:pPr>
    </w:p>
    <w:p>
      <w:pPr>
        <w:ind w:left="1200" w:hanging="400"/>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13,061,472</w:t>
      </w:r>
    </w:p>
    <w:p>
      <w:pPr>
        <w:spacing w:after="0" w:line="225" w:lineRule="exact"/>
        <w:rPr>
          <w:rFonts w:ascii="Arial" w:cs="Arial" w:eastAsia="Arial" w:hAnsi="Arial"/>
          <w:sz w:val="18"/>
          <w:szCs w:val="18"/>
          <w:color w:val="auto"/>
        </w:rPr>
      </w:pPr>
    </w:p>
    <w:p>
      <w:pPr>
        <w:ind w:left="1200" w:hanging="400"/>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94106L109</w:t>
            </w:r>
          </w:p>
        </w:tc>
        <w:tc>
          <w:tcPr>
            <w:tcW w:w="378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1"/>
              </w:rPr>
              <w:t>Page 5 of 5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February 7, 2012</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Maori European Holding, S.L.</w:t>
            </w:r>
          </w:p>
        </w:tc>
      </w:tr>
      <w:tr>
        <w:trPr>
          <w:trHeight w:val="399"/>
        </w:trPr>
        <w:tc>
          <w:tcPr>
            <w:tcW w:w="374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Irene Ucha</w:t>
            </w:r>
          </w:p>
        </w:tc>
      </w:tr>
      <w:tr>
        <w:trPr>
          <w:trHeight w:val="202"/>
        </w:trPr>
        <w:tc>
          <w:tcPr>
            <w:tcW w:w="3740" w:type="dxa"/>
            <w:vAlign w:val="bottom"/>
          </w:tcPr>
          <w:p>
            <w:pPr>
              <w:spacing w:after="0"/>
              <w:rPr>
                <w:sz w:val="17"/>
                <w:szCs w:val="17"/>
                <w:color w:val="auto"/>
              </w:rPr>
            </w:pPr>
          </w:p>
        </w:tc>
        <w:tc>
          <w:tcPr>
            <w:tcW w:w="2540" w:type="dxa"/>
            <w:vAlign w:val="bottom"/>
          </w:tcPr>
          <w:p>
            <w:pPr>
              <w:ind w:left="19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Irene Ucha</w:t>
            </w:r>
          </w:p>
        </w:tc>
      </w:tr>
      <w:tr>
        <w:trPr>
          <w:trHeight w:val="230"/>
        </w:trPr>
        <w:tc>
          <w:tcPr>
            <w:tcW w:w="374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655"/>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2019-12-09T10:12:52Z</dcterms:created>
  <dcterms:modified xsi:type="dcterms:W3CDTF">2019-12-09T10:12:52Z</dcterms:modified>
</cp:coreProperties>
</file>