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[WM Letterhead]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17, 2013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John Cash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 D.C. 20549</w:t>
      </w:r>
    </w:p>
    <w:p>
      <w:pPr>
        <w:sectPr>
          <w:pgSz w:w="11900" w:h="16838" w:orient="portrait"/>
          <w:cols w:equalWidth="0" w:num="1">
            <w:col w:w="11380"/>
          </w:cols>
          <w:pgMar w:left="240" w:top="233" w:right="279" w:bottom="1440" w:gutter="0" w:footer="0" w:header="0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Waste Management,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Letter Dated August 27, 2013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Form 10-K for the Year Ended December 31, 2012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14, 2013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Form 10-Q for the Period Ended June 30, 2013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July 30, 2013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1-12154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420"/>
            <w:col w:w="10680"/>
          </w:cols>
          <w:pgMar w:left="240" w:top="233" w:right="279" w:bottom="1440" w:gutter="0" w:footer="0" w:header="0"/>
          <w:type w:val="continuous"/>
        </w:sectPr>
      </w:pP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Cash: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Waste Management, Inc. has received the above referenced comment letter, and in accordance with our conversation with Ms. Lisa Etheredge, hereby notifies you that it expects to provide a response by October 2, 2013.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Courtney A. Tippy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Courtney A. Tippy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4352925</wp:posOffset>
            </wp:positionH>
            <wp:positionV relativeFrom="paragraph">
              <wp:posOffset>-130810</wp:posOffset>
            </wp:positionV>
            <wp:extent cx="289877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Legal Counsel – Corporate &amp; Securities</w:t>
      </w:r>
    </w:p>
    <w:sectPr>
      <w:pgSz w:w="11900" w:h="16838" w:orient="portrait"/>
      <w:cols w:equalWidth="0" w:num="1">
        <w:col w:w="11380"/>
      </w:cols>
      <w:pgMar w:left="240" w:top="233" w:right="2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2019-12-06T01:37:46Z</dcterms:created>
  <dcterms:modified xsi:type="dcterms:W3CDTF">2019-12-06T01:37:46Z</dcterms:modified>
</cp:coreProperties>
</file>