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bdr w:val="single" w:sz="16" w:space="1" w:color="000000"/>
        </w:rPr>
      </w:pPr>
      <w:bookmarkStart w:id="0" w:name="tm2313631d1_8k.htm"/>
      <w:bookmarkStart w:id="1" w:name="kstm2313631d1_8k"/>
      <w:bookmarkEnd w:id="0"/>
      <w:bookmarkEnd w:id="1"/>
      <w:r>
        <w:rPr>
          <w:bdr w:val="single" w:sz="16"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30426__20"/>
      <w:bookmarkEnd w:id="2"/>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April 26,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3"/>
      <w:bookmarkEnd w:id="4"/>
      <w:r>
        <w:rPr>
          <w:rFonts w:ascii="Times New Roman;Times;Serif" w:hAnsi="Times New Roman;Times;Serif"/>
          <w:b/>
          <w:i w:val="false"/>
          <w:caps w:val="false"/>
          <w:smallCaps w:val="false"/>
          <w:sz w:val="48"/>
        </w:rPr>
        <w:t>Waste Management,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spacing w:before="0" w:after="0"/>
        <w:ind w:left="0" w:right="0" w:hanging="0"/>
        <w:rPr>
          <w:caps w:val="false"/>
          <w:smallCaps w:val="false"/>
        </w:rPr>
      </w:pPr>
      <w:r>
        <w:rPr>
          <w:caps w:val="false"/>
          <w:smallCaps w:val="false"/>
        </w:rPr>
        <w:t> </w:t>
      </w:r>
    </w:p>
    <w:tbl>
      <w:tblPr>
        <w:tblW w:w="6045" w:type="dxa"/>
        <w:jc w:val="left"/>
        <w:tblInd w:w="0" w:type="dxa"/>
        <w:tblCellMar>
          <w:top w:w="0" w:type="dxa"/>
          <w:left w:w="0" w:type="dxa"/>
          <w:bottom w:w="0" w:type="dxa"/>
          <w:right w:w="0" w:type="dxa"/>
        </w:tblCellMar>
      </w:tblPr>
      <w:tblGrid>
        <w:gridCol w:w="2195"/>
        <w:gridCol w:w="60"/>
        <w:gridCol w:w="2210"/>
        <w:gridCol w:w="60"/>
        <w:gridCol w:w="1520"/>
      </w:tblGrid>
      <w:tr>
        <w:trPr/>
        <w:tc>
          <w:tcPr>
            <w:tcW w:w="2195" w:type="dxa"/>
            <w:tcBorders/>
            <w:shd w:fill="auto" w:val="clear"/>
            <w:vAlign w:val="center"/>
          </w:tcPr>
          <w:p>
            <w:pPr>
              <w:pStyle w:val="TableContents"/>
              <w:spacing w:before="0" w:after="283"/>
              <w:jc w:val="center"/>
              <w:rPr>
                <w:b/>
              </w:rPr>
            </w:pPr>
            <w:bookmarkStart w:id="5" w:name="xdx_905_edei--EntityIncorporationStateCo"/>
            <w:bookmarkEnd w:id="5"/>
            <w:r>
              <w:rPr>
                <w:b/>
              </w:rPr>
              <w:t>Delaware</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b/>
                <w:sz w:val="20"/>
              </w:rPr>
            </w:pPr>
            <w:bookmarkStart w:id="6" w:name="xdx_900_edei--EntityFileNumber_c20230426"/>
            <w:bookmarkEnd w:id="6"/>
            <w:r>
              <w:rPr>
                <w:rFonts w:ascii="Times New Roman;Times;Serif" w:hAnsi="Times New Roman;Times;Serif"/>
                <w:b/>
                <w:sz w:val="20"/>
              </w:rPr>
              <w:t>1-12154</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73-1309529</w:t>
            </w:r>
          </w:p>
        </w:tc>
      </w:tr>
      <w:tr>
        <w:trPr/>
        <w:tc>
          <w:tcPr>
            <w:tcW w:w="219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shd w:fill="auto" w:val="clear"/>
            <w:vAlign w:val="center"/>
          </w:tcPr>
          <w:p>
            <w:pPr>
              <w:pStyle w:val="TableContents"/>
              <w:spacing w:before="0" w:after="283"/>
              <w:rPr/>
            </w:pPr>
            <w:r>
              <w:rPr/>
              <w:t> </w:t>
            </w:r>
          </w:p>
        </w:tc>
        <w:tc>
          <w:tcPr>
            <w:tcW w:w="15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pacing w:before="0" w:after="0"/>
        <w:ind w:left="0" w:right="0" w:hanging="0"/>
        <w:rPr>
          <w:caps w:val="false"/>
          <w:smallCaps w:val="false"/>
        </w:rPr>
      </w:pPr>
      <w:r>
        <w:rPr>
          <w:caps w:val="false"/>
          <w:smallCaps w:val="false"/>
        </w:rPr>
        <w:t> </w:t>
      </w:r>
    </w:p>
    <w:tbl>
      <w:tblPr>
        <w:tblW w:w="4885" w:type="dxa"/>
        <w:jc w:val="left"/>
        <w:tblInd w:w="0" w:type="dxa"/>
        <w:tblCellMar>
          <w:top w:w="0" w:type="dxa"/>
          <w:left w:w="0" w:type="dxa"/>
          <w:bottom w:w="0" w:type="dxa"/>
          <w:right w:w="0" w:type="dxa"/>
        </w:tblCellMar>
      </w:tblPr>
      <w:tblGrid>
        <w:gridCol w:w="3920"/>
        <w:gridCol w:w="60"/>
        <w:gridCol w:w="905"/>
      </w:tblGrid>
      <w:tr>
        <w:trPr/>
        <w:tc>
          <w:tcPr>
            <w:tcW w:w="3920" w:type="dxa"/>
            <w:tcBorders/>
            <w:shd w:fill="auto" w:val="clear"/>
            <w:vAlign w:val="center"/>
          </w:tcPr>
          <w:p>
            <w:pPr>
              <w:pStyle w:val="TableContents"/>
              <w:spacing w:before="0" w:after="283"/>
              <w:jc w:val="center"/>
              <w:rPr/>
            </w:pPr>
            <w:bookmarkStart w:id="8" w:name="xdx_90A_edei--EntityAddressAddressLine1_"/>
            <w:bookmarkEnd w:id="8"/>
            <w:r>
              <w:rPr>
                <w:rFonts w:ascii="Times New Roman;Times;Serif" w:hAnsi="Times New Roman;Times;Serif"/>
                <w:b/>
                <w:sz w:val="20"/>
              </w:rPr>
              <w:t xml:space="preserve">800 Capitol Street, </w:t>
            </w:r>
            <w:bookmarkStart w:id="9" w:name="xdx_90E_edei--EntityAddressAddressLine2_"/>
            <w:bookmarkEnd w:id="9"/>
            <w:r>
              <w:rPr>
                <w:rFonts w:ascii="Times New Roman;Times;Serif" w:hAnsi="Times New Roman;Times;Serif"/>
                <w:b/>
                <w:sz w:val="20"/>
              </w:rPr>
              <w:t xml:space="preserve">Suite 3000, </w:t>
            </w:r>
            <w:bookmarkStart w:id="10" w:name="xdx_903_edei--EntityAddressCityOrTown_c2"/>
            <w:bookmarkEnd w:id="10"/>
            <w:r>
              <w:rPr>
                <w:rFonts w:ascii="Times New Roman;Times;Serif" w:hAnsi="Times New Roman;Times;Serif"/>
                <w:b/>
                <w:sz w:val="20"/>
              </w:rPr>
              <w:t xml:space="preserve">Houston, </w:t>
            </w:r>
            <w:bookmarkStart w:id="11" w:name="xdx_90E_edei--EntityAddressStateOrProvin"/>
            <w:bookmarkEnd w:id="11"/>
            <w:r>
              <w:rPr>
                <w:rFonts w:ascii="Times New Roman;Times;Serif" w:hAnsi="Times New Roman;Times;Serif"/>
                <w:b/>
                <w:sz w:val="20"/>
              </w:rPr>
              <w:t>Texas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77002</w:t>
            </w:r>
          </w:p>
        </w:tc>
      </w:tr>
      <w:tr>
        <w:trPr/>
        <w:tc>
          <w:tcPr>
            <w:tcW w:w="392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30426__20"/>
      <w:bookmarkEnd w:id="13"/>
      <w:r>
        <w:rPr>
          <w:rFonts w:ascii="Times New Roman;Times;Serif" w:hAnsi="Times New Roman;Times;Serif"/>
          <w:b/>
          <w:i w:val="false"/>
          <w:caps w:val="false"/>
          <w:smallCaps w:val="false"/>
          <w:sz w:val="20"/>
        </w:rPr>
        <w:t xml:space="preserve">713) </w:t>
      </w:r>
      <w:bookmarkStart w:id="14" w:name="xdx_90C_edei--LocalPhoneNumber_c20230426"/>
      <w:bookmarkEnd w:id="14"/>
      <w:r>
        <w:rPr>
          <w:rFonts w:ascii="Times New Roman;Times;Serif" w:hAnsi="Times New Roman;Times;Serif"/>
          <w:b/>
          <w:i w:val="false"/>
          <w:caps w:val="false"/>
          <w:smallCaps w:val="false"/>
          <w:sz w:val="20"/>
        </w:rPr>
        <w:t>512-6200</w:t>
      </w:r>
    </w:p>
    <w:p>
      <w:pPr>
        <w:pStyle w:val="TextBody"/>
        <w:spacing w:before="0" w:after="0"/>
        <w:ind w:left="0" w:right="0" w:hanging="0"/>
        <w:rPr>
          <w:caps w:val="false"/>
          <w:smallCaps w:val="false"/>
        </w:rPr>
      </w:pPr>
      <w:r>
        <w:rPr>
          <w:caps w:val="false"/>
          <w:smallCaps w:val="false"/>
        </w:rPr>
        <w:t> </w:t>
      </w:r>
    </w:p>
    <w:p>
      <w:pPr>
        <w:pStyle w:val="TextBody"/>
        <w:spacing w:before="60" w:after="60"/>
        <w:ind w:left="60" w:right="60" w:hanging="0"/>
        <w:rPr>
          <w:bdr w:val="single" w:sz="8" w:space="1" w:color="000000"/>
        </w:rPr>
      </w:pPr>
      <w:r>
        <w:rPr>
          <w:bdr w:val="single" w:sz="8" w:space="1" w:color="000000"/>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bookmarkStart w:id="15" w:name="xdx_908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hanging="0"/>
        <w:jc w:val="both"/>
        <w:rPr>
          <w:caps w:val="false"/>
          <w:smallCaps w:val="false"/>
        </w:rPr>
      </w:pPr>
      <w:bookmarkStart w:id="16" w:name="xdx_90F_edei--SolicitingMaterial_c202304"/>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hanging="0"/>
        <w:jc w:val="both"/>
        <w:rPr>
          <w:caps w:val="false"/>
          <w:smallCaps w:val="false"/>
        </w:rPr>
      </w:pPr>
      <w:bookmarkStart w:id="17" w:name="xdx_908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hanging="0"/>
        <w:jc w:val="both"/>
        <w:rPr>
          <w:caps w:val="false"/>
          <w:smallCaps w:val="false"/>
        </w:rPr>
      </w:pPr>
      <w:bookmarkStart w:id="18" w:name="xdx_90C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860" w:type="dxa"/>
        <w:jc w:val="left"/>
        <w:tblInd w:w="0" w:type="dxa"/>
        <w:tblCellMar>
          <w:top w:w="28" w:type="dxa"/>
          <w:left w:w="0" w:type="dxa"/>
          <w:bottom w:w="0" w:type="dxa"/>
          <w:right w:w="0" w:type="dxa"/>
        </w:tblCellMar>
      </w:tblPr>
      <w:tblGrid>
        <w:gridCol w:w="2630"/>
        <w:gridCol w:w="60"/>
        <w:gridCol w:w="1535"/>
        <w:gridCol w:w="60"/>
        <w:gridCol w:w="3575"/>
      </w:tblGrid>
      <w:tr>
        <w:trPr/>
        <w:tc>
          <w:tcPr>
            <w:tcW w:w="2630" w:type="dxa"/>
            <w:tcBorders>
              <w:top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shd w:fill="auto" w:val="clear"/>
            <w:tcMar>
              <w:bottom w:w="28" w:type="dxa"/>
            </w:tcMar>
            <w:vAlign w:val="center"/>
          </w:tcPr>
          <w:p>
            <w:pPr>
              <w:pStyle w:val="TableContents"/>
              <w:spacing w:before="0" w:after="283"/>
              <w:jc w:val="center"/>
              <w:rPr/>
            </w:pPr>
            <w:r>
              <w:rPr/>
              <w:t> </w:t>
            </w:r>
          </w:p>
        </w:tc>
        <w:tc>
          <w:tcPr>
            <w:tcW w:w="1535" w:type="dxa"/>
            <w:tcBorders>
              <w:top w:val="single" w:sz="8" w:space="0" w:color="000000"/>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shd w:fill="auto" w:val="clear"/>
            <w:tcMar>
              <w:bottom w:w="28" w:type="dxa"/>
            </w:tcMar>
            <w:vAlign w:val="center"/>
          </w:tcPr>
          <w:p>
            <w:pPr>
              <w:pStyle w:val="TableContents"/>
              <w:spacing w:before="0" w:after="283"/>
              <w:jc w:val="center"/>
              <w:rPr/>
            </w:pPr>
            <w:r>
              <w:rPr/>
              <w:t> </w:t>
            </w:r>
          </w:p>
        </w:tc>
        <w:tc>
          <w:tcPr>
            <w:tcW w:w="3575" w:type="dxa"/>
            <w:tcBorders>
              <w:top w:val="single" w:sz="8" w:space="0" w:color="000000"/>
              <w:right w:val="single" w:sz="8" w:space="0" w:color="000000"/>
            </w:tcBorders>
            <w:shd w:fill="auto" w:val="clear"/>
            <w:tcMar>
              <w:right w:w="6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630" w:type="dxa"/>
            <w:tcBorders>
              <w:left w:val="single" w:sz="8" w:space="0" w:color="000000"/>
              <w:bottom w:val="single" w:sz="8" w:space="0" w:color="000000"/>
            </w:tcBorders>
            <w:shd w:fill="auto" w:val="clear"/>
            <w:tcMar>
              <w:top w:w="0" w:type="dxa"/>
              <w:left w:w="120" w:type="dxa"/>
              <w:bottom w:w="160" w:type="dxa"/>
            </w:tcMar>
            <w:vAlign w:val="center"/>
          </w:tcPr>
          <w:p>
            <w:pPr>
              <w:pStyle w:val="TableContents"/>
              <w:spacing w:before="0" w:after="283"/>
              <w:rPr>
                <w:rFonts w:ascii="Times New Roman;Times;Serif" w:hAnsi="Times New Roman;Times;Serif"/>
                <w:sz w:val="20"/>
              </w:rPr>
            </w:pPr>
            <w:bookmarkStart w:id="19" w:name="xdx_902_edei--Security12bTitle_c20230426"/>
            <w:bookmarkEnd w:id="19"/>
            <w:r>
              <w:rPr>
                <w:rFonts w:ascii="Times New Roman;Times;Serif" w:hAnsi="Times New Roman;Times;Serif"/>
                <w:sz w:val="20"/>
              </w:rPr>
              <w:t>Common Stock, $0.01 par value</w:t>
            </w:r>
          </w:p>
        </w:tc>
        <w:tc>
          <w:tcPr>
            <w:tcW w:w="60" w:type="dxa"/>
            <w:tcBorders>
              <w:bottom w:val="single" w:sz="8" w:space="0" w:color="000000"/>
            </w:tcBorders>
            <w:shd w:fill="auto" w:val="clear"/>
            <w:tcMar>
              <w:top w:w="0" w:type="dxa"/>
              <w:bottom w:w="160" w:type="dxa"/>
            </w:tcMar>
            <w:vAlign w:val="center"/>
          </w:tcPr>
          <w:p>
            <w:pPr>
              <w:pStyle w:val="TableContents"/>
              <w:spacing w:before="0" w:after="283"/>
              <w:rPr/>
            </w:pPr>
            <w:r>
              <w:rPr/>
              <w:t> </w:t>
            </w:r>
          </w:p>
        </w:tc>
        <w:tc>
          <w:tcPr>
            <w:tcW w:w="1535" w:type="dxa"/>
            <w:tcBorders>
              <w:left w:val="single" w:sz="8" w:space="0" w:color="000000"/>
              <w:bottom w:val="single" w:sz="8" w:space="0" w:color="000000"/>
            </w:tcBorders>
            <w:shd w:fill="auto" w:val="clear"/>
            <w:tcMar>
              <w:top w:w="0" w:type="dxa"/>
              <w:left w:w="120" w:type="dxa"/>
              <w:bottom w:w="160" w:type="dxa"/>
            </w:tcMar>
            <w:vAlign w:val="center"/>
          </w:tcPr>
          <w:p>
            <w:pPr>
              <w:pStyle w:val="TableContents"/>
              <w:spacing w:before="0" w:after="283"/>
              <w:rPr>
                <w:rFonts w:ascii="Times New Roman;Times;Serif" w:hAnsi="Times New Roman;Times;Serif"/>
                <w:sz w:val="20"/>
              </w:rPr>
            </w:pPr>
            <w:bookmarkStart w:id="20" w:name="xdx_902_edei--TradingSymbol_c20230426__2"/>
            <w:bookmarkEnd w:id="20"/>
            <w:r>
              <w:rPr>
                <w:rFonts w:ascii="Times New Roman;Times;Serif" w:hAnsi="Times New Roman;Times;Serif"/>
                <w:sz w:val="20"/>
              </w:rPr>
              <w:t>WM</w:t>
            </w:r>
          </w:p>
        </w:tc>
        <w:tc>
          <w:tcPr>
            <w:tcW w:w="60" w:type="dxa"/>
            <w:tcBorders>
              <w:bottom w:val="single" w:sz="8" w:space="0" w:color="000000"/>
            </w:tcBorders>
            <w:shd w:fill="auto" w:val="clear"/>
            <w:tcMar>
              <w:top w:w="0" w:type="dxa"/>
              <w:bottom w:w="160" w:type="dxa"/>
            </w:tcMar>
            <w:vAlign w:val="center"/>
          </w:tcPr>
          <w:p>
            <w:pPr>
              <w:pStyle w:val="TableContents"/>
              <w:spacing w:before="0" w:after="283"/>
              <w:rPr/>
            </w:pPr>
            <w:r>
              <w:rPr/>
              <w:t> </w:t>
            </w:r>
          </w:p>
        </w:tc>
        <w:tc>
          <w:tcPr>
            <w:tcW w:w="3575" w:type="dxa"/>
            <w:tcBorders>
              <w:left w:val="single" w:sz="8" w:space="0" w:color="000000"/>
              <w:bottom w:val="single" w:sz="8" w:space="0" w:color="000000"/>
              <w:right w:val="single" w:sz="8" w:space="0" w:color="000000"/>
            </w:tcBorders>
            <w:shd w:fill="auto" w:val="clear"/>
            <w:tcMar>
              <w:top w:w="0" w:type="dxa"/>
              <w:left w:w="120" w:type="dxa"/>
              <w:bottom w:w="160" w:type="dxa"/>
              <w:right w:w="60" w:type="dxa"/>
            </w:tcMar>
            <w:vAlign w:val="center"/>
          </w:tcPr>
          <w:p>
            <w:pPr>
              <w:pStyle w:val="TableContents"/>
              <w:spacing w:before="0" w:after="283"/>
              <w:rPr>
                <w:rFonts w:ascii="Times New Roman;Times;Serif" w:hAnsi="Times New Roman;Times;Serif"/>
                <w:sz w:val="20"/>
              </w:rPr>
            </w:pPr>
            <w:bookmarkStart w:id="21" w:name="xdx_909_edei--SecurityExchangeName_c2023"/>
            <w:bookmarkEnd w:id="21"/>
            <w:r>
              <w:rPr>
                <w:rFonts w:ascii="Times New Roman;Times;Serif" w:hAnsi="Times New Roman;Times;Serif"/>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sz w:val="20"/>
        </w:rPr>
      </w:pPr>
      <w:r>
        <w:rPr>
          <w:rFonts w:ascii="Times New Roman;Times;Serif" w:hAnsi="Times New Roman;Times;Serif"/>
          <w:sz w:val="20"/>
        </w:rPr>
        <w:t xml:space="preserve">Emerging growth company </w:t>
      </w:r>
      <w:bookmarkStart w:id="22" w:name="xdx_908_edei--EntityEmergingGrowthCompan"/>
      <w:bookmarkEnd w:id="22"/>
      <w:r>
        <w:rPr>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hd w:fill="FFFFFF" w:val="clear"/>
        <w:spacing w:before="0" w:after="0"/>
        <w:ind w:left="0" w:right="0" w:hanging="0"/>
        <w:jc w:val="left"/>
        <w:rPr>
          <w:caps w:val="false"/>
          <w:smallCaps w:val="false"/>
        </w:rPr>
      </w:pPr>
      <w:r>
        <w:rPr>
          <w:caps w:val="false"/>
          <w:smallCaps w:val="false"/>
        </w:rPr>
        <w:t> </w:t>
      </w:r>
    </w:p>
    <w:tbl>
      <w:tblPr>
        <w:tblW w:w="5905" w:type="dxa"/>
        <w:jc w:val="left"/>
        <w:tblInd w:w="0" w:type="dxa"/>
        <w:tblCellMar>
          <w:top w:w="0" w:type="dxa"/>
          <w:left w:w="0" w:type="dxa"/>
          <w:bottom w:w="0" w:type="dxa"/>
          <w:right w:w="0" w:type="dxa"/>
        </w:tblCellMar>
      </w:tblPr>
      <w:tblGrid>
        <w:gridCol w:w="1100"/>
        <w:gridCol w:w="4805"/>
      </w:tblGrid>
      <w:tr>
        <w:trPr/>
        <w:tc>
          <w:tcPr>
            <w:tcW w:w="1100" w:type="dxa"/>
            <w:tcBorders/>
            <w:shd w:fill="auto" w:val="clear"/>
            <w:vAlign w:val="center"/>
          </w:tcPr>
          <w:p>
            <w:pPr>
              <w:pStyle w:val="TableContents"/>
              <w:spacing w:before="0" w:after="283"/>
              <w:jc w:val="left"/>
              <w:rPr/>
            </w:pPr>
            <w:r>
              <w:rPr>
                <w:b/>
              </w:rPr>
              <w:t>Item 2.02.</w:t>
            </w:r>
            <w:r>
              <w:rPr/>
              <w:t xml:space="preserve"> </w:t>
            </w:r>
          </w:p>
        </w:tc>
        <w:tc>
          <w:tcPr>
            <w:tcW w:w="4805" w:type="dxa"/>
            <w:tcBorders/>
            <w:shd w:fill="auto" w:val="clear"/>
            <w:vAlign w:val="center"/>
          </w:tcPr>
          <w:p>
            <w:pPr>
              <w:pStyle w:val="TableContents"/>
              <w:spacing w:before="0" w:after="283"/>
              <w:jc w:val="both"/>
              <w:rPr>
                <w:b/>
              </w:rPr>
            </w:pPr>
            <w:r>
              <w:rPr>
                <w:b/>
              </w:rPr>
              <w:t>Results of Operations and Financial Condition.</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Waste Management, Inc. (the “Company”) issued a press release today announcing its financial results for the first quarter of 2023, a copy of which is furnished as Exhibit 99.1 to this Form 8-K. The Company is conducting an audio webcast to discuss these results beginning at 9:00 a.m. Central Time on April 27, 2023. </w:t>
      </w:r>
      <w:r>
        <w:rPr>
          <w:rFonts w:ascii="Times New Roman;Times;Serif" w:hAnsi="Times New Roman;Times;Serif"/>
          <w:b w:val="false"/>
          <w:i w:val="false"/>
          <w:caps w:val="false"/>
          <w:smallCaps w:val="false"/>
          <w:color w:val="0A0A0A"/>
          <w:sz w:val="20"/>
        </w:rPr>
        <w:t xml:space="preserve">Listeners can access the live audio webcast by visiting investors.wm.com and selecting “Events &amp; Presentations” from the website menu. A replay of the audio webcast will be available at the same location.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 </w:t>
      </w:r>
    </w:p>
    <w:p>
      <w:pPr>
        <w:pStyle w:val="TextBody"/>
        <w:shd w:fill="FFFFFF" w:val="clear"/>
        <w:spacing w:before="0" w:after="0"/>
        <w:ind w:left="0" w:right="0" w:hanging="0"/>
        <w:jc w:val="left"/>
        <w:rPr>
          <w:caps w:val="false"/>
          <w:smallCaps w:val="false"/>
        </w:rPr>
      </w:pPr>
      <w:r>
        <w:rPr>
          <w:caps w:val="false"/>
          <w:smallCaps w:val="false"/>
        </w:rPr>
        <w:t> </w:t>
      </w:r>
    </w:p>
    <w:tbl>
      <w:tblPr>
        <w:tblW w:w="4600" w:type="dxa"/>
        <w:jc w:val="left"/>
        <w:tblInd w:w="0" w:type="dxa"/>
        <w:tblCellMar>
          <w:top w:w="0" w:type="dxa"/>
          <w:left w:w="0" w:type="dxa"/>
          <w:bottom w:w="0" w:type="dxa"/>
          <w:right w:w="0" w:type="dxa"/>
        </w:tblCellMar>
      </w:tblPr>
      <w:tblGrid>
        <w:gridCol w:w="1040"/>
        <w:gridCol w:w="3560"/>
      </w:tblGrid>
      <w:tr>
        <w:trPr/>
        <w:tc>
          <w:tcPr>
            <w:tcW w:w="1040" w:type="dxa"/>
            <w:tcBorders/>
            <w:shd w:fill="auto" w:val="clear"/>
            <w:vAlign w:val="center"/>
          </w:tcPr>
          <w:p>
            <w:pPr>
              <w:pStyle w:val="TableContents"/>
              <w:spacing w:before="0" w:after="283"/>
              <w:jc w:val="left"/>
              <w:rPr>
                <w:b/>
              </w:rPr>
            </w:pPr>
            <w:r>
              <w:rPr>
                <w:b/>
              </w:rPr>
              <w:t>Item 9.01.</w:t>
            </w:r>
          </w:p>
        </w:tc>
        <w:tc>
          <w:tcPr>
            <w:tcW w:w="3560" w:type="dxa"/>
            <w:tcBorders/>
            <w:shd w:fill="auto" w:val="clear"/>
            <w:vAlign w:val="center"/>
          </w:tcPr>
          <w:p>
            <w:pPr>
              <w:pStyle w:val="TableContents"/>
              <w:spacing w:before="0" w:after="283"/>
              <w:jc w:val="both"/>
              <w:rPr>
                <w:b/>
              </w:rPr>
            </w:pPr>
            <w:r>
              <w:rPr>
                <w:b/>
              </w:rPr>
              <w:t>Financial Statements and Exhibits.</w:t>
            </w:r>
          </w:p>
        </w:tc>
      </w:tr>
    </w:tbl>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spacing w:before="0" w:after="0"/>
        <w:ind w:left="0" w:right="0" w:hanging="0"/>
        <w:jc w:val="center"/>
        <w:rPr>
          <w:caps w:val="false"/>
          <w:smallCaps w:val="false"/>
        </w:rPr>
      </w:pPr>
      <w:r>
        <w:rPr>
          <w:caps w:val="false"/>
          <w:smallCaps w:val="false"/>
        </w:rPr>
        <w:t> </w:t>
      </w:r>
    </w:p>
    <w:tbl>
      <w:tblPr>
        <w:tblW w:w="9595" w:type="dxa"/>
        <w:jc w:val="left"/>
        <w:tblInd w:w="0" w:type="dxa"/>
        <w:tblCellMar>
          <w:top w:w="0" w:type="dxa"/>
          <w:left w:w="0" w:type="dxa"/>
          <w:bottom w:w="28" w:type="dxa"/>
          <w:right w:w="0" w:type="dxa"/>
        </w:tblCellMar>
      </w:tblPr>
      <w:tblGrid>
        <w:gridCol w:w="950"/>
        <w:gridCol w:w="60"/>
        <w:gridCol w:w="8585"/>
      </w:tblGrid>
      <w:tr>
        <w:trPr/>
        <w:tc>
          <w:tcPr>
            <w:tcW w:w="950" w:type="dxa"/>
            <w:tcBorders>
              <w:bottom w:val="single" w:sz="8" w:space="0" w:color="000000"/>
            </w:tcBorders>
            <w:shd w:fill="auto" w:val="clear"/>
            <w:vAlign w:val="center"/>
          </w:tcPr>
          <w:p>
            <w:pPr>
              <w:pStyle w:val="TableContents"/>
              <w:spacing w:before="0" w:after="283"/>
              <w:rPr/>
            </w:pPr>
            <w:r>
              <w:rPr>
                <w:b/>
              </w:rPr>
              <w:t>Exhibit</w:t>
              <w:br/>
              <w:t>Number</w:t>
            </w:r>
            <w:r>
              <w:rPr/>
              <w:t> </w:t>
            </w:r>
          </w:p>
        </w:tc>
        <w:tc>
          <w:tcPr>
            <w:tcW w:w="60" w:type="dxa"/>
            <w:tcBorders/>
            <w:shd w:fill="auto" w:val="clear"/>
            <w:tcMar>
              <w:bottom w:w="0" w:type="dxa"/>
            </w:tcMar>
            <w:vAlign w:val="center"/>
          </w:tcPr>
          <w:p>
            <w:pPr>
              <w:pStyle w:val="TableContents"/>
              <w:spacing w:before="0" w:after="283"/>
              <w:rPr/>
            </w:pPr>
            <w:r>
              <w:rPr/>
              <w:t> </w:t>
            </w:r>
          </w:p>
        </w:tc>
        <w:tc>
          <w:tcPr>
            <w:tcW w:w="8585" w:type="dxa"/>
            <w:tcBorders>
              <w:bottom w:val="single" w:sz="8" w:space="0" w:color="000000"/>
            </w:tcBorders>
            <w:shd w:fill="auto" w:val="clear"/>
            <w:vAlign w:val="center"/>
          </w:tcPr>
          <w:p>
            <w:pPr>
              <w:pStyle w:val="TableContents"/>
              <w:spacing w:before="0" w:after="283"/>
              <w:rPr>
                <w:b/>
                <w:sz w:val="20"/>
              </w:rPr>
            </w:pPr>
            <w:r>
              <w:rPr>
                <w:b/>
                <w:sz w:val="20"/>
              </w:rPr>
              <w:t>Description</w:t>
            </w:r>
          </w:p>
        </w:tc>
      </w:tr>
      <w:tr>
        <w:trPr/>
        <w:tc>
          <w:tcPr>
            <w:tcW w:w="9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585" w:type="dxa"/>
            <w:tcBorders/>
            <w:shd w:fill="auto" w:val="clear"/>
            <w:tcMar>
              <w:bottom w:w="0" w:type="dxa"/>
            </w:tcMar>
            <w:vAlign w:val="center"/>
          </w:tcPr>
          <w:p>
            <w:pPr>
              <w:pStyle w:val="TableContents"/>
              <w:spacing w:before="0" w:after="283"/>
              <w:rPr/>
            </w:pPr>
            <w:r>
              <w:rPr/>
              <w:t> </w:t>
            </w:r>
          </w:p>
        </w:tc>
      </w:tr>
      <w:tr>
        <w:trPr/>
        <w:tc>
          <w:tcPr>
            <w:tcW w:w="950" w:type="dxa"/>
            <w:tcBorders/>
            <w:shd w:fill="auto" w:val="clear"/>
            <w:tcMar>
              <w:bottom w:w="0" w:type="dxa"/>
            </w:tcMar>
            <w:vAlign w:val="center"/>
          </w:tcPr>
          <w:p>
            <w:pPr>
              <w:pStyle w:val="TableContents"/>
              <w:spacing w:before="0" w:after="283"/>
              <w:rPr/>
            </w:pPr>
            <w:hyperlink w:anchor="tm2313631d1_ex99-1.htm">
              <w:r>
                <w:rPr>
                  <w:rStyle w:val="InternetLink"/>
                </w:rPr>
                <w:t xml:space="preserve">99.1 </w:t>
              </w:r>
            </w:hyperlink>
          </w:p>
        </w:tc>
        <w:tc>
          <w:tcPr>
            <w:tcW w:w="60" w:type="dxa"/>
            <w:tcBorders/>
            <w:shd w:fill="auto" w:val="clear"/>
            <w:tcMar>
              <w:bottom w:w="0" w:type="dxa"/>
            </w:tcMar>
            <w:vAlign w:val="center"/>
          </w:tcPr>
          <w:p>
            <w:pPr>
              <w:pStyle w:val="TableContents"/>
              <w:spacing w:before="0" w:after="283"/>
              <w:rPr/>
            </w:pPr>
            <w:r>
              <w:rPr/>
              <w:t> </w:t>
            </w:r>
          </w:p>
        </w:tc>
        <w:tc>
          <w:tcPr>
            <w:tcW w:w="8585" w:type="dxa"/>
            <w:tcBorders/>
            <w:shd w:fill="auto" w:val="clear"/>
            <w:tcMar>
              <w:bottom w:w="0" w:type="dxa"/>
            </w:tcMar>
            <w:vAlign w:val="center"/>
          </w:tcPr>
          <w:p>
            <w:pPr>
              <w:pStyle w:val="TableContents"/>
              <w:spacing w:before="0" w:after="283"/>
              <w:rPr/>
            </w:pPr>
            <w:hyperlink w:anchor="tm2313631d1_ex99-1.htm">
              <w:r>
                <w:rPr>
                  <w:rStyle w:val="InternetLink"/>
                </w:rPr>
                <w:t>Press Release dated April 26, 2023</w:t>
              </w:r>
            </w:hyperlink>
          </w:p>
        </w:tc>
      </w:tr>
      <w:tr>
        <w:trPr/>
        <w:tc>
          <w:tcPr>
            <w:tcW w:w="95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8585" w:type="dxa"/>
            <w:tcBorders/>
            <w:shd w:fill="auto" w:val="clear"/>
            <w:tcMar>
              <w:bottom w:w="0" w:type="dxa"/>
            </w:tcMar>
            <w:vAlign w:val="center"/>
          </w:tcPr>
          <w:p>
            <w:pPr>
              <w:pStyle w:val="TableContents"/>
              <w:spacing w:before="0" w:after="283"/>
              <w:rPr/>
            </w:pPr>
            <w:r>
              <w:rPr/>
              <w:t> </w:t>
            </w:r>
          </w:p>
        </w:tc>
      </w:tr>
      <w:tr>
        <w:trPr/>
        <w:tc>
          <w:tcPr>
            <w:tcW w:w="950" w:type="dxa"/>
            <w:tcBorders/>
            <w:shd w:fill="auto" w:val="clear"/>
            <w:tcMar>
              <w:bottom w:w="0" w:type="dxa"/>
            </w:tcMar>
            <w:vAlign w:val="center"/>
          </w:tcPr>
          <w:p>
            <w:pPr>
              <w:pStyle w:val="TableContents"/>
              <w:spacing w:before="0" w:after="283"/>
              <w:rPr/>
            </w:pPr>
            <w:r>
              <w:rPr/>
              <w:t>104</w:t>
            </w:r>
          </w:p>
        </w:tc>
        <w:tc>
          <w:tcPr>
            <w:tcW w:w="60" w:type="dxa"/>
            <w:tcBorders/>
            <w:shd w:fill="auto" w:val="clear"/>
            <w:tcMar>
              <w:bottom w:w="0" w:type="dxa"/>
            </w:tcMar>
            <w:vAlign w:val="center"/>
          </w:tcPr>
          <w:p>
            <w:pPr>
              <w:pStyle w:val="TableContents"/>
              <w:spacing w:before="0" w:after="283"/>
              <w:rPr/>
            </w:pPr>
            <w:r>
              <w:rPr/>
              <w:t> </w:t>
            </w:r>
          </w:p>
        </w:tc>
        <w:tc>
          <w:tcPr>
            <w:tcW w:w="8585" w:type="dxa"/>
            <w:tcBorders/>
            <w:shd w:fill="auto" w:val="clear"/>
            <w:tcMar>
              <w:bottom w:w="0" w:type="dxa"/>
            </w:tcMar>
            <w:vAlign w:val="center"/>
          </w:tcPr>
          <w:p>
            <w:pPr>
              <w:pStyle w:val="TableContents"/>
              <w:spacing w:before="0" w:after="283"/>
              <w:rPr/>
            </w:pPr>
            <w:r>
              <w:rPr/>
              <w:t>Cover Page Interactive Data File (formatted as inline XBRL and contained in Exhibit 101)</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8085" w:type="dxa"/>
        <w:jc w:val="left"/>
        <w:tblInd w:w="0" w:type="dxa"/>
        <w:tblCellMar>
          <w:top w:w="0" w:type="dxa"/>
          <w:left w:w="0" w:type="dxa"/>
          <w:bottom w:w="0" w:type="dxa"/>
          <w:right w:w="0" w:type="dxa"/>
        </w:tblCellMar>
      </w:tblPr>
      <w:tblGrid>
        <w:gridCol w:w="1700"/>
        <w:gridCol w:w="320"/>
        <w:gridCol w:w="6065"/>
      </w:tblGrid>
      <w:tr>
        <w:trPr/>
        <w:tc>
          <w:tcPr>
            <w:tcW w:w="1700" w:type="dxa"/>
            <w:tcBorders/>
            <w:shd w:fill="auto" w:val="clear"/>
            <w:vAlign w:val="center"/>
          </w:tcPr>
          <w:p>
            <w:pPr>
              <w:pStyle w:val="TableContents"/>
              <w:spacing w:before="0" w:after="283"/>
              <w:rPr>
                <w:caps w:val="false"/>
                <w:smallCaps w:val="false"/>
              </w:rPr>
            </w:pPr>
            <w:r>
              <w:rPr>
                <w:caps w:val="false"/>
                <w:smallCaps w:val="false"/>
              </w:rPr>
              <w:t> </w:t>
            </w:r>
          </w:p>
        </w:tc>
        <w:tc>
          <w:tcPr>
            <w:tcW w:w="6385" w:type="dxa"/>
            <w:gridSpan w:val="2"/>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w:t>
            </w:r>
          </w:p>
        </w:tc>
      </w:tr>
      <w:tr>
        <w:trPr/>
        <w:tc>
          <w:tcPr>
            <w:tcW w:w="1700" w:type="dxa"/>
            <w:tcBorders/>
            <w:shd w:fill="auto" w:val="clear"/>
            <w:vAlign w:val="center"/>
          </w:tcPr>
          <w:p>
            <w:pPr>
              <w:pStyle w:val="TableContents"/>
              <w:spacing w:before="0" w:after="283"/>
              <w:rPr>
                <w:caps w:val="false"/>
                <w:smallCaps w:val="false"/>
              </w:rPr>
            </w:pPr>
            <w:r>
              <w:rPr>
                <w:caps w:val="false"/>
                <w:smallCaps w:val="false"/>
              </w:rPr>
              <w:t> </w:t>
            </w:r>
          </w:p>
        </w:tc>
        <w:tc>
          <w:tcPr>
            <w:tcW w:w="6385"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17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26, 2023</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65"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Charles C. Boettcher</w:t>
            </w:r>
          </w:p>
        </w:tc>
      </w:tr>
      <w:tr>
        <w:trPr/>
        <w:tc>
          <w:tcPr>
            <w:tcW w:w="170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6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C. Boettcher</w:t>
            </w:r>
          </w:p>
        </w:tc>
      </w:tr>
      <w:tr>
        <w:trPr/>
        <w:tc>
          <w:tcPr>
            <w:tcW w:w="1700" w:type="dxa"/>
            <w:tcBorders/>
            <w:shd w:fill="auto" w:val="clear"/>
            <w:vAlign w:val="center"/>
          </w:tcPr>
          <w:p>
            <w:pPr>
              <w:pStyle w:val="TableContents"/>
              <w:spacing w:before="0" w:after="283"/>
              <w:rPr>
                <w:caps w:val="false"/>
                <w:smallCaps w:val="false"/>
              </w:rPr>
            </w:pPr>
            <w:r>
              <w:rPr>
                <w:caps w:val="false"/>
                <w:smallCaps w:val="false"/>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60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Corporate Development and Chief Legal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r>
        <w:br w:type="page"/>
      </w:r>
    </w:p>
    <w:p>
      <w:pPr>
        <w:pStyle w:val="TextBody"/>
        <w:rPr/>
      </w:pPr>
      <w:bookmarkStart w:id="23" w:name="tm2313631d1_ex99-1.htm"/>
      <w:bookmarkStart w:id="24" w:name="kstm2313631d1_ex991"/>
      <w:bookmarkEnd w:id="23"/>
      <w:bookmarkEnd w:id="24"/>
      <w:r>
        <w:rPr/>
        <w:t> </w:t>
      </w:r>
    </w:p>
    <w:p>
      <w:pPr>
        <w:pStyle w:val="TextBody"/>
        <w:jc w:val="right"/>
        <w:rPr>
          <w:rFonts w:ascii="Arial;Helvetica;Sans-Serif" w:hAnsi="Arial;Helvetica;Sans-Serif"/>
          <w:b/>
          <w:caps/>
          <w:sz w:val="20"/>
        </w:rPr>
      </w:pPr>
      <w:r>
        <w:rPr>
          <w:rFonts w:ascii="Arial;Helvetica;Sans-Serif" w:hAnsi="Arial;Helvetica;Sans-Serif"/>
          <w:b/>
          <w:caps/>
          <w:sz w:val="20"/>
        </w:rPr>
        <w:t>Exhibit 99.1</w:t>
      </w:r>
    </w:p>
    <w:p>
      <w:pPr>
        <w:pStyle w:val="TextBody"/>
        <w:rPr/>
      </w:pPr>
      <w:r>
        <w:rPr/>
        <w:t> </w:t>
      </w:r>
    </w:p>
    <w:p>
      <w:pPr>
        <w:pStyle w:val="TextBody"/>
        <w:rPr>
          <w:rFonts w:ascii="Arial;Helvetica;Sans-Serif" w:hAnsi="Arial;Helvetica;Sans-Serif"/>
          <w:b/>
          <w:caps/>
          <w:sz w:val="18"/>
        </w:rPr>
      </w:pPr>
      <w:r>
        <w:rPr>
          <w:rFonts w:ascii="Arial;Helvetica;Sans-Serif" w:hAnsi="Arial;Helvetica;Sans-Serif"/>
          <w:b/>
          <w:caps/>
          <w:sz w:val="18"/>
        </w:rPr>
        <w:t>For Immediate Release</w:t>
      </w:r>
    </w:p>
    <w:p>
      <w:pPr>
        <w:pStyle w:val="TextBody"/>
        <w:rPr/>
      </w:pPr>
      <w:r>
        <w:rPr/>
        <w:t> </w:t>
      </w:r>
    </w:p>
    <w:tbl>
      <w:tblPr>
        <w:tblW w:w="10205" w:type="dxa"/>
        <w:jc w:val="left"/>
        <w:tblInd w:w="0" w:type="dxa"/>
        <w:tblCellMar>
          <w:top w:w="0" w:type="dxa"/>
          <w:left w:w="0" w:type="dxa"/>
          <w:bottom w:w="0" w:type="dxa"/>
          <w:right w:w="0" w:type="dxa"/>
        </w:tblCellMar>
      </w:tblPr>
      <w:tblGrid>
        <w:gridCol w:w="8191"/>
        <w:gridCol w:w="2014"/>
      </w:tblGrid>
      <w:tr>
        <w:trPr/>
        <w:tc>
          <w:tcPr>
            <w:tcW w:w="8191" w:type="dxa"/>
            <w:tcBorders/>
            <w:shd w:fill="auto" w:val="clear"/>
            <w:vAlign w:val="center"/>
          </w:tcPr>
          <w:p>
            <w:pPr>
              <w:pStyle w:val="TableContents"/>
              <w:spacing w:before="0" w:after="283"/>
              <w:jc w:val="center"/>
              <w:rPr>
                <w:b w:val="false"/>
                <w:color w:val="7AB800"/>
                <w:sz w:val="44"/>
              </w:rPr>
            </w:pPr>
            <w:r>
              <w:rPr>
                <w:b w:val="false"/>
                <w:color w:val="7AB800"/>
                <w:sz w:val="44"/>
              </w:rPr>
              <w:t>WM Announces First Quarter Earnings</w:t>
            </w:r>
          </w:p>
        </w:tc>
        <w:tc>
          <w:tcPr>
            <w:tcW w:w="2014" w:type="dxa"/>
            <w:vMerge w:val="restart"/>
            <w:tcBorders/>
            <w:shd w:fill="auto" w:val="clear"/>
            <w:vAlign w:val="center"/>
          </w:tcPr>
          <w:p>
            <w:pPr>
              <w:pStyle w:val="TableContents"/>
              <w:spacing w:before="0" w:after="0"/>
              <w:ind w:left="0" w:right="0" w:hanging="0"/>
              <w:rPr>
                <w:caps/>
                <w:color w:val="00693C"/>
              </w:rPr>
            </w:pPr>
            <w:r>
              <w:rPr>
                <w:caps/>
                <w:color w:val="00693C"/>
              </w:rPr>
              <w:t> </w:t>
            </w:r>
          </w:p>
          <w:p>
            <w:pPr>
              <w:pStyle w:val="TableContents"/>
              <w:spacing w:before="0" w:after="0"/>
              <w:ind w:left="0" w:right="0" w:hanging="0"/>
              <w:rPr>
                <w:caps/>
                <w:color w:val="00693C"/>
              </w:rPr>
            </w:pPr>
            <w:r>
              <w:rPr>
                <w:caps/>
                <w:color w:val="00693C"/>
              </w:rPr>
              <w:t> </w:t>
            </w:r>
          </w:p>
          <w:p>
            <w:pPr>
              <w:pStyle w:val="TableContents"/>
              <w:spacing w:before="0" w:after="0"/>
              <w:ind w:left="0" w:right="0" w:hanging="0"/>
              <w:rPr>
                <w:caps/>
                <w:color w:val="00693C"/>
              </w:rPr>
            </w:pPr>
            <w:r>
              <w:rPr>
                <w:caps/>
                <w:color w:val="00693C"/>
              </w:rPr>
              <w:t> </w:t>
            </w:r>
          </w:p>
          <w:p>
            <w:pPr>
              <w:pStyle w:val="TableContents"/>
              <w:spacing w:before="0" w:after="0"/>
              <w:ind w:left="0" w:right="0" w:hanging="0"/>
              <w:rPr>
                <w:caps/>
                <w:color w:val="00693C"/>
              </w:rPr>
            </w:pPr>
            <w:r>
              <w:rPr>
                <w:caps/>
                <w:color w:val="00693C"/>
              </w:rPr>
              <w:t> </w:t>
            </w:r>
          </w:p>
          <w:p>
            <w:pPr>
              <w:pStyle w:val="TableContents"/>
              <w:spacing w:before="0" w:after="0"/>
              <w:ind w:left="0" w:right="0" w:hanging="0"/>
              <w:rPr>
                <w:caps/>
                <w:color w:val="00693C"/>
              </w:rPr>
            </w:pPr>
            <w:r>
              <w:rPr>
                <w:caps/>
                <w:color w:val="00693C"/>
              </w:rPr>
              <w:t> </w:t>
            </w:r>
          </w:p>
          <w:p>
            <w:pPr>
              <w:pStyle w:val="TableContents"/>
              <w:spacing w:before="0" w:after="0"/>
              <w:ind w:left="0" w:right="0" w:hanging="0"/>
              <w:rPr>
                <w:rFonts w:ascii="Arial;Helvetica;Sans-Serif" w:hAnsi="Arial;Helvetica;Sans-Serif"/>
                <w:b/>
                <w:i w:val="false"/>
                <w:caps/>
                <w:color w:val="00693C"/>
                <w:sz w:val="18"/>
              </w:rPr>
            </w:pPr>
            <w:r>
              <w:rPr>
                <w:rFonts w:ascii="Arial;Helvetica;Sans-Serif" w:hAnsi="Arial;Helvetica;Sans-Serif"/>
                <w:b/>
                <w:i w:val="false"/>
                <w:caps/>
                <w:color w:val="00693C"/>
                <w:sz w:val="18"/>
              </w:rPr>
              <w:t>FOR MORE INFORMATION</w:t>
            </w:r>
          </w:p>
          <w:p>
            <w:pPr>
              <w:pStyle w:val="TableContents"/>
              <w:spacing w:before="0" w:after="0"/>
              <w:ind w:left="0" w:right="0" w:hanging="0"/>
              <w:rPr>
                <w:caps w:val="false"/>
                <w:smallCaps w:val="false"/>
                <w:color w:val="57584F"/>
              </w:rPr>
            </w:pPr>
            <w:r>
              <w:rPr>
                <w:caps w:val="false"/>
                <w:smallCaps w:val="false"/>
                <w:color w:val="57584F"/>
              </w:rPr>
              <w:t> </w:t>
            </w:r>
          </w:p>
          <w:p>
            <w:pPr>
              <w:pStyle w:val="TableContents"/>
              <w:spacing w:before="0" w:after="0"/>
              <w:ind w:left="0" w:right="0" w:hanging="0"/>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WM</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Website</w:t>
            </w:r>
          </w:p>
          <w:p>
            <w:pPr>
              <w:pStyle w:val="TableContents"/>
              <w:spacing w:before="0" w:after="0"/>
              <w:ind w:left="0" w:right="0" w:hanging="0"/>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www.wm.com</w:t>
            </w:r>
          </w:p>
        </w:tc>
      </w:tr>
      <w:tr>
        <w:trPr/>
        <w:tc>
          <w:tcPr>
            <w:tcW w:w="8191" w:type="dxa"/>
            <w:tcBorders/>
            <w:shd w:fill="auto" w:val="clear"/>
            <w:vAlign w:val="center"/>
          </w:tcPr>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Organic Revenue Growth Drives Increases in Income from Operations, Operating </w:t>
              <w:br/>
              <w:t>EBITDA, and Diluted Earnings per Share</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 xml:space="preserve">WM Recognized by Forbes as One of the Best Employers for Diversity </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sz w:val="20"/>
              </w:rPr>
              <w:t xml:space="preserve">Houston </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 xml:space="preserve">Apr. 26, 2023 </w:t>
            </w:r>
            <w:r>
              <w:rPr>
                <w:rFonts w:ascii="Arial;Helvetica;Sans-Serif" w:hAnsi="Arial;Helvetica;Sans-Serif"/>
                <w:b w:val="false"/>
                <w:i w:val="false"/>
                <w:caps w:val="false"/>
                <w:smallCaps w:val="false"/>
                <w:sz w:val="20"/>
              </w:rPr>
              <w:t>— WM (NYSE: WM) today announced financial results for the quarter ended March 31, 2023.</w:t>
            </w:r>
          </w:p>
        </w:tc>
        <w:tc>
          <w:tcPr>
            <w:tcW w:w="2014" w:type="dxa"/>
            <w:vMerge w:val="continue"/>
            <w:tcBorders/>
            <w:shd w:fill="auto" w:val="clear"/>
            <w:vAlign w:val="center"/>
          </w:tcPr>
          <w:p>
            <w:pPr>
              <w:pStyle w:val="Normal"/>
              <w:rPr/>
            </w:pPr>
            <w:r>
              <w:rPr/>
            </w:r>
          </w:p>
        </w:tc>
      </w:tr>
    </w:tbl>
    <w:p>
      <w:pPr>
        <w:pStyle w:val="TextBody"/>
        <w:rPr/>
      </w:pPr>
      <w:r>
        <w:rPr/>
        <w:t> </w:t>
      </w:r>
    </w:p>
    <w:tbl>
      <w:tblPr>
        <w:tblW w:w="10083" w:type="dxa"/>
        <w:jc w:val="left"/>
        <w:tblInd w:w="0" w:type="dxa"/>
        <w:tblCellMar>
          <w:top w:w="0" w:type="dxa"/>
          <w:left w:w="0" w:type="dxa"/>
          <w:bottom w:w="0" w:type="dxa"/>
          <w:right w:w="0" w:type="dxa"/>
        </w:tblCellMar>
      </w:tblPr>
      <w:tblGrid>
        <w:gridCol w:w="2150"/>
        <w:gridCol w:w="1460"/>
        <w:gridCol w:w="1649"/>
        <w:gridCol w:w="60"/>
        <w:gridCol w:w="1460"/>
        <w:gridCol w:w="1649"/>
        <w:gridCol w:w="1655"/>
      </w:tblGrid>
      <w:tr>
        <w:trPr/>
        <w:tc>
          <w:tcPr>
            <w:tcW w:w="2150" w:type="dxa"/>
            <w:tcBorders/>
            <w:shd w:fill="auto" w:val="clear"/>
            <w:vAlign w:val="center"/>
          </w:tcPr>
          <w:p>
            <w:pPr>
              <w:pStyle w:val="TableContents"/>
              <w:spacing w:before="0" w:after="283"/>
              <w:jc w:val="both"/>
              <w:rPr/>
            </w:pPr>
            <w:r>
              <w:rPr/>
              <w:t> </w:t>
            </w:r>
          </w:p>
        </w:tc>
        <w:tc>
          <w:tcPr>
            <w:tcW w:w="3109"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3109" w:type="dxa"/>
            <w:gridSpan w:val="2"/>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rPr>
                <w:b/>
              </w:rPr>
            </w:pPr>
            <w:r>
              <w:rPr>
                <w:b/>
              </w:rPr>
              <w:t xml:space="preserve">Analysts </w:t>
            </w:r>
          </w:p>
        </w:tc>
      </w:tr>
      <w:tr>
        <w:trPr/>
        <w:tc>
          <w:tcPr>
            <w:tcW w:w="2150" w:type="dxa"/>
            <w:tcBorders/>
            <w:shd w:fill="auto" w:val="clear"/>
            <w:vAlign w:val="center"/>
          </w:tcPr>
          <w:p>
            <w:pPr>
              <w:pStyle w:val="TableContents"/>
              <w:spacing w:before="0" w:after="283"/>
              <w:jc w:val="both"/>
              <w:rPr/>
            </w:pPr>
            <w:r>
              <w:rPr/>
              <w:t> </w:t>
            </w:r>
          </w:p>
        </w:tc>
        <w:tc>
          <w:tcPr>
            <w:tcW w:w="3109" w:type="dxa"/>
            <w:gridSpan w:val="2"/>
            <w:tcBorders/>
            <w:shd w:fill="auto" w:val="clear"/>
            <w:vAlign w:val="center"/>
          </w:tcPr>
          <w:p>
            <w:pPr>
              <w:pStyle w:val="TableContents"/>
              <w:spacing w:before="0" w:after="283"/>
              <w:jc w:val="center"/>
              <w:rPr>
                <w:rFonts w:ascii="Arial;Helvetica;Sans-Serif" w:hAnsi="Arial;Helvetica;Sans-Serif"/>
                <w:b/>
                <w:sz w:val="18"/>
              </w:rPr>
            </w:pPr>
            <w:r>
              <w:rPr>
                <w:rFonts w:ascii="Arial;Helvetica;Sans-Serif" w:hAnsi="Arial;Helvetica;Sans-Serif"/>
                <w:b/>
                <w:sz w:val="18"/>
              </w:rPr>
              <w:t>Three Months Ended</w:t>
            </w:r>
          </w:p>
        </w:tc>
        <w:tc>
          <w:tcPr>
            <w:tcW w:w="60" w:type="dxa"/>
            <w:tcBorders/>
            <w:shd w:fill="auto" w:val="clear"/>
            <w:vAlign w:val="center"/>
          </w:tcPr>
          <w:p>
            <w:pPr>
              <w:pStyle w:val="TableContents"/>
              <w:spacing w:before="0" w:after="283"/>
              <w:jc w:val="center"/>
              <w:rPr/>
            </w:pPr>
            <w:r>
              <w:rPr/>
              <w:t> </w:t>
            </w:r>
          </w:p>
        </w:tc>
        <w:tc>
          <w:tcPr>
            <w:tcW w:w="3109" w:type="dxa"/>
            <w:gridSpan w:val="2"/>
            <w:tcBorders/>
            <w:shd w:fill="auto" w:val="clear"/>
            <w:vAlign w:val="center"/>
          </w:tcPr>
          <w:p>
            <w:pPr>
              <w:pStyle w:val="TableContents"/>
              <w:spacing w:before="0" w:after="283"/>
              <w:jc w:val="center"/>
              <w:rPr>
                <w:rFonts w:ascii="Arial;Helvetica;Sans-Serif" w:hAnsi="Arial;Helvetica;Sans-Serif"/>
                <w:b/>
                <w:sz w:val="18"/>
              </w:rPr>
            </w:pPr>
            <w:r>
              <w:rPr>
                <w:rFonts w:ascii="Arial;Helvetica;Sans-Serif" w:hAnsi="Arial;Helvetica;Sans-Serif"/>
                <w:b/>
                <w:sz w:val="18"/>
              </w:rPr>
              <w:t>Three Months Ended</w:t>
            </w:r>
          </w:p>
        </w:tc>
        <w:tc>
          <w:tcPr>
            <w:tcW w:w="1655" w:type="dxa"/>
            <w:tcBorders/>
            <w:shd w:fill="auto" w:val="clear"/>
            <w:vAlign w:val="center"/>
          </w:tcPr>
          <w:p>
            <w:pPr>
              <w:pStyle w:val="TableContents"/>
              <w:spacing w:before="0" w:after="283"/>
              <w:rPr/>
            </w:pPr>
            <w:r>
              <w:rPr/>
              <w:t>Ed Egl</w:t>
            </w:r>
          </w:p>
        </w:tc>
      </w:tr>
      <w:tr>
        <w:trPr/>
        <w:tc>
          <w:tcPr>
            <w:tcW w:w="2150" w:type="dxa"/>
            <w:tcBorders/>
            <w:shd w:fill="auto" w:val="clear"/>
            <w:vAlign w:val="center"/>
          </w:tcPr>
          <w:p>
            <w:pPr>
              <w:pStyle w:val="TableContents"/>
              <w:spacing w:before="0" w:after="283"/>
              <w:jc w:val="both"/>
              <w:rPr/>
            </w:pPr>
            <w:r>
              <w:rPr/>
              <w:t> </w:t>
            </w:r>
          </w:p>
        </w:tc>
        <w:tc>
          <w:tcPr>
            <w:tcW w:w="3109" w:type="dxa"/>
            <w:gridSpan w:val="2"/>
            <w:tcBorders/>
            <w:shd w:fill="auto" w:val="clear"/>
            <w:vAlign w:val="center"/>
          </w:tcPr>
          <w:p>
            <w:pPr>
              <w:pStyle w:val="TableContents"/>
              <w:spacing w:before="0" w:after="283"/>
              <w:jc w:val="center"/>
              <w:rPr/>
            </w:pPr>
            <w:r>
              <w:rPr>
                <w:rFonts w:ascii="Arial;Helvetica;Sans-Serif" w:hAnsi="Arial;Helvetica;Sans-Serif"/>
                <w:b/>
                <w:sz w:val="18"/>
                <w:u w:val="single"/>
              </w:rPr>
              <w:t>March 31, 2023</w:t>
              <w:br/>
            </w:r>
            <w:r>
              <w:rPr>
                <w:rFonts w:ascii="Arial;Helvetica;Sans-Serif" w:hAnsi="Arial;Helvetica;Sans-Serif"/>
                <w:b/>
                <w:sz w:val="16"/>
                <w:u w:val="single"/>
              </w:rPr>
              <w:t>(in millions, except per share amounts)</w:t>
            </w:r>
          </w:p>
        </w:tc>
        <w:tc>
          <w:tcPr>
            <w:tcW w:w="60" w:type="dxa"/>
            <w:tcBorders/>
            <w:shd w:fill="auto" w:val="clear"/>
            <w:vAlign w:val="center"/>
          </w:tcPr>
          <w:p>
            <w:pPr>
              <w:pStyle w:val="TableContents"/>
              <w:spacing w:before="0" w:after="283"/>
              <w:jc w:val="center"/>
              <w:rPr/>
            </w:pPr>
            <w:r>
              <w:rPr/>
              <w:t> </w:t>
            </w:r>
          </w:p>
        </w:tc>
        <w:tc>
          <w:tcPr>
            <w:tcW w:w="3109" w:type="dxa"/>
            <w:gridSpan w:val="2"/>
            <w:tcBorders/>
            <w:shd w:fill="auto" w:val="clear"/>
            <w:vAlign w:val="center"/>
          </w:tcPr>
          <w:p>
            <w:pPr>
              <w:pStyle w:val="TableContents"/>
              <w:spacing w:before="0" w:after="0"/>
              <w:ind w:left="0" w:right="0" w:hanging="0"/>
              <w:jc w:val="center"/>
              <w:rPr>
                <w:rFonts w:ascii="Arial;Helvetica;Sans-Serif" w:hAnsi="Arial;Helvetica;Sans-Serif"/>
                <w:b/>
                <w:i w:val="false"/>
                <w:caps w:val="false"/>
                <w:smallCaps w:val="false"/>
                <w:sz w:val="18"/>
                <w:u w:val="single"/>
              </w:rPr>
            </w:pPr>
            <w:r>
              <w:rPr>
                <w:rFonts w:ascii="Arial;Helvetica;Sans-Serif" w:hAnsi="Arial;Helvetica;Sans-Serif"/>
                <w:b/>
                <w:i w:val="false"/>
                <w:caps w:val="false"/>
                <w:smallCaps w:val="false"/>
                <w:sz w:val="18"/>
                <w:u w:val="single"/>
              </w:rPr>
              <w:t>March 31, 2022</w:t>
            </w:r>
          </w:p>
          <w:p>
            <w:pPr>
              <w:pStyle w:val="TableContents"/>
              <w:spacing w:before="0" w:after="0"/>
              <w:ind w:left="0" w:right="0" w:hanging="0"/>
              <w:jc w:val="center"/>
              <w:rPr>
                <w:rFonts w:ascii="Arial;Helvetica;Sans-Serif" w:hAnsi="Arial;Helvetica;Sans-Serif"/>
                <w:b/>
                <w:i w:val="false"/>
                <w:caps w:val="false"/>
                <w:smallCaps w:val="false"/>
                <w:sz w:val="16"/>
                <w:u w:val="single"/>
              </w:rPr>
            </w:pPr>
            <w:r>
              <w:rPr>
                <w:rFonts w:ascii="Arial;Helvetica;Sans-Serif" w:hAnsi="Arial;Helvetica;Sans-Serif"/>
                <w:b/>
                <w:i w:val="false"/>
                <w:caps w:val="false"/>
                <w:smallCaps w:val="false"/>
                <w:sz w:val="16"/>
                <w:u w:val="single"/>
              </w:rPr>
              <w:t>(in millions, except per share amounts)</w:t>
            </w:r>
          </w:p>
        </w:tc>
        <w:tc>
          <w:tcPr>
            <w:tcW w:w="1655" w:type="dxa"/>
            <w:tcBorders/>
            <w:shd w:fill="auto" w:val="clear"/>
            <w:vAlign w:val="center"/>
          </w:tcPr>
          <w:p>
            <w:pPr>
              <w:pStyle w:val="TableContents"/>
              <w:spacing w:before="0" w:after="283"/>
              <w:rPr/>
            </w:pPr>
            <w:r>
              <w:rPr/>
              <w:t>713.265.1656</w:t>
              <w:br/>
              <w:t>eegl@wm.com</w:t>
            </w:r>
          </w:p>
        </w:tc>
      </w:tr>
      <w:tr>
        <w:trPr/>
        <w:tc>
          <w:tcPr>
            <w:tcW w:w="2150" w:type="dxa"/>
            <w:tcBorders/>
            <w:shd w:fill="auto" w:val="clear"/>
            <w:vAlign w:val="center"/>
          </w:tcPr>
          <w:p>
            <w:pPr>
              <w:pStyle w:val="TableContents"/>
              <w:spacing w:before="0" w:after="283"/>
              <w:jc w:val="both"/>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As Reported</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As Adjusted</w:t>
            </w:r>
            <w:r>
              <w:rPr>
                <w:rFonts w:ascii="Arial;Helvetica;Sans-Serif" w:hAnsi="Arial;Helvetica;Sans-Serif"/>
                <w:position w:val="6"/>
                <w:sz w:val="14"/>
                <w:sz w:val="18"/>
              </w:rPr>
              <w:t>(a)</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As Reported</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As Adjusted</w:t>
            </w:r>
            <w:r>
              <w:rPr>
                <w:rFonts w:ascii="Arial;Helvetica;Sans-Serif" w:hAnsi="Arial;Helvetica;Sans-Serif"/>
                <w:position w:val="6"/>
                <w:sz w:val="14"/>
                <w:sz w:val="18"/>
              </w:rPr>
              <w:t>(a)</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Revenue</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$4,892</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$4,892</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$4,661</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$4,661</w:t>
            </w:r>
          </w:p>
        </w:tc>
        <w:tc>
          <w:tcPr>
            <w:tcW w:w="1655" w:type="dxa"/>
            <w:tcBorders/>
            <w:shd w:fill="auto" w:val="clear"/>
            <w:vAlign w:val="center"/>
          </w:tcPr>
          <w:p>
            <w:pPr>
              <w:pStyle w:val="TableContents"/>
              <w:spacing w:before="0" w:after="283"/>
              <w:jc w:val="left"/>
              <w:rPr/>
            </w:pPr>
            <w:r>
              <w:rPr>
                <w:b/>
              </w:rPr>
              <w:t>Media</w:t>
            </w:r>
            <w:r>
              <w:rPr/>
              <w:br/>
              <w:t>Toni Werner</w:t>
            </w:r>
          </w:p>
        </w:tc>
      </w:tr>
      <w:tr>
        <w:trPr/>
        <w:tc>
          <w:tcPr>
            <w:tcW w:w="215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Income from Operations</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$825</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$828</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$768</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$803</w:t>
            </w:r>
          </w:p>
        </w:tc>
        <w:tc>
          <w:tcPr>
            <w:tcW w:w="1655" w:type="dxa"/>
            <w:tcBorders/>
            <w:shd w:fill="auto" w:val="clear"/>
            <w:vAlign w:val="center"/>
          </w:tcPr>
          <w:p>
            <w:pPr>
              <w:pStyle w:val="TableContents"/>
              <w:spacing w:before="0" w:after="283"/>
              <w:rPr/>
            </w:pPr>
            <w:r>
              <w:rPr/>
              <w:t>media@wm.com</w:t>
            </w:r>
          </w:p>
        </w:tc>
      </w:tr>
      <w:tr>
        <w:trPr/>
        <w:tc>
          <w:tcPr>
            <w:tcW w:w="215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Operating EBITDA</w:t>
            </w:r>
            <w:r>
              <w:rPr>
                <w:rFonts w:ascii="Arial;Helvetica;Sans-Serif" w:hAnsi="Arial;Helvetica;Sans-Serif"/>
                <w:position w:val="6"/>
                <w:sz w:val="14"/>
                <w:sz w:val="18"/>
              </w:rPr>
              <w:t>(b)</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 xml:space="preserve">$1,330 </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$1,333</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 xml:space="preserve">$1,250 </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$1,285</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Operating EBITDA Margin</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27.2%</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27.2%</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26.8%</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27.6%</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Net Income</w:t>
            </w:r>
            <w:r>
              <w:rPr>
                <w:rFonts w:ascii="Arial;Helvetica;Sans-Serif" w:hAnsi="Arial;Helvetica;Sans-Serif"/>
                <w:position w:val="6"/>
                <w:sz w:val="14"/>
                <w:sz w:val="18"/>
              </w:rPr>
              <w:t>(c)</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$533</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$535</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$513</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$540</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pPr>
            <w:r>
              <w:rPr/>
              <w:t> </w:t>
            </w:r>
          </w:p>
        </w:tc>
        <w:tc>
          <w:tcPr>
            <w:tcW w:w="1649" w:type="dxa"/>
            <w:tcBorders/>
            <w:shd w:fill="auto" w:val="clear"/>
            <w:vAlign w:val="center"/>
          </w:tcPr>
          <w:p>
            <w:pPr>
              <w:pStyle w:val="TableContents"/>
              <w:spacing w:before="0" w:after="283"/>
              <w:jc w:val="center"/>
              <w:rPr/>
            </w:pPr>
            <w:r>
              <w:rPr/>
              <w:t> </w:t>
            </w:r>
          </w:p>
        </w:tc>
        <w:tc>
          <w:tcPr>
            <w:tcW w:w="1655" w:type="dxa"/>
            <w:tcBorders/>
            <w:shd w:fill="auto" w:val="clear"/>
            <w:vAlign w:val="center"/>
          </w:tcPr>
          <w:p>
            <w:pPr>
              <w:pStyle w:val="TableContents"/>
              <w:spacing w:before="0" w:after="283"/>
              <w:rPr/>
            </w:pPr>
            <w:r>
              <w:rPr/>
              <w:t> </w:t>
            </w:r>
          </w:p>
        </w:tc>
      </w:tr>
      <w:tr>
        <w:trPr/>
        <w:tc>
          <w:tcPr>
            <w:tcW w:w="2150"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Diluted EPS</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$1.30</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$1.31</w:t>
            </w:r>
          </w:p>
        </w:tc>
        <w:tc>
          <w:tcPr>
            <w:tcW w:w="60" w:type="dxa"/>
            <w:tcBorders/>
            <w:shd w:fill="auto" w:val="clear"/>
            <w:vAlign w:val="center"/>
          </w:tcPr>
          <w:p>
            <w:pPr>
              <w:pStyle w:val="TableContents"/>
              <w:spacing w:before="0" w:after="283"/>
              <w:jc w:val="center"/>
              <w:rPr/>
            </w:pPr>
            <w:r>
              <w:rPr/>
              <w:t> </w:t>
            </w:r>
          </w:p>
        </w:tc>
        <w:tc>
          <w:tcPr>
            <w:tcW w:w="1460"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$1.23</w:t>
            </w:r>
          </w:p>
        </w:tc>
        <w:tc>
          <w:tcPr>
            <w:tcW w:w="1649" w:type="dxa"/>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sz w:val="18"/>
              </w:rPr>
              <w:t>$1.29</w:t>
            </w:r>
          </w:p>
        </w:tc>
        <w:tc>
          <w:tcPr>
            <w:tcW w:w="1655" w:type="dxa"/>
            <w:tcBorders/>
            <w:shd w:fill="auto"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Our performance to start 2023 delivered results in line with our expectations, keeping us on track to achieve the full-year guidance provided at the end of January,” said Jim Fish, WM’s President and Chief Executive Officer. “In the first quarter, our teams executed well, delivering organic revenue growth in the collection and disposal business of 7.0%. As we move into the second quarter where we begin to see the seasonal uptick in our business, we remain laser focused on our three top priorities for the year—cost management and leveraging technology and automation to drive permanent cost reductions, disciplined pricing, and execution on our sustainability growth investments.”</w:t>
      </w:r>
    </w:p>
    <w:p>
      <w:pPr>
        <w:pStyle w:val="TextBody"/>
        <w:spacing w:before="0" w:after="0"/>
        <w:ind w:left="0" w:right="0" w:hanging="0"/>
        <w:jc w:val="both"/>
        <w:rPr>
          <w:caps/>
        </w:rPr>
      </w:pPr>
      <w:r>
        <w:rPr>
          <w:caps/>
        </w:rPr>
        <w:t> </w:t>
      </w:r>
    </w:p>
    <w:p>
      <w:pPr>
        <w:pStyle w:val="TextBody"/>
        <w:spacing w:before="0" w:after="0"/>
        <w:ind w:left="0" w:right="0" w:hanging="0"/>
        <w:jc w:val="both"/>
        <w:rPr>
          <w:rFonts w:ascii="Arial;Helvetica;Sans-Serif" w:hAnsi="Arial;Helvetica;Sans-Serif"/>
          <w:b/>
          <w:i w:val="false"/>
          <w:caps/>
          <w:sz w:val="18"/>
        </w:rPr>
      </w:pPr>
      <w:r>
        <w:rPr>
          <w:rFonts w:ascii="Arial;Helvetica;Sans-Serif" w:hAnsi="Arial;Helvetica;Sans-Serif"/>
          <w:b/>
          <w:i w:val="false"/>
          <w:caps/>
          <w:sz w:val="18"/>
        </w:rPr>
        <w:t>Key Highlights for the FIRST Quarter OF 2023</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Revenue</w:t>
      </w:r>
    </w:p>
    <w:p>
      <w:pPr>
        <w:pStyle w:val="TextBody"/>
        <w:spacing w:before="0" w:after="0"/>
        <w:ind w:left="0" w:right="0" w:hanging="0"/>
        <w:rPr>
          <w:caps w:val="false"/>
          <w:smallCaps w:val="false"/>
        </w:rPr>
      </w:pPr>
      <w:r>
        <w:rPr>
          <w:caps w:val="false"/>
          <w:smallCaps w:val="false"/>
        </w:rPr>
        <w:t> </w:t>
      </w:r>
    </w:p>
    <w:tbl>
      <w:tblPr>
        <w:tblW w:w="9423" w:type="dxa"/>
        <w:jc w:val="left"/>
        <w:tblInd w:w="0" w:type="dxa"/>
        <w:tblCellMar>
          <w:top w:w="0" w:type="dxa"/>
          <w:left w:w="0" w:type="dxa"/>
          <w:bottom w:w="0" w:type="dxa"/>
          <w:right w:w="0" w:type="dxa"/>
        </w:tblCellMar>
      </w:tblPr>
      <w:tblGrid>
        <w:gridCol w:w="38"/>
        <w:gridCol w:w="170"/>
        <w:gridCol w:w="921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15" w:type="dxa"/>
            <w:tcBorders/>
            <w:shd w:fill="auto" w:val="clear"/>
            <w:vAlign w:val="center"/>
          </w:tcPr>
          <w:p>
            <w:pPr>
              <w:pStyle w:val="TableContents"/>
              <w:spacing w:before="0" w:after="283"/>
              <w:jc w:val="both"/>
              <w:rPr/>
            </w:pPr>
            <w:r>
              <w:rPr/>
              <w:t>Core price for the first quarter of 2023 was 7.4% compared to 7.3% in the first quarter of 2022.</w:t>
            </w:r>
            <w:r>
              <w:rPr>
                <w:position w:val="8"/>
                <w:sz w:val="19"/>
              </w:rPr>
              <w:t>(d)</w:t>
            </w:r>
          </w:p>
        </w:tc>
      </w:tr>
    </w:tbl>
    <w:tbl>
      <w:tblPr>
        <w:tblW w:w="8328" w:type="dxa"/>
        <w:jc w:val="left"/>
        <w:tblInd w:w="0" w:type="dxa"/>
        <w:tblCellMar>
          <w:top w:w="0" w:type="dxa"/>
          <w:left w:w="0" w:type="dxa"/>
          <w:bottom w:w="0" w:type="dxa"/>
          <w:right w:w="0" w:type="dxa"/>
        </w:tblCellMar>
      </w:tblPr>
      <w:tblGrid>
        <w:gridCol w:w="38"/>
        <w:gridCol w:w="170"/>
        <w:gridCol w:w="812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8120" w:type="dxa"/>
            <w:tcBorders/>
            <w:shd w:fill="auto" w:val="clear"/>
            <w:vAlign w:val="center"/>
          </w:tcPr>
          <w:p>
            <w:pPr>
              <w:pStyle w:val="TableContents"/>
              <w:spacing w:before="0" w:after="283"/>
              <w:jc w:val="both"/>
              <w:rPr/>
            </w:pPr>
            <w:r>
              <w:rPr/>
              <w:t>Collection and disposal yield was 6.2% compared to 5.5% in the first quarter of 2022.</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Total Company volumes increased 1.2%, or 0.9% on a workday adjusted basis, compared to 3.6% in the first quarter of 2022, or 3.2% on a workday adjusted basis.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Collection and disposal volumes increased 1.1%, or 0.8% on a workday adjusted basis, compared to 4.2% in the first quarter of 2022, or 3.8% on a workday adjusted basis.</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Cost Management</w:t>
      </w:r>
    </w:p>
    <w:p>
      <w:pPr>
        <w:pStyle w:val="TextBody"/>
        <w:spacing w:before="0" w:after="0"/>
        <w:ind w:left="72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Operating expenses as a percentage of revenue increased 80 basis points to 63.1% in the first quarter of 2023 when compared to the first quarter of 2022, or 70 basis points to 63.0% on an adjusted basis.</w:t>
            </w:r>
            <w:r>
              <w:rPr>
                <w:position w:val="8"/>
                <w:sz w:val="19"/>
              </w:rPr>
              <w:t>(a)</w:t>
            </w:r>
            <w:r>
              <w:rPr/>
              <w:t xml:space="preserve"> The increase in operating expense margin in the first quarter, when compared to the prior year, was primarily due to wage increases, the impact of inflationary cost pressures on repair and maintenance and subcontractor costs, and margin dilutive impacts from recently closed acquisitions.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SG&amp;A expenses were 9.7% of revenue compared to 10.5%, or 10.1% on an adjusted basis, in the first quarter of 2022.</w:t>
            </w:r>
            <w:r>
              <w:rPr>
                <w:position w:val="8"/>
                <w:sz w:val="19"/>
              </w:rPr>
              <w:t>(a)</w:t>
            </w:r>
            <w:r>
              <w:rPr/>
              <w:t xml:space="preserve"> The improvement reflects the Company’s progress in lowering SG&amp;A expenses through technology and automation.</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Profitability</w:t>
      </w:r>
    </w:p>
    <w:p>
      <w:pPr>
        <w:pStyle w:val="TextBody"/>
        <w:spacing w:before="0" w:after="0"/>
        <w:ind w:left="72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Operating EBITDA in the Company’s collection and disposal business, adjusted on the same basis as total Company operating EBITDA, was $1.5 billion, or 30.6% of revenue, for the first quarter of 2023, compared to $1.4 billion, or 31.3% of revenue, for the first quarter of 2022.</w:t>
            </w:r>
            <w:r>
              <w:rPr>
                <w:position w:val="8"/>
                <w:sz w:val="19"/>
              </w:rPr>
              <w:t>(e)</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Operating EBITDA in the Company’s recycling line of business declined by $42 million compared to the first quarter of 2022, largely in line with expectations. The decline was primarily driven by the approximately 60% decrease in market prices for single-stream recycled commodities.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both"/>
              <w:rPr/>
            </w:pPr>
            <w:r>
              <w:rPr/>
              <w:t>●</w:t>
            </w:r>
          </w:p>
        </w:tc>
        <w:tc>
          <w:tcPr>
            <w:tcW w:w="9997" w:type="dxa"/>
            <w:tcBorders/>
            <w:shd w:fill="auto" w:val="clear"/>
            <w:vAlign w:val="center"/>
          </w:tcPr>
          <w:p>
            <w:pPr>
              <w:pStyle w:val="TableContents"/>
              <w:spacing w:before="0" w:after="283"/>
              <w:jc w:val="both"/>
              <w:rPr/>
            </w:pPr>
            <w:r>
              <w:rPr/>
              <w:t>Operating EBITDA in the Company’s renewable energy business declined as expected by $20 million compared to the first quarter of 2022, primarily driven by decreases in the value of renewable fuel standard credits and lower energy prices.</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72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Free Cash Flow &amp; Capital Allocation</w:t>
      </w:r>
    </w:p>
    <w:p>
      <w:pPr>
        <w:pStyle w:val="TextBody"/>
        <w:spacing w:before="0" w:after="0"/>
        <w:ind w:left="0" w:right="0" w:hanging="0"/>
        <w:rPr>
          <w:caps w:val="false"/>
          <w:smallCaps w:val="false"/>
        </w:rPr>
      </w:pPr>
      <w:r>
        <w:rPr>
          <w:caps w:val="false"/>
          <w:smallCaps w:val="false"/>
        </w:rPr>
        <w:t> </w:t>
      </w:r>
    </w:p>
    <w:tbl>
      <w:tblPr>
        <w:tblW w:w="8407" w:type="dxa"/>
        <w:jc w:val="left"/>
        <w:tblInd w:w="0" w:type="dxa"/>
        <w:tblCellMar>
          <w:top w:w="0" w:type="dxa"/>
          <w:left w:w="0" w:type="dxa"/>
          <w:bottom w:w="0" w:type="dxa"/>
          <w:right w:w="0" w:type="dxa"/>
        </w:tblCellMar>
      </w:tblPr>
      <w:tblGrid>
        <w:gridCol w:w="6515"/>
        <w:gridCol w:w="179"/>
        <w:gridCol w:w="592"/>
        <w:gridCol w:w="275"/>
        <w:gridCol w:w="179"/>
        <w:gridCol w:w="592"/>
        <w:gridCol w:w="75"/>
      </w:tblGrid>
      <w:tr>
        <w:trPr/>
        <w:tc>
          <w:tcPr>
            <w:tcW w:w="6515" w:type="dxa"/>
            <w:tcBorders/>
            <w:shd w:fill="auto" w:val="clear"/>
            <w:vAlign w:val="center"/>
          </w:tcPr>
          <w:p>
            <w:pPr>
              <w:pStyle w:val="TableContents"/>
              <w:spacing w:before="0" w:after="283"/>
              <w:ind w:left="0" w:right="0" w:hanging="180"/>
              <w:rPr/>
            </w:pPr>
            <w:r>
              <w:rPr/>
              <w:t> </w:t>
            </w:r>
          </w:p>
        </w:tc>
        <w:tc>
          <w:tcPr>
            <w:tcW w:w="1817" w:type="dxa"/>
            <w:gridSpan w:val="5"/>
            <w:tcBorders/>
            <w:shd w:fill="auto" w:val="clear"/>
            <w:vAlign w:val="center"/>
          </w:tcPr>
          <w:p>
            <w:pPr>
              <w:pStyle w:val="TableContents"/>
              <w:spacing w:before="0" w:after="283"/>
              <w:jc w:val="center"/>
              <w:rPr>
                <w:rFonts w:ascii="Arial;Helvetica;Sans-Serif" w:hAnsi="Arial;Helvetica;Sans-Serif"/>
                <w:sz w:val="18"/>
              </w:rPr>
            </w:pPr>
            <w:r>
              <w:rPr>
                <w:rFonts w:ascii="Arial;Helvetica;Sans-Serif" w:hAnsi="Arial;Helvetica;Sans-Serif"/>
                <w:b/>
                <w:sz w:val="18"/>
              </w:rPr>
              <w:t>Three Months Ended</w:t>
            </w:r>
            <w:r>
              <w:rPr>
                <w:rFonts w:ascii="Arial;Helvetica;Sans-Serif" w:hAnsi="Arial;Helvetica;Sans-Serif"/>
                <w:sz w:val="18"/>
              </w:rPr>
              <w:t> </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pPr>
            <w:r>
              <w:rPr/>
              <w:t> </w:t>
            </w:r>
          </w:p>
        </w:tc>
        <w:tc>
          <w:tcPr>
            <w:tcW w:w="1817" w:type="dxa"/>
            <w:gridSpan w:val="5"/>
            <w:tcBorders>
              <w:bottom w:val="single" w:sz="8"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March 31,</w:t>
            </w:r>
            <w:r>
              <w:rPr>
                <w:rFonts w:ascii="Arial;Helvetica;Sans-Serif" w:hAnsi="Arial;Helvetica;Sans-Serif"/>
                <w:b w:val="false"/>
                <w:i w:val="false"/>
                <w:caps w:val="false"/>
                <w:smallCaps w:val="false"/>
                <w:sz w:val="18"/>
              </w:rPr>
              <w:t> </w:t>
            </w:r>
          </w:p>
          <w:p>
            <w:pPr>
              <w:pStyle w:val="TableContents"/>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 millions)</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pPr>
            <w:r>
              <w:rPr/>
              <w:t> </w:t>
            </w:r>
          </w:p>
        </w:tc>
        <w:tc>
          <w:tcPr>
            <w:tcW w:w="771" w:type="dxa"/>
            <w:gridSpan w:val="2"/>
            <w:tcBorders>
              <w:bottom w:val="single" w:sz="8" w:space="0" w:color="000000"/>
            </w:tcBorders>
            <w:shd w:fill="auto" w:val="clear"/>
            <w:tcMar>
              <w:bottom w:w="28" w:type="dxa"/>
            </w:tcMar>
            <w:vAlign w:val="center"/>
          </w:tcPr>
          <w:p>
            <w:pPr>
              <w:pStyle w:val="TableContents"/>
              <w:spacing w:before="0" w:after="283"/>
              <w:jc w:val="center"/>
              <w:rPr>
                <w:rFonts w:ascii="Arial;Helvetica;Sans-Serif" w:hAnsi="Arial;Helvetica;Sans-Serif"/>
                <w:sz w:val="18"/>
              </w:rPr>
            </w:pPr>
            <w:r>
              <w:rPr>
                <w:rFonts w:ascii="Arial;Helvetica;Sans-Serif" w:hAnsi="Arial;Helvetica;Sans-Serif"/>
                <w:b/>
                <w:sz w:val="18"/>
              </w:rPr>
              <w:t>2023</w:t>
            </w:r>
            <w:r>
              <w:rPr>
                <w:rFonts w:ascii="Arial;Helvetica;Sans-Serif" w:hAnsi="Arial;Helvetica;Sans-Serif"/>
                <w:sz w:val="18"/>
              </w:rPr>
              <w:t> </w:t>
            </w:r>
          </w:p>
        </w:tc>
        <w:tc>
          <w:tcPr>
            <w:tcW w:w="275" w:type="dxa"/>
            <w:tcBorders/>
            <w:shd w:fill="auto" w:val="clear"/>
            <w:vAlign w:val="center"/>
          </w:tcPr>
          <w:p>
            <w:pPr>
              <w:pStyle w:val="TableContents"/>
              <w:spacing w:before="0" w:after="283"/>
              <w:rPr/>
            </w:pPr>
            <w:r>
              <w:rPr/>
              <w:t>     </w:t>
            </w:r>
          </w:p>
        </w:tc>
        <w:tc>
          <w:tcPr>
            <w:tcW w:w="771" w:type="dxa"/>
            <w:gridSpan w:val="2"/>
            <w:tcBorders>
              <w:bottom w:val="single" w:sz="8" w:space="0" w:color="000000"/>
            </w:tcBorders>
            <w:shd w:fill="auto" w:val="clear"/>
            <w:tcMar>
              <w:bottom w:w="28" w:type="dxa"/>
            </w:tcMar>
            <w:vAlign w:val="center"/>
          </w:tcPr>
          <w:p>
            <w:pPr>
              <w:pStyle w:val="TableContents"/>
              <w:spacing w:before="0" w:after="283"/>
              <w:jc w:val="center"/>
              <w:rPr>
                <w:rFonts w:ascii="Arial;Helvetica;Sans-Serif" w:hAnsi="Arial;Helvetica;Sans-Serif"/>
                <w:sz w:val="18"/>
              </w:rPr>
            </w:pPr>
            <w:r>
              <w:rPr>
                <w:rFonts w:ascii="Arial;Helvetica;Sans-Serif" w:hAnsi="Arial;Helvetica;Sans-Serif"/>
                <w:b/>
                <w:sz w:val="18"/>
              </w:rPr>
              <w:t>2022</w:t>
            </w:r>
            <w:r>
              <w:rPr>
                <w:rFonts w:ascii="Arial;Helvetica;Sans-Serif" w:hAnsi="Arial;Helvetica;Sans-Serif"/>
                <w:sz w:val="18"/>
              </w:rPr>
              <w:t> </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Net cash provided by operating activities </w:t>
            </w:r>
          </w:p>
        </w:tc>
        <w:tc>
          <w:tcPr>
            <w:tcW w:w="179"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w:t>
            </w:r>
          </w:p>
        </w:tc>
        <w:tc>
          <w:tcPr>
            <w:tcW w:w="592" w:type="dxa"/>
            <w:tcBorders/>
            <w:shd w:fill="auto" w:val="clear"/>
            <w:vAlign w:val="center"/>
          </w:tcPr>
          <w:p>
            <w:pPr>
              <w:pStyle w:val="TableContents"/>
              <w:spacing w:before="0" w:after="283"/>
              <w:jc w:val="right"/>
              <w:rPr>
                <w:rFonts w:ascii="Arial;Helvetica;Sans-Serif" w:hAnsi="Arial;Helvetica;Sans-Serif"/>
                <w:sz w:val="18"/>
              </w:rPr>
            </w:pPr>
            <w:r>
              <w:rPr>
                <w:rFonts w:ascii="Arial;Helvetica;Sans-Serif" w:hAnsi="Arial;Helvetica;Sans-Serif"/>
                <w:sz w:val="18"/>
              </w:rPr>
              <w:t>1,044</w:t>
            </w:r>
          </w:p>
        </w:tc>
        <w:tc>
          <w:tcPr>
            <w:tcW w:w="275"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 </w:t>
            </w:r>
          </w:p>
        </w:tc>
        <w:tc>
          <w:tcPr>
            <w:tcW w:w="592" w:type="dxa"/>
            <w:tcBorders/>
            <w:shd w:fill="auto" w:val="clear"/>
            <w:vAlign w:val="center"/>
          </w:tcPr>
          <w:p>
            <w:pPr>
              <w:pStyle w:val="TableContents"/>
              <w:spacing w:before="0" w:after="283"/>
              <w:jc w:val="right"/>
              <w:rPr>
                <w:rFonts w:ascii="Arial;Helvetica;Sans-Serif" w:hAnsi="Arial;Helvetica;Sans-Serif"/>
                <w:sz w:val="18"/>
              </w:rPr>
            </w:pPr>
            <w:r>
              <w:rPr>
                <w:rFonts w:ascii="Arial;Helvetica;Sans-Serif" w:hAnsi="Arial;Helvetica;Sans-Serif"/>
                <w:sz w:val="18"/>
              </w:rPr>
              <w:t>1,258 </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Capital expenditures to support the business </w:t>
            </w:r>
          </w:p>
        </w:tc>
        <w:tc>
          <w:tcPr>
            <w:tcW w:w="179"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jc w:val="right"/>
              <w:rPr/>
            </w:pPr>
            <w:r>
              <w:rPr/>
              <w:t> </w:t>
            </w:r>
            <w:r>
              <w:rPr>
                <w:rFonts w:ascii="Arial;Helvetica;Sans-Serif" w:hAnsi="Arial;Helvetica;Sans-Serif"/>
                <w:sz w:val="18"/>
              </w:rPr>
              <w:t>(504) </w:t>
            </w:r>
          </w:p>
        </w:tc>
        <w:tc>
          <w:tcPr>
            <w:tcW w:w="275"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jc w:val="right"/>
              <w:rPr/>
            </w:pPr>
            <w:r>
              <w:rPr/>
              <w:t> </w:t>
            </w:r>
            <w:r>
              <w:rPr>
                <w:rFonts w:ascii="Arial;Helvetica;Sans-Serif" w:hAnsi="Arial;Helvetica;Sans-Serif"/>
                <w:sz w:val="18"/>
              </w:rPr>
              <w:t>(371) </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Proceeds from divestitures of businesses and other assets, net of cash divested </w:t>
            </w:r>
          </w:p>
        </w:tc>
        <w:tc>
          <w:tcPr>
            <w:tcW w:w="179" w:type="dxa"/>
            <w:tcBorders>
              <w:bottom w:val="single" w:sz="8" w:space="0" w:color="000000"/>
            </w:tcBorders>
            <w:shd w:fill="auto" w:val="clear"/>
            <w:tcMar>
              <w:bottom w:w="28" w:type="dxa"/>
            </w:tcMar>
            <w:vAlign w:val="center"/>
          </w:tcPr>
          <w:p>
            <w:pPr>
              <w:pStyle w:val="TableContents"/>
              <w:spacing w:before="0" w:after="283"/>
              <w:rPr/>
            </w:pPr>
            <w:r>
              <w:rPr/>
              <w:t> </w:t>
            </w:r>
          </w:p>
        </w:tc>
        <w:tc>
          <w:tcPr>
            <w:tcW w:w="592" w:type="dxa"/>
            <w:tcBorders>
              <w:bottom w:val="single" w:sz="8" w:space="0" w:color="000000"/>
            </w:tcBorders>
            <w:shd w:fill="auto" w:val="clear"/>
            <w:tcMar>
              <w:bottom w:w="28" w:type="dxa"/>
            </w:tcMar>
            <w:vAlign w:val="center"/>
          </w:tcPr>
          <w:p>
            <w:pPr>
              <w:pStyle w:val="TableContents"/>
              <w:spacing w:before="0" w:after="283"/>
              <w:jc w:val="right"/>
              <w:rPr/>
            </w:pPr>
            <w:r>
              <w:rPr/>
              <w:t> </w:t>
            </w:r>
            <w:r>
              <w:rPr>
                <w:rFonts w:ascii="Arial;Helvetica;Sans-Serif" w:hAnsi="Arial;Helvetica;Sans-Serif"/>
                <w:sz w:val="18"/>
              </w:rPr>
              <w:t>11 </w:t>
            </w:r>
          </w:p>
        </w:tc>
        <w:tc>
          <w:tcPr>
            <w:tcW w:w="275" w:type="dxa"/>
            <w:tcBorders/>
            <w:shd w:fill="auto" w:val="clear"/>
            <w:vAlign w:val="center"/>
          </w:tcPr>
          <w:p>
            <w:pPr>
              <w:pStyle w:val="TableContents"/>
              <w:spacing w:before="0" w:after="283"/>
              <w:rPr/>
            </w:pPr>
            <w:r>
              <w:rPr/>
              <w:t> </w:t>
            </w:r>
          </w:p>
        </w:tc>
        <w:tc>
          <w:tcPr>
            <w:tcW w:w="179" w:type="dxa"/>
            <w:tcBorders>
              <w:bottom w:val="single" w:sz="8" w:space="0" w:color="000000"/>
            </w:tcBorders>
            <w:shd w:fill="auto" w:val="clear"/>
            <w:tcMar>
              <w:bottom w:w="28" w:type="dxa"/>
            </w:tcMar>
            <w:vAlign w:val="center"/>
          </w:tcPr>
          <w:p>
            <w:pPr>
              <w:pStyle w:val="TableContents"/>
              <w:spacing w:before="0" w:after="283"/>
              <w:rPr/>
            </w:pPr>
            <w:r>
              <w:rPr/>
              <w:t> </w:t>
            </w:r>
          </w:p>
        </w:tc>
        <w:tc>
          <w:tcPr>
            <w:tcW w:w="592" w:type="dxa"/>
            <w:tcBorders>
              <w:bottom w:val="single" w:sz="8" w:space="0" w:color="000000"/>
            </w:tcBorders>
            <w:shd w:fill="auto" w:val="clear"/>
            <w:tcMar>
              <w:bottom w:w="28" w:type="dxa"/>
            </w:tcMar>
            <w:vAlign w:val="center"/>
          </w:tcPr>
          <w:p>
            <w:pPr>
              <w:pStyle w:val="TableContents"/>
              <w:spacing w:before="0" w:after="283"/>
              <w:jc w:val="right"/>
              <w:rPr/>
            </w:pPr>
            <w:r>
              <w:rPr/>
              <w:t> </w:t>
            </w:r>
            <w:r>
              <w:rPr>
                <w:rFonts w:ascii="Arial;Helvetica;Sans-Serif" w:hAnsi="Arial;Helvetica;Sans-Serif"/>
                <w:sz w:val="18"/>
              </w:rPr>
              <w:t>5 </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b/>
                <w:sz w:val="18"/>
              </w:rPr>
              <w:t>Free cash flow without sustainability growth investments</w:t>
            </w:r>
            <w:r>
              <w:rPr>
                <w:rFonts w:ascii="Arial;Helvetica;Sans-Serif" w:hAnsi="Arial;Helvetica;Sans-Serif"/>
                <w:sz w:val="18"/>
              </w:rPr>
              <w:t> </w:t>
            </w:r>
          </w:p>
        </w:tc>
        <w:tc>
          <w:tcPr>
            <w:tcW w:w="179"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jc w:val="right"/>
              <w:rPr/>
            </w:pPr>
            <w:r>
              <w:rPr/>
              <w:t> </w:t>
            </w:r>
            <w:r>
              <w:rPr>
                <w:rFonts w:ascii="Arial;Helvetica;Sans-Serif" w:hAnsi="Arial;Helvetica;Sans-Serif"/>
                <w:b/>
                <w:sz w:val="18"/>
              </w:rPr>
              <w:t>551</w:t>
            </w:r>
            <w:r>
              <w:rPr>
                <w:rFonts w:ascii="Arial;Helvetica;Sans-Serif" w:hAnsi="Arial;Helvetica;Sans-Serif"/>
                <w:sz w:val="18"/>
              </w:rPr>
              <w:t> </w:t>
            </w:r>
          </w:p>
        </w:tc>
        <w:tc>
          <w:tcPr>
            <w:tcW w:w="275" w:type="dxa"/>
            <w:tcBorders/>
            <w:shd w:fill="auto" w:val="clear"/>
            <w:vAlign w:val="center"/>
          </w:tcPr>
          <w:p>
            <w:pPr>
              <w:pStyle w:val="TableContents"/>
              <w:spacing w:before="0" w:after="283"/>
              <w:rPr/>
            </w:pPr>
            <w:r>
              <w:rPr/>
              <w:t> </w:t>
            </w:r>
          </w:p>
        </w:tc>
        <w:tc>
          <w:tcPr>
            <w:tcW w:w="179"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jc w:val="right"/>
              <w:rPr/>
            </w:pPr>
            <w:r>
              <w:rPr/>
              <w:t> </w:t>
            </w:r>
            <w:r>
              <w:rPr>
                <w:rFonts w:ascii="Arial;Helvetica;Sans-Serif" w:hAnsi="Arial;Helvetica;Sans-Serif"/>
                <w:b/>
                <w:sz w:val="18"/>
              </w:rPr>
              <w:t>892</w:t>
            </w:r>
            <w:r>
              <w:rPr>
                <w:rFonts w:ascii="Arial;Helvetica;Sans-Serif" w:hAnsi="Arial;Helvetica;Sans-Serif"/>
                <w:sz w:val="18"/>
              </w:rPr>
              <w:t> </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sz w:val="18"/>
              </w:rPr>
              <w:t>Capital expenditures - sustainability growth investments </w:t>
            </w:r>
          </w:p>
        </w:tc>
        <w:tc>
          <w:tcPr>
            <w:tcW w:w="179" w:type="dxa"/>
            <w:tcBorders>
              <w:bottom w:val="single" w:sz="8" w:space="0" w:color="000000"/>
            </w:tcBorders>
            <w:shd w:fill="auto" w:val="clear"/>
            <w:tcMar>
              <w:bottom w:w="28" w:type="dxa"/>
            </w:tcMar>
            <w:vAlign w:val="center"/>
          </w:tcPr>
          <w:p>
            <w:pPr>
              <w:pStyle w:val="TableContents"/>
              <w:spacing w:before="0" w:after="283"/>
              <w:rPr/>
            </w:pPr>
            <w:r>
              <w:rPr/>
              <w:t> </w:t>
            </w:r>
          </w:p>
        </w:tc>
        <w:tc>
          <w:tcPr>
            <w:tcW w:w="592" w:type="dxa"/>
            <w:tcBorders>
              <w:bottom w:val="single" w:sz="8" w:space="0" w:color="000000"/>
            </w:tcBorders>
            <w:shd w:fill="auto" w:val="clear"/>
            <w:tcMar>
              <w:bottom w:w="28" w:type="dxa"/>
            </w:tcMar>
            <w:vAlign w:val="center"/>
          </w:tcPr>
          <w:p>
            <w:pPr>
              <w:pStyle w:val="TableContents"/>
              <w:spacing w:before="0" w:after="283"/>
              <w:jc w:val="right"/>
              <w:rPr/>
            </w:pPr>
            <w:r>
              <w:rPr/>
              <w:t> </w:t>
            </w:r>
            <w:r>
              <w:rPr>
                <w:rFonts w:ascii="Arial;Helvetica;Sans-Serif" w:hAnsi="Arial;Helvetica;Sans-Serif"/>
                <w:sz w:val="18"/>
              </w:rPr>
              <w:t>(156) </w:t>
            </w:r>
          </w:p>
        </w:tc>
        <w:tc>
          <w:tcPr>
            <w:tcW w:w="275" w:type="dxa"/>
            <w:tcBorders/>
            <w:shd w:fill="auto" w:val="clear"/>
            <w:vAlign w:val="center"/>
          </w:tcPr>
          <w:p>
            <w:pPr>
              <w:pStyle w:val="TableContents"/>
              <w:spacing w:before="0" w:after="283"/>
              <w:rPr/>
            </w:pPr>
            <w:r>
              <w:rPr/>
              <w:t> </w:t>
            </w:r>
          </w:p>
        </w:tc>
        <w:tc>
          <w:tcPr>
            <w:tcW w:w="179" w:type="dxa"/>
            <w:tcBorders>
              <w:bottom w:val="single" w:sz="8" w:space="0" w:color="000000"/>
            </w:tcBorders>
            <w:shd w:fill="auto" w:val="clear"/>
            <w:tcMar>
              <w:bottom w:w="28" w:type="dxa"/>
            </w:tcMar>
            <w:vAlign w:val="center"/>
          </w:tcPr>
          <w:p>
            <w:pPr>
              <w:pStyle w:val="TableContents"/>
              <w:spacing w:before="0" w:after="283"/>
              <w:rPr/>
            </w:pPr>
            <w:r>
              <w:rPr/>
              <w:t> </w:t>
            </w:r>
          </w:p>
        </w:tc>
        <w:tc>
          <w:tcPr>
            <w:tcW w:w="592" w:type="dxa"/>
            <w:tcBorders>
              <w:bottom w:val="single" w:sz="8" w:space="0" w:color="000000"/>
            </w:tcBorders>
            <w:shd w:fill="auto" w:val="clear"/>
            <w:tcMar>
              <w:bottom w:w="28" w:type="dxa"/>
            </w:tcMar>
            <w:vAlign w:val="center"/>
          </w:tcPr>
          <w:p>
            <w:pPr>
              <w:pStyle w:val="TableContents"/>
              <w:spacing w:before="0" w:after="283"/>
              <w:jc w:val="right"/>
              <w:rPr/>
            </w:pPr>
            <w:r>
              <w:rPr/>
              <w:t> </w:t>
            </w:r>
            <w:r>
              <w:rPr>
                <w:rFonts w:ascii="Arial;Helvetica;Sans-Serif" w:hAnsi="Arial;Helvetica;Sans-Serif"/>
                <w:sz w:val="18"/>
              </w:rPr>
              <w:t>(47) </w:t>
            </w:r>
          </w:p>
        </w:tc>
        <w:tc>
          <w:tcPr>
            <w:tcW w:w="75" w:type="dxa"/>
            <w:tcBorders/>
            <w:shd w:fill="auto" w:val="clear"/>
            <w:vAlign w:val="center"/>
          </w:tcPr>
          <w:p>
            <w:pPr>
              <w:pStyle w:val="TableContents"/>
              <w:spacing w:before="0" w:after="283"/>
              <w:ind w:left="0" w:right="0" w:hanging="180"/>
              <w:rPr/>
            </w:pPr>
            <w:r>
              <w:rPr/>
              <w:t> </w:t>
            </w:r>
          </w:p>
        </w:tc>
      </w:tr>
      <w:tr>
        <w:trPr/>
        <w:tc>
          <w:tcPr>
            <w:tcW w:w="6515" w:type="dxa"/>
            <w:tcBorders/>
            <w:shd w:fill="auto" w:val="clear"/>
            <w:vAlign w:val="center"/>
          </w:tcPr>
          <w:p>
            <w:pPr>
              <w:pStyle w:val="TableContents"/>
              <w:spacing w:before="0" w:after="283"/>
              <w:rPr>
                <w:rFonts w:ascii="Arial;Helvetica;Sans-Serif" w:hAnsi="Arial;Helvetica;Sans-Serif"/>
                <w:sz w:val="18"/>
              </w:rPr>
            </w:pPr>
            <w:r>
              <w:rPr>
                <w:rFonts w:ascii="Arial;Helvetica;Sans-Serif" w:hAnsi="Arial;Helvetica;Sans-Serif"/>
                <w:b/>
                <w:sz w:val="18"/>
              </w:rPr>
              <w:t>Free cash flow</w:t>
            </w:r>
            <w:r>
              <w:rPr>
                <w:rFonts w:ascii="Arial;Helvetica;Sans-Serif" w:hAnsi="Arial;Helvetica;Sans-Serif"/>
                <w:sz w:val="18"/>
              </w:rPr>
              <w:t> </w:t>
            </w:r>
          </w:p>
        </w:tc>
        <w:tc>
          <w:tcPr>
            <w:tcW w:w="179" w:type="dxa"/>
            <w:tcBorders>
              <w:bottom w:val="double" w:sz="6" w:space="0" w:color="000000"/>
            </w:tcBorders>
            <w:shd w:fill="auto" w:val="clear"/>
            <w:tcMar>
              <w:bottom w:w="28" w:type="dxa"/>
            </w:tcMar>
            <w:vAlign w:val="center"/>
          </w:tcPr>
          <w:p>
            <w:pPr>
              <w:pStyle w:val="TableContents"/>
              <w:spacing w:before="0" w:after="283"/>
              <w:rPr>
                <w:rFonts w:ascii="Arial;Helvetica;Sans-Serif" w:hAnsi="Arial;Helvetica;Sans-Serif"/>
                <w:sz w:val="18"/>
              </w:rPr>
            </w:pPr>
            <w:r>
              <w:rPr>
                <w:rFonts w:ascii="Arial;Helvetica;Sans-Serif" w:hAnsi="Arial;Helvetica;Sans-Serif"/>
                <w:sz w:val="18"/>
              </w:rPr>
              <w:t>$ </w:t>
            </w:r>
          </w:p>
        </w:tc>
        <w:tc>
          <w:tcPr>
            <w:tcW w:w="592" w:type="dxa"/>
            <w:tcBorders>
              <w:bottom w:val="double" w:sz="6" w:space="0" w:color="000000"/>
            </w:tcBorders>
            <w:shd w:fill="auto" w:val="clear"/>
            <w:tcMar>
              <w:bottom w:w="28" w:type="dxa"/>
            </w:tcMar>
            <w:vAlign w:val="center"/>
          </w:tcPr>
          <w:p>
            <w:pPr>
              <w:pStyle w:val="TableContents"/>
              <w:spacing w:before="0" w:after="283"/>
              <w:jc w:val="right"/>
              <w:rPr/>
            </w:pPr>
            <w:r>
              <w:rPr/>
              <w:t> </w:t>
            </w:r>
            <w:r>
              <w:rPr>
                <w:rFonts w:ascii="Arial;Helvetica;Sans-Serif" w:hAnsi="Arial;Helvetica;Sans-Serif"/>
                <w:b/>
                <w:sz w:val="18"/>
              </w:rPr>
              <w:t>395</w:t>
            </w:r>
            <w:r>
              <w:rPr>
                <w:rFonts w:ascii="Arial;Helvetica;Sans-Serif" w:hAnsi="Arial;Helvetica;Sans-Serif"/>
                <w:sz w:val="18"/>
              </w:rPr>
              <w:t> </w:t>
            </w:r>
          </w:p>
        </w:tc>
        <w:tc>
          <w:tcPr>
            <w:tcW w:w="275" w:type="dxa"/>
            <w:tcBorders/>
            <w:shd w:fill="auto" w:val="clear"/>
            <w:vAlign w:val="center"/>
          </w:tcPr>
          <w:p>
            <w:pPr>
              <w:pStyle w:val="TableContents"/>
              <w:spacing w:before="0" w:after="283"/>
              <w:rPr/>
            </w:pPr>
            <w:r>
              <w:rPr/>
              <w:t> </w:t>
            </w:r>
          </w:p>
        </w:tc>
        <w:tc>
          <w:tcPr>
            <w:tcW w:w="179" w:type="dxa"/>
            <w:tcBorders>
              <w:bottom w:val="double" w:sz="6" w:space="0" w:color="000000"/>
            </w:tcBorders>
            <w:shd w:fill="auto" w:val="clear"/>
            <w:tcMar>
              <w:bottom w:w="28" w:type="dxa"/>
            </w:tcMar>
            <w:vAlign w:val="center"/>
          </w:tcPr>
          <w:p>
            <w:pPr>
              <w:pStyle w:val="TableContents"/>
              <w:spacing w:before="0" w:after="283"/>
              <w:rPr>
                <w:rFonts w:ascii="Arial;Helvetica;Sans-Serif" w:hAnsi="Arial;Helvetica;Sans-Serif"/>
                <w:sz w:val="18"/>
              </w:rPr>
            </w:pPr>
            <w:r>
              <w:rPr>
                <w:rFonts w:ascii="Arial;Helvetica;Sans-Serif" w:hAnsi="Arial;Helvetica;Sans-Serif"/>
                <w:sz w:val="18"/>
              </w:rPr>
              <w:t>$ </w:t>
            </w:r>
          </w:p>
        </w:tc>
        <w:tc>
          <w:tcPr>
            <w:tcW w:w="592" w:type="dxa"/>
            <w:tcBorders>
              <w:bottom w:val="double" w:sz="6" w:space="0" w:color="000000"/>
            </w:tcBorders>
            <w:shd w:fill="auto" w:val="clear"/>
            <w:tcMar>
              <w:bottom w:w="28" w:type="dxa"/>
            </w:tcMar>
            <w:vAlign w:val="center"/>
          </w:tcPr>
          <w:p>
            <w:pPr>
              <w:pStyle w:val="TableContents"/>
              <w:spacing w:before="0" w:after="283"/>
              <w:jc w:val="right"/>
              <w:rPr/>
            </w:pPr>
            <w:r>
              <w:rPr/>
              <w:t> </w:t>
            </w:r>
            <w:r>
              <w:rPr>
                <w:rFonts w:ascii="Arial;Helvetica;Sans-Serif" w:hAnsi="Arial;Helvetica;Sans-Serif"/>
                <w:b/>
                <w:sz w:val="18"/>
              </w:rPr>
              <w:t>845</w:t>
            </w:r>
            <w:r>
              <w:rPr>
                <w:rFonts w:ascii="Arial;Helvetica;Sans-Serif" w:hAnsi="Arial;Helvetica;Sans-Serif"/>
                <w:sz w:val="18"/>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72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Free cash flow declined in the first quarter primarily due to higher capital expenditures related to sustainability growth investments and the timing of collection vehicle deliveries, increased cash interest, and higher incentive compensation payments.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283"/>
              <w:jc w:val="both"/>
              <w:rPr/>
            </w:pPr>
            <w:r>
              <w:rPr/>
              <w:t>During the first quarter of 2023, $639 million was returned to shareholders, including $350 million of share repurchases and $289 million of cash dividends.</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Fish concluded, “In addition to our solid financial performance, we’re also proud to be named by Forbes as one of the Best Employers for Diversity in 2023. Inclusion and Diversity are core values at WM, and we are pleased to be recognized as a company dedicated to building a culture that welcomes and supports diverse employees at all levels.”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bl>
      <w:tblPr>
        <w:tblW w:w="5000" w:type="pct"/>
        <w:jc w:val="left"/>
        <w:tblInd w:w="0" w:type="dxa"/>
        <w:tblCellMar>
          <w:top w:w="0" w:type="dxa"/>
          <w:left w:w="0" w:type="dxa"/>
          <w:bottom w:w="0" w:type="dxa"/>
          <w:right w:w="0" w:type="dxa"/>
        </w:tblCellMar>
      </w:tblPr>
      <w:tblGrid>
        <w:gridCol w:w="37"/>
        <w:gridCol w:w="189"/>
        <w:gridCol w:w="9979"/>
      </w:tblGrid>
      <w:tr>
        <w:trPr/>
        <w:tc>
          <w:tcPr>
            <w:tcW w:w="3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16"/>
              </w:rPr>
            </w:pPr>
            <w:r>
              <w:rPr>
                <w:sz w:val="16"/>
              </w:rPr>
              <w:t>(a)</w:t>
            </w:r>
          </w:p>
        </w:tc>
        <w:tc>
          <w:tcPr>
            <w:tcW w:w="9979" w:type="dxa"/>
            <w:tcBorders/>
            <w:shd w:fill="auto" w:val="clear"/>
            <w:vAlign w:val="center"/>
          </w:tcPr>
          <w:p>
            <w:pPr>
              <w:pStyle w:val="TableContents"/>
              <w:spacing w:before="0" w:after="283"/>
              <w:jc w:val="both"/>
              <w:rPr>
                <w:sz w:val="16"/>
              </w:rPr>
            </w:pPr>
            <w:r>
              <w:rPr>
                <w:sz w:val="16"/>
              </w:rPr>
              <w:t xml:space="preserve">The information labeled as adjusted in this press release, as well as free cash flow, are non-GAAP measures. Please see "Non-GAAP Financial Measures" below and the reconciliations in the accompanying schedules for more information. </w:t>
            </w:r>
          </w:p>
        </w:tc>
      </w:tr>
    </w:tbl>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72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7"/>
        <w:gridCol w:w="9961"/>
      </w:tblGrid>
      <w:tr>
        <w:trPr/>
        <w:tc>
          <w:tcPr>
            <w:tcW w:w="3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16"/>
              </w:rPr>
            </w:pPr>
            <w:r>
              <w:rPr>
                <w:sz w:val="16"/>
              </w:rPr>
              <w:t>(b)</w:t>
            </w:r>
          </w:p>
        </w:tc>
        <w:tc>
          <w:tcPr>
            <w:tcW w:w="9961" w:type="dxa"/>
            <w:tcBorders/>
            <w:shd w:fill="auto" w:val="clear"/>
            <w:vAlign w:val="center"/>
          </w:tcPr>
          <w:p>
            <w:pPr>
              <w:pStyle w:val="TableContents"/>
              <w:spacing w:before="0" w:after="283"/>
              <w:jc w:val="both"/>
              <w:rPr>
                <w:sz w:val="16"/>
              </w:rPr>
            </w:pPr>
            <w:r>
              <w:rPr>
                <w:sz w:val="16"/>
              </w:rPr>
              <w:t>Management defines operating EBITDA as GAAP income from operations before depreciation, depletion and amortization; this measure may not be comparable to similarly-titled measures reported by other companies.</w:t>
            </w:r>
          </w:p>
        </w:tc>
      </w:tr>
    </w:tbl>
    <w:p>
      <w:pPr>
        <w:pStyle w:val="TextBody"/>
        <w:spacing w:before="0" w:after="0"/>
        <w:ind w:left="72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8"/>
        <w:gridCol w:w="9960"/>
      </w:tblGrid>
      <w:tr>
        <w:trPr/>
        <w:tc>
          <w:tcPr>
            <w:tcW w:w="3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16"/>
              </w:rPr>
            </w:pPr>
            <w:r>
              <w:rPr>
                <w:sz w:val="16"/>
              </w:rPr>
              <w:t>(c)</w:t>
            </w:r>
          </w:p>
        </w:tc>
        <w:tc>
          <w:tcPr>
            <w:tcW w:w="9960" w:type="dxa"/>
            <w:tcBorders/>
            <w:shd w:fill="auto" w:val="clear"/>
            <w:vAlign w:val="center"/>
          </w:tcPr>
          <w:p>
            <w:pPr>
              <w:pStyle w:val="TableContents"/>
              <w:spacing w:before="0" w:after="283"/>
              <w:jc w:val="both"/>
              <w:rPr>
                <w:sz w:val="16"/>
              </w:rPr>
            </w:pPr>
            <w:r>
              <w:rPr>
                <w:sz w:val="16"/>
              </w:rPr>
              <w:t>For purposes of this press release, all references to "Net income" refer to the financial statement line item "Net income attributable to Waste Management, Inc."</w:t>
            </w:r>
          </w:p>
        </w:tc>
      </w:tr>
    </w:tbl>
    <w:p>
      <w:pPr>
        <w:pStyle w:val="TextBody"/>
        <w:spacing w:before="0" w:after="0"/>
        <w:ind w:left="0" w:right="0" w:hanging="0"/>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4"/>
        <w:gridCol w:w="9984"/>
      </w:tblGrid>
      <w:tr>
        <w:trPr/>
        <w:tc>
          <w:tcPr>
            <w:tcW w:w="3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16"/>
              </w:rPr>
            </w:pPr>
            <w:r>
              <w:rPr>
                <w:sz w:val="16"/>
              </w:rPr>
              <w:t>(d)</w:t>
            </w:r>
          </w:p>
        </w:tc>
        <w:tc>
          <w:tcPr>
            <w:tcW w:w="9984" w:type="dxa"/>
            <w:tcBorders/>
            <w:shd w:fill="auto" w:val="clear"/>
            <w:vAlign w:val="center"/>
          </w:tcPr>
          <w:p>
            <w:pPr>
              <w:pStyle w:val="TableContents"/>
              <w:spacing w:before="0" w:after="283"/>
              <w:jc w:val="both"/>
              <w:rPr>
                <w:sz w:val="16"/>
              </w:rPr>
            </w:pPr>
            <w:r>
              <w:rPr>
                <w:sz w:val="16"/>
              </w:rPr>
              <w:t xml:space="preserve">Core price is a performance metric measuring cumulative price changes net of churn plus price changes from ancillary fees excluding fuel surcharges. It is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 </w:t>
            </w:r>
          </w:p>
        </w:tc>
      </w:tr>
    </w:tbl>
    <w:p>
      <w:pPr>
        <w:pStyle w:val="TextBody"/>
        <w:spacing w:before="0" w:after="0"/>
        <w:ind w:left="72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16"/>
              </w:rPr>
            </w:pPr>
            <w:r>
              <w:rPr>
                <w:sz w:val="16"/>
              </w:rPr>
              <w:t>(e)</w:t>
            </w:r>
          </w:p>
        </w:tc>
        <w:tc>
          <w:tcPr>
            <w:tcW w:w="9983" w:type="dxa"/>
            <w:tcBorders/>
            <w:shd w:fill="auto" w:val="clear"/>
            <w:vAlign w:val="center"/>
          </w:tcPr>
          <w:p>
            <w:pPr>
              <w:pStyle w:val="TableContents"/>
              <w:spacing w:before="0" w:after="283"/>
              <w:jc w:val="both"/>
              <w:rPr>
                <w:sz w:val="16"/>
              </w:rPr>
            </w:pPr>
            <w:r>
              <w:rPr>
                <w:sz w:val="16"/>
              </w:rPr>
              <w:t>In the first quarter of 2023, the Company updated its collection and disposal operating EBITDA calculation with a more accurate allocation of costs to this line of business. The Company has restated the prior periods to be consistent with the current year presentation.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will host a conference call at 10 a.m. ET on April 27, 2023 to discuss the first quarter results. Information contained within this press release will be referenced and should be considered in conjunction with the call.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Listeners can access a live audio webcast of the conference call by visiting investors.wm.com and selecting “Events &amp; Presentations” from the website menu. A replay of the audio webcast will be available at the same location following the conclusion of the call.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Conference call participants must register to obtain their dial in and passcode details. This streamlined process improves security and eliminates wait times when joining the call.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Arial;Helvetica;Sans-Serif" w:hAnsi="Arial;Helvetica;Sans-Serif"/>
          <w:b/>
          <w:i w:val="false"/>
          <w:caps/>
          <w:sz w:val="18"/>
        </w:rPr>
      </w:pPr>
      <w:r>
        <w:rPr>
          <w:rFonts w:ascii="Arial;Helvetica;Sans-Serif" w:hAnsi="Arial;Helvetica;Sans-Serif"/>
          <w:b/>
          <w:i w:val="false"/>
          <w:caps/>
          <w:sz w:val="18"/>
        </w:rPr>
        <w:t>about waste management</w:t>
      </w:r>
    </w:p>
    <w:p>
      <w:pPr>
        <w:pStyle w:val="TextBody"/>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WM (WM.com)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nearly 11,000 natural gas trucks – the largest heavy-duty natural gas truck fleet of its kind in North America. To learn more about WM and the company's sustainability progress and solutions, visit Sustainability.WM.com.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Arial;Helvetica;Sans-Serif" w:hAnsi="Arial;Helvetica;Sans-Serif"/>
          <w:b/>
          <w:i w:val="false"/>
          <w:caps/>
          <w:sz w:val="18"/>
        </w:rPr>
      </w:pPr>
      <w:r>
        <w:rPr>
          <w:rFonts w:ascii="Arial;Helvetica;Sans-Serif" w:hAnsi="Arial;Helvetica;Sans-Serif"/>
          <w:b/>
          <w:i w:val="false"/>
          <w:caps/>
          <w:sz w:val="18"/>
        </w:rPr>
        <w:t>Forward-Looking Statements</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all statements regarding future performance or financial results of our business; achievement of financial guidance; and future execution of strategic priorities, including business optimization, investments and sustainability projects and growth.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environmental and other regulations, including developments related to emerging contaminants, gas emissions, renewable energy and environmental, social, and governance (“ESG”), performance and disclosure;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failure to attract, hire and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retain key team members and a high quality workforce; increases in labor costs due to union organizing activities or changes in wage and labor related regulations; disruption and costs resulting from extreme weather and destructive climate events; failure to achieve our sustainability goals or execute on our sustainability-related strategy and initiatives; public health risk, increased costs and disruption due to a future resurgence of pandemic conditions and restrictions; macroeconomic conditions, geopolitical conflict and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weakness in general economic conditions and capital markets, including potential for an economic recession; instability of financial institutions; adoption of new tax legislation; fuel shortages; failure to develop and protect new technology; failure of technology to perform as expected; failure to prevent, detect and address cybersecurity incidents or comply with privacy regulations; negative outcomes of litigation or governmental proceedings; and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pStyle w:val="TextBody"/>
        <w:spacing w:before="0" w:after="0"/>
        <w:ind w:left="0" w:right="0" w:hanging="0"/>
        <w:rPr>
          <w:caps/>
        </w:rPr>
      </w:pPr>
      <w:r>
        <w:rPr>
          <w:caps/>
        </w:rPr>
        <w:t> </w:t>
      </w:r>
    </w:p>
    <w:p>
      <w:pPr>
        <w:pStyle w:val="TextBody"/>
        <w:spacing w:before="0" w:after="0"/>
        <w:ind w:left="0" w:right="0" w:hanging="0"/>
        <w:rPr>
          <w:rFonts w:ascii="Arial;Helvetica;Sans-Serif" w:hAnsi="Arial;Helvetica;Sans-Serif"/>
          <w:b/>
          <w:i w:val="false"/>
          <w:caps/>
          <w:sz w:val="18"/>
        </w:rPr>
      </w:pPr>
      <w:r>
        <w:rPr>
          <w:rFonts w:ascii="Arial;Helvetica;Sans-Serif" w:hAnsi="Arial;Helvetica;Sans-Serif"/>
          <w:b/>
          <w:i w:val="false"/>
          <w:caps/>
          <w:sz w:val="18"/>
        </w:rPr>
        <w:t>Non-GAAP Financial Measures</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 supplement its financial information, the Company has presented, and/or may discuss on the conference call, adjusted earnings per diluted share, adjusted net income, adjusted income from operations, adjusted operating EBITDA, adjusted operating EBITDA margin, adjusted operating expenses, adjusted SG&amp;A expenses, and free cash flow, as well as projections of adjusted operating EBITDA and free cash flow for 2023. All of these items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 addition, the Company’s projected future operating EBITDA is anticipated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pStyle w:val="TextBody"/>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pStyle w:val="TextBody"/>
        <w:shd w:fill="FFFFFF" w:val="clear"/>
        <w:spacing w:before="0" w:after="0"/>
        <w:ind w:left="720" w:right="0" w:hanging="0"/>
        <w:jc w:val="both"/>
        <w:rPr>
          <w:caps w:val="false"/>
          <w:smallCaps w:val="false"/>
        </w:rPr>
      </w:pPr>
      <w:r>
        <w:rPr>
          <w:caps w:val="false"/>
          <w:smallCaps w:val="false"/>
        </w:rPr>
        <w:t> </w:t>
      </w:r>
    </w:p>
    <w:p>
      <w:pPr>
        <w:pStyle w:val="TextBody"/>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quantitative reconciliations of non-GAAP measures to the most comparable GAAP measures are included in the accompanying schedules, with the exception of projected adjusted operating EBITDA. Non-GAAP measures should not be considered a substitute for financial measures presented in accordance with GAAP.</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7647" w:type="dxa"/>
        <w:jc w:val="left"/>
        <w:tblInd w:w="0" w:type="dxa"/>
        <w:tblCellMar>
          <w:top w:w="0" w:type="dxa"/>
          <w:left w:w="0" w:type="dxa"/>
          <w:bottom w:w="0" w:type="dxa"/>
          <w:right w:w="0" w:type="dxa"/>
        </w:tblCellMar>
      </w:tblPr>
      <w:tblGrid>
        <w:gridCol w:w="5705"/>
        <w:gridCol w:w="60"/>
        <w:gridCol w:w="164"/>
        <w:gridCol w:w="638"/>
        <w:gridCol w:w="105"/>
        <w:gridCol w:w="78"/>
        <w:gridCol w:w="164"/>
        <w:gridCol w:w="638"/>
        <w:gridCol w:w="95"/>
      </w:tblGrid>
      <w:tr>
        <w:trPr/>
        <w:tc>
          <w:tcPr>
            <w:tcW w:w="5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7"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05" w:type="dxa"/>
            <w:tcBorders/>
            <w:shd w:fill="auto" w:val="clear"/>
            <w:vAlign w:val="center"/>
          </w:tcPr>
          <w:p>
            <w:pPr>
              <w:pStyle w:val="TableContents"/>
              <w:spacing w:before="0" w:after="283"/>
              <w:rPr>
                <w:caps w:val="false"/>
                <w:smallCaps w:val="false"/>
              </w:rPr>
            </w:pPr>
            <w:r>
              <w:rPr>
                <w:caps w:val="false"/>
                <w:smallCaps w:val="false"/>
              </w:rPr>
              <w:t> </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c>
          <w:tcPr>
            <w:tcW w:w="80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revenues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jc w:val="left"/>
              <w:rPr/>
            </w:pPr>
            <w:r>
              <w:rPr/>
              <w:t> </w:t>
            </w:r>
          </w:p>
        </w:tc>
        <w:tc>
          <w:tcPr>
            <w:tcW w:w="638"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c>
          <w:tcPr>
            <w:tcW w:w="78"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jc w:val="left"/>
              <w:rPr/>
            </w:pPr>
            <w:r>
              <w:rPr/>
              <w:t> </w:t>
            </w:r>
          </w:p>
        </w:tc>
        <w:tc>
          <w:tcPr>
            <w:tcW w:w="6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w:t>
            </w:r>
          </w:p>
        </w:tc>
        <w:tc>
          <w:tcPr>
            <w:tcW w:w="1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and amortization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divestitures, asset impairments and unusual items,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4,067</w:t>
            </w:r>
          </w:p>
        </w:tc>
        <w:tc>
          <w:tcPr>
            <w:tcW w:w="1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from operations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825</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jc w:val="left"/>
              <w:rPr/>
            </w:pPr>
            <w:r>
              <w:rPr/>
              <w:t> </w:t>
            </w:r>
          </w:p>
        </w:tc>
        <w:tc>
          <w:tcPr>
            <w:tcW w:w="638" w:type="dxa"/>
            <w:tcBorders/>
            <w:shd w:fill="FFFFFF" w:val="clear"/>
            <w:vAlign w:val="center"/>
          </w:tcPr>
          <w:p>
            <w:pPr>
              <w:pStyle w:val="TableContents"/>
              <w:spacing w:before="0" w:after="283"/>
              <w:jc w:val="right"/>
              <w:rPr/>
            </w:pPr>
            <w:r>
              <w:rPr/>
              <w:t> </w:t>
            </w:r>
          </w:p>
        </w:tc>
        <w:tc>
          <w:tcPr>
            <w:tcW w:w="105" w:type="dxa"/>
            <w:tcBorders/>
            <w:shd w:fill="FFFFFF" w:val="clear"/>
            <w:vAlign w:val="center"/>
          </w:tcPr>
          <w:p>
            <w:pPr>
              <w:pStyle w:val="TableContents"/>
              <w:spacing w:before="0" w:after="283"/>
              <w:jc w:val="left"/>
              <w:rPr/>
            </w:pPr>
            <w:r>
              <w:rPr/>
              <w:t> </w:t>
            </w:r>
          </w:p>
        </w:tc>
        <w:tc>
          <w:tcPr>
            <w:tcW w:w="78"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jc w:val="left"/>
              <w:rPr/>
            </w:pPr>
            <w:r>
              <w:rPr/>
              <w:t> </w:t>
            </w:r>
          </w:p>
        </w:tc>
        <w:tc>
          <w:tcPr>
            <w:tcW w:w="63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net losses of unconsolidated entities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1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696</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1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3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(loss) attributable to noncontrolling interests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Waste Management, Inc.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common share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1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common share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3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basic common shares outstanding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407.4</w:t>
            </w:r>
          </w:p>
        </w:tc>
        <w:tc>
          <w:tcPr>
            <w:tcW w:w="10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diluted common shares outstanding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409.0</w:t>
            </w:r>
          </w:p>
        </w:tc>
        <w:tc>
          <w:tcPr>
            <w:tcW w:w="10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3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7168" w:type="dxa"/>
        <w:jc w:val="left"/>
        <w:tblInd w:w="0" w:type="dxa"/>
        <w:tblCellMar>
          <w:top w:w="0" w:type="dxa"/>
          <w:left w:w="0" w:type="dxa"/>
          <w:bottom w:w="0" w:type="dxa"/>
          <w:right w:w="0" w:type="dxa"/>
        </w:tblCellMar>
      </w:tblPr>
      <w:tblGrid>
        <w:gridCol w:w="4850"/>
        <w:gridCol w:w="60"/>
        <w:gridCol w:w="154"/>
        <w:gridCol w:w="735"/>
        <w:gridCol w:w="60"/>
        <w:gridCol w:w="60"/>
        <w:gridCol w:w="204"/>
        <w:gridCol w:w="970"/>
        <w:gridCol w:w="75"/>
      </w:tblGrid>
      <w:tr>
        <w:trPr/>
        <w:tc>
          <w:tcPr>
            <w:tcW w:w="48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8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7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8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2,752</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15,719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9,344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9,323</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spacing w:before="0" w:after="283"/>
              <w:rPr/>
            </w:pPr>
            <w:r>
              <w:rPr/>
              <w:t> </w:t>
            </w:r>
          </w:p>
        </w:tc>
        <w:tc>
          <w:tcPr>
            <w:tcW w:w="154" w:type="dxa"/>
            <w:tcBorders/>
            <w:shd w:fill="CCEEFF" w:val="clear"/>
            <w:vAlign w:val="center"/>
          </w:tcPr>
          <w:p>
            <w:pPr>
              <w:pStyle w:val="TableContents"/>
              <w:spacing w:before="0" w:after="283"/>
              <w:jc w:val="left"/>
              <w:rPr/>
            </w:pPr>
            <w:r>
              <w:rPr/>
              <w:t> </w:t>
            </w:r>
          </w:p>
        </w:tc>
        <w:tc>
          <w:tcPr>
            <w:tcW w:w="73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jc w:val="left"/>
              <w:rPr/>
            </w:pPr>
            <w:r>
              <w:rPr/>
              <w:t> </w:t>
            </w:r>
          </w:p>
        </w:tc>
        <w:tc>
          <w:tcPr>
            <w:tcW w:w="97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8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accrued liabilities and deferred revenues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3,856</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4,394</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less current portion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14,570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24,503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60" w:type="dxa"/>
            <w:tcBorders/>
            <w:shd w:fill="FFFFFF" w:val="clear"/>
            <w:vAlign w:val="center"/>
          </w:tcPr>
          <w:p>
            <w:pPr>
              <w:pStyle w:val="TableContents"/>
              <w:spacing w:before="0" w:after="283"/>
              <w:rPr/>
            </w:pPr>
            <w:r>
              <w:rPr/>
              <w:t> </w:t>
            </w:r>
          </w:p>
        </w:tc>
        <w:tc>
          <w:tcPr>
            <w:tcW w:w="154" w:type="dxa"/>
            <w:tcBorders/>
            <w:shd w:fill="FFFFFF" w:val="clear"/>
            <w:vAlign w:val="center"/>
          </w:tcPr>
          <w:p>
            <w:pPr>
              <w:pStyle w:val="TableContents"/>
              <w:spacing w:before="0" w:after="283"/>
              <w:jc w:val="left"/>
              <w:rPr/>
            </w:pPr>
            <w:r>
              <w:rPr/>
              <w:t> </w:t>
            </w:r>
          </w:p>
        </w:tc>
        <w:tc>
          <w:tcPr>
            <w:tcW w:w="73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jc w:val="left"/>
              <w:rPr/>
            </w:pPr>
            <w:r>
              <w:rPr/>
              <w:t> </w:t>
            </w:r>
          </w:p>
        </w:tc>
        <w:tc>
          <w:tcPr>
            <w:tcW w:w="97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Waste Management, Inc. stockholders’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3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5"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0"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35"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4"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9928" w:type="dxa"/>
        <w:jc w:val="left"/>
        <w:tblInd w:w="0" w:type="dxa"/>
        <w:tblCellMar>
          <w:top w:w="0" w:type="dxa"/>
          <w:left w:w="0" w:type="dxa"/>
          <w:bottom w:w="0" w:type="dxa"/>
          <w:right w:w="0" w:type="dxa"/>
        </w:tblCellMar>
      </w:tblPr>
      <w:tblGrid>
        <w:gridCol w:w="7985"/>
        <w:gridCol w:w="60"/>
        <w:gridCol w:w="151"/>
        <w:gridCol w:w="659"/>
        <w:gridCol w:w="96"/>
        <w:gridCol w:w="72"/>
        <w:gridCol w:w="151"/>
        <w:gridCol w:w="659"/>
        <w:gridCol w:w="95"/>
      </w:tblGrid>
      <w:tr>
        <w:trPr/>
        <w:tc>
          <w:tcPr>
            <w:tcW w:w="7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8"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c>
          <w:tcPr>
            <w:tcW w:w="72" w:type="dxa"/>
            <w:tcBorders/>
            <w:shd w:fill="auto" w:val="clear"/>
            <w:vAlign w:val="center"/>
          </w:tcPr>
          <w:p>
            <w:pPr>
              <w:pStyle w:val="TableContents"/>
              <w:spacing w:before="0" w:after="283"/>
              <w:rPr>
                <w:caps w:val="false"/>
                <w:smallCaps w:val="false"/>
              </w:rPr>
            </w:pPr>
            <w:r>
              <w:rPr>
                <w:caps w:val="false"/>
                <w:smallCaps w:val="false"/>
              </w:rPr>
              <w:t> </w:t>
            </w:r>
          </w:p>
        </w:tc>
        <w:tc>
          <w:tcPr>
            <w:tcW w:w="81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operating activities: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659" w:type="dxa"/>
            <w:tcBorders/>
            <w:shd w:fill="CCEEFF" w:val="clear"/>
            <w:vAlign w:val="center"/>
          </w:tcPr>
          <w:p>
            <w:pPr>
              <w:pStyle w:val="TableContents"/>
              <w:spacing w:before="0" w:after="283"/>
              <w:jc w:val="right"/>
              <w:rPr/>
            </w:pPr>
            <w:r>
              <w:rPr/>
              <w:t> </w:t>
            </w:r>
          </w:p>
        </w:tc>
        <w:tc>
          <w:tcPr>
            <w:tcW w:w="96"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65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net income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consolidated net income to net cash provided by operating activities:</w:t>
            </w:r>
          </w:p>
        </w:tc>
        <w:tc>
          <w:tcPr>
            <w:tcW w:w="60"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659" w:type="dxa"/>
            <w:tcBorders/>
            <w:shd w:fill="CCEEFF" w:val="clear"/>
            <w:vAlign w:val="center"/>
          </w:tcPr>
          <w:p>
            <w:pPr>
              <w:pStyle w:val="TableContents"/>
              <w:spacing w:before="0" w:after="283"/>
              <w:jc w:val="right"/>
              <w:rPr/>
            </w:pPr>
            <w:r>
              <w:rPr/>
              <w:t> </w:t>
            </w:r>
          </w:p>
        </w:tc>
        <w:tc>
          <w:tcPr>
            <w:tcW w:w="96" w:type="dxa"/>
            <w:tcBorders/>
            <w:shd w:fill="CCEEFF" w:val="clear"/>
            <w:vAlign w:val="center"/>
          </w:tcPr>
          <w:p>
            <w:pPr>
              <w:pStyle w:val="TableContents"/>
              <w:spacing w:before="0" w:after="283"/>
              <w:jc w:val="left"/>
              <w:rPr/>
            </w:pPr>
            <w:r>
              <w:rPr/>
              <w:t> </w:t>
            </w:r>
          </w:p>
        </w:tc>
        <w:tc>
          <w:tcPr>
            <w:tcW w:w="72" w:type="dxa"/>
            <w:tcBorders/>
            <w:shd w:fill="CCEEFF" w:val="clear"/>
            <w:vAlign w:val="center"/>
          </w:tcPr>
          <w:p>
            <w:pPr>
              <w:pStyle w:val="TableContents"/>
              <w:spacing w:before="0" w:after="283"/>
              <w:rPr/>
            </w:pPr>
            <w:r>
              <w:rPr/>
              <w:t> </w:t>
            </w:r>
          </w:p>
        </w:tc>
        <w:tc>
          <w:tcPr>
            <w:tcW w:w="151" w:type="dxa"/>
            <w:tcBorders/>
            <w:shd w:fill="CCEEFF" w:val="clear"/>
            <w:vAlign w:val="center"/>
          </w:tcPr>
          <w:p>
            <w:pPr>
              <w:pStyle w:val="TableContents"/>
              <w:spacing w:before="0" w:after="283"/>
              <w:jc w:val="left"/>
              <w:rPr/>
            </w:pPr>
            <w:r>
              <w:rPr/>
              <w:t> </w:t>
            </w:r>
          </w:p>
        </w:tc>
        <w:tc>
          <w:tcPr>
            <w:tcW w:w="659"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and 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operating assets and liabilities, net of effects of acquisitions and divestitures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investing activities: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 </w:t>
            </w:r>
          </w:p>
        </w:tc>
        <w:tc>
          <w:tcPr>
            <w:tcW w:w="96"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of businesses, net of cash acquired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(660</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9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from financing activities:</w:t>
            </w:r>
          </w:p>
        </w:tc>
        <w:tc>
          <w:tcPr>
            <w:tcW w:w="60"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 </w:t>
            </w:r>
          </w:p>
        </w:tc>
        <w:tc>
          <w:tcPr>
            <w:tcW w:w="96" w:type="dxa"/>
            <w:tcBorders/>
            <w:shd w:fill="FFFFFF" w:val="clear"/>
            <w:vAlign w:val="center"/>
          </w:tcPr>
          <w:p>
            <w:pPr>
              <w:pStyle w:val="TableContents"/>
              <w:spacing w:before="0" w:after="283"/>
              <w:jc w:val="left"/>
              <w:rPr/>
            </w:pPr>
            <w:r>
              <w:rPr/>
              <w:t> </w:t>
            </w:r>
          </w:p>
        </w:tc>
        <w:tc>
          <w:tcPr>
            <w:tcW w:w="72" w:type="dxa"/>
            <w:tcBorders/>
            <w:shd w:fill="FFFFFF" w:val="clear"/>
            <w:vAlign w:val="center"/>
          </w:tcPr>
          <w:p>
            <w:pPr>
              <w:pStyle w:val="TableContents"/>
              <w:spacing w:before="0" w:after="283"/>
              <w:rPr/>
            </w:pPr>
            <w:r>
              <w:rPr/>
              <w:t> </w:t>
            </w:r>
          </w:p>
        </w:tc>
        <w:tc>
          <w:tcPr>
            <w:tcW w:w="151" w:type="dxa"/>
            <w:tcBorders/>
            <w:shd w:fill="FFFFFF" w:val="clear"/>
            <w:vAlign w:val="center"/>
          </w:tcPr>
          <w:p>
            <w:pPr>
              <w:pStyle w:val="TableContents"/>
              <w:spacing w:before="0" w:after="283"/>
              <w:jc w:val="left"/>
              <w:rPr/>
            </w:pPr>
            <w:r>
              <w:rPr/>
              <w:t> </w:t>
            </w:r>
          </w:p>
        </w:tc>
        <w:tc>
          <w:tcPr>
            <w:tcW w:w="659"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borrowings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6,885</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repayments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(6,548</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repurchase program</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9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dividends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common stock options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payments associated with equity-based compensation transactions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w:t>
            </w:r>
          </w:p>
        </w:tc>
        <w:tc>
          <w:tcPr>
            <w:tcW w:w="95" w:type="dxa"/>
            <w:tcBorders/>
            <w:shd w:fill="FFFFFF" w:val="clear"/>
            <w:vAlign w:val="center"/>
          </w:tcPr>
          <w:p>
            <w:pPr>
              <w:pStyle w:val="TableContents"/>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cash, cash equivalents and restricted cash and cash equivalents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6"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and cash equivalents at beginning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9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and cash equivalents at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by Line of Business</w:t>
      </w:r>
    </w:p>
    <w:tbl>
      <w:tblPr>
        <w:tblW w:w="3297" w:type="dxa"/>
        <w:jc w:val="left"/>
        <w:tblInd w:w="0" w:type="dxa"/>
        <w:tblCellMar>
          <w:top w:w="0" w:type="dxa"/>
          <w:left w:w="0" w:type="dxa"/>
          <w:bottom w:w="0" w:type="dxa"/>
          <w:right w:w="0" w:type="dxa"/>
        </w:tblCellMar>
      </w:tblPr>
      <w:tblGrid>
        <w:gridCol w:w="1355"/>
        <w:gridCol w:w="60"/>
        <w:gridCol w:w="157"/>
        <w:gridCol w:w="687"/>
        <w:gridCol w:w="100"/>
        <w:gridCol w:w="75"/>
        <w:gridCol w:w="157"/>
        <w:gridCol w:w="611"/>
        <w:gridCol w:w="95"/>
      </w:tblGrid>
      <w:tr>
        <w:trPr/>
        <w:tc>
          <w:tcPr>
            <w:tcW w:w="13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7"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7"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4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0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76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3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w:t>
            </w:r>
          </w:p>
        </w:tc>
        <w:tc>
          <w:tcPr>
            <w:tcW w:w="10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collection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10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11"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w:t>
            </w:r>
          </w:p>
        </w:tc>
        <w:tc>
          <w:tcPr>
            <w:tcW w:w="10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10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Intercompany</w:t>
            </w:r>
            <w:r>
              <w:rPr>
                <w:rFonts w:ascii="Times New Roman;Times;Serif" w:hAnsi="Times New Roman;Times;Serif"/>
                <w:b w:val="false"/>
                <w:i w:val="false"/>
                <w:caps w:val="false"/>
                <w:smallCaps w:val="false"/>
                <w:position w:val="7"/>
                <w:sz w:val="16"/>
                <w:sz w:val="20"/>
              </w:rPr>
              <w:t>(a)</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8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w:t>
            </w:r>
          </w:p>
        </w:tc>
        <w:tc>
          <w:tcPr>
            <w:tcW w:w="1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11"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4,892</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Revenue Growth</w:t>
      </w:r>
    </w:p>
    <w:p>
      <w:pPr>
        <w:pStyle w:val="TextBody"/>
        <w:spacing w:before="0" w:after="0"/>
        <w:ind w:left="0" w:right="0" w:hanging="0"/>
        <w:rPr>
          <w:caps w:val="false"/>
          <w:smallCaps w:val="false"/>
        </w:rPr>
      </w:pPr>
      <w:r>
        <w:rPr>
          <w:caps w:val="false"/>
          <w:smallCaps w:val="false"/>
        </w:rPr>
        <w:t> </w:t>
      </w:r>
    </w:p>
    <w:tbl>
      <w:tblPr>
        <w:tblW w:w="7884" w:type="dxa"/>
        <w:jc w:val="left"/>
        <w:tblInd w:w="0" w:type="dxa"/>
        <w:tblCellMar>
          <w:top w:w="0" w:type="dxa"/>
          <w:left w:w="0" w:type="dxa"/>
          <w:bottom w:w="0" w:type="dxa"/>
          <w:right w:w="0" w:type="dxa"/>
        </w:tblCellMar>
      </w:tblPr>
      <w:tblGrid>
        <w:gridCol w:w="3650"/>
        <w:gridCol w:w="60"/>
        <w:gridCol w:w="167"/>
        <w:gridCol w:w="528"/>
        <w:gridCol w:w="91"/>
        <w:gridCol w:w="68"/>
        <w:gridCol w:w="113"/>
        <w:gridCol w:w="836"/>
        <w:gridCol w:w="210"/>
        <w:gridCol w:w="68"/>
        <w:gridCol w:w="188"/>
        <w:gridCol w:w="507"/>
        <w:gridCol w:w="91"/>
        <w:gridCol w:w="68"/>
        <w:gridCol w:w="157"/>
        <w:gridCol w:w="882"/>
        <w:gridCol w:w="200"/>
      </w:tblGrid>
      <w:tr>
        <w:trPr/>
        <w:tc>
          <w:tcPr>
            <w:tcW w:w="3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74" w:type="dxa"/>
            <w:gridSpan w:val="14"/>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br/>
              <w:t>Three Months Ended</w:t>
              <w:br/>
              <w:t>March 31, 2023 vs. 2022</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jc w:val="center"/>
              <w:rPr/>
            </w:pPr>
            <w:r>
              <w:rPr/>
              <w:t> </w:t>
            </w:r>
          </w:p>
        </w:tc>
        <w:tc>
          <w:tcPr>
            <w:tcW w:w="9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94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21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jc w:val="center"/>
              <w:rPr/>
            </w:pPr>
            <w:r>
              <w:rPr/>
              <w:t> </w:t>
            </w:r>
          </w:p>
        </w:tc>
        <w:tc>
          <w:tcPr>
            <w:tcW w:w="9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jc w:val="center"/>
              <w:rPr/>
            </w:pPr>
            <w:r>
              <w:rPr/>
              <w:t> </w:t>
            </w:r>
          </w:p>
        </w:tc>
        <w:tc>
          <w:tcPr>
            <w:tcW w:w="9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94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w:t>
            </w:r>
          </w:p>
        </w:tc>
        <w:tc>
          <w:tcPr>
            <w:tcW w:w="21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jc w:val="center"/>
              <w:rPr/>
            </w:pPr>
            <w:r>
              <w:rPr/>
              <w:t> </w:t>
            </w:r>
          </w:p>
        </w:tc>
        <w:tc>
          <w:tcPr>
            <w:tcW w:w="9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1"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94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r>
              <w:rPr>
                <w:rFonts w:ascii="Times New Roman;Times;Serif" w:hAnsi="Times New Roman;Times;Serif"/>
                <w:b/>
                <w:i w:val="false"/>
                <w:caps w:val="false"/>
                <w:smallCaps w:val="false"/>
                <w:position w:val="7"/>
                <w:sz w:val="16"/>
                <w:sz w:val="20"/>
              </w:rPr>
              <w:t>(b)</w:t>
            </w:r>
          </w:p>
        </w:tc>
        <w:tc>
          <w:tcPr>
            <w:tcW w:w="210"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1"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103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i w:val="false"/>
                <w:caps w:val="false"/>
                <w:smallCaps w:val="false"/>
                <w:position w:val="7"/>
                <w:sz w:val="16"/>
                <w:sz w:val="20"/>
              </w:rPr>
              <w:t>(c)</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 and disposal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1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2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507"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 </w:t>
            </w:r>
          </w:p>
        </w:tc>
        <w:tc>
          <w:tcPr>
            <w:tcW w:w="882" w:type="dxa"/>
            <w:tcBorders/>
            <w:shd w:fill="CCEEFF" w:val="clear"/>
            <w:vAlign w:val="center"/>
          </w:tcPr>
          <w:p>
            <w:pPr>
              <w:pStyle w:val="TableContents"/>
              <w:spacing w:before="0" w:after="283"/>
              <w:jc w:val="right"/>
              <w:rPr/>
            </w:pPr>
            <w:r>
              <w:rPr/>
              <w:t> </w:t>
            </w:r>
          </w:p>
        </w:tc>
        <w:tc>
          <w:tcPr>
            <w:tcW w:w="20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and WM Renewable Energy</w:t>
            </w:r>
            <w:r>
              <w:rPr>
                <w:rFonts w:ascii="Times New Roman;Times;Serif" w:hAnsi="Times New Roman;Times;Serif"/>
                <w:b w:val="false"/>
                <w:i w:val="false"/>
                <w:caps w:val="false"/>
                <w:smallCaps w:val="false"/>
                <w:position w:val="7"/>
                <w:sz w:val="16"/>
                <w:sz w:val="20"/>
              </w:rPr>
              <w:t>(d) (e)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1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w:t>
            </w:r>
          </w:p>
        </w:tc>
        <w:tc>
          <w:tcPr>
            <w:tcW w:w="2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507"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57" w:type="dxa"/>
            <w:tcBorders/>
            <w:shd w:fill="FFFFFF" w:val="clear"/>
            <w:vAlign w:val="center"/>
          </w:tcPr>
          <w:p>
            <w:pPr>
              <w:pStyle w:val="TableContents"/>
              <w:spacing w:before="0" w:after="283"/>
              <w:jc w:val="left"/>
              <w:rPr/>
            </w:pPr>
            <w:r>
              <w:rPr/>
              <w:t> </w:t>
            </w:r>
          </w:p>
        </w:tc>
        <w:tc>
          <w:tcPr>
            <w:tcW w:w="882" w:type="dxa"/>
            <w:tcBorders/>
            <w:shd w:fill="FFFFFF" w:val="clear"/>
            <w:vAlign w:val="center"/>
          </w:tcPr>
          <w:p>
            <w:pPr>
              <w:pStyle w:val="TableContents"/>
              <w:spacing w:before="0" w:after="283"/>
              <w:jc w:val="right"/>
              <w:rPr/>
            </w:pPr>
            <w:r>
              <w:rPr/>
              <w:t> </w:t>
            </w:r>
          </w:p>
        </w:tc>
        <w:tc>
          <w:tcPr>
            <w:tcW w:w="200" w:type="dxa"/>
            <w:tcBorders/>
            <w:shd w:fill="FFFFFF" w:val="clear"/>
            <w:vAlign w:val="center"/>
          </w:tcPr>
          <w:p>
            <w:pPr>
              <w:pStyle w:val="TableContents"/>
              <w:spacing w:before="0" w:after="283"/>
              <w:jc w:val="left"/>
              <w:rPr/>
            </w:pPr>
            <w:r>
              <w:rPr/>
              <w:t> </w:t>
            </w:r>
          </w:p>
        </w:tc>
      </w:tr>
      <w:tr>
        <w:trPr/>
        <w:tc>
          <w:tcPr>
            <w:tcW w:w="3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surcharges and mandated fees</w:t>
            </w:r>
            <w:r>
              <w:rPr>
                <w:rFonts w:ascii="Times New Roman;Times;Serif" w:hAnsi="Times New Roman;Times;Serif"/>
                <w:b w:val="false"/>
                <w:i w:val="false"/>
                <w:caps w:val="false"/>
                <w:smallCaps w:val="false"/>
                <w:position w:val="7"/>
                <w:sz w:val="16"/>
                <w:sz w:val="20"/>
              </w:rPr>
              <w: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1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21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507"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jc w:val="left"/>
              <w:rPr/>
            </w:pPr>
            <w:r>
              <w:rPr/>
              <w:t> </w:t>
            </w:r>
          </w:p>
        </w:tc>
        <w:tc>
          <w:tcPr>
            <w:tcW w:w="882" w:type="dxa"/>
            <w:tcBorders/>
            <w:shd w:fill="CCEEFF" w:val="clear"/>
            <w:vAlign w:val="center"/>
          </w:tcPr>
          <w:p>
            <w:pPr>
              <w:pStyle w:val="TableContents"/>
              <w:spacing w:before="0" w:after="283"/>
              <w:jc w:val="right"/>
              <w:rPr/>
            </w:pPr>
            <w:r>
              <w:rPr/>
              <w:t> </w:t>
            </w:r>
          </w:p>
        </w:tc>
        <w:tc>
          <w:tcPr>
            <w:tcW w:w="200" w:type="dxa"/>
            <w:tcBorders/>
            <w:shd w:fill="CCEEFF" w:val="clear"/>
            <w:vAlign w:val="center"/>
          </w:tcPr>
          <w:p>
            <w:pPr>
              <w:pStyle w:val="TableContents"/>
              <w:spacing w:before="0" w:after="283"/>
              <w:jc w:val="left"/>
              <w:rPr/>
            </w:pPr>
            <w:r>
              <w:rPr/>
              <w:t> </w:t>
            </w:r>
          </w:p>
        </w:tc>
      </w:tr>
      <w:tr>
        <w:trPr/>
        <w:tc>
          <w:tcPr>
            <w:tcW w:w="3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average yield</w:t>
            </w:r>
            <w:r>
              <w:rPr>
                <w:rFonts w:ascii="Times New Roman;Times;Serif" w:hAnsi="Times New Roman;Times;Serif"/>
                <w:b w:val="false"/>
                <w:i w:val="false"/>
                <w:caps w:val="false"/>
                <w:smallCaps w:val="false"/>
                <w:position w:val="7"/>
                <w:sz w:val="16"/>
                <w:sz w:val="20"/>
              </w:rPr>
              <w:t>(f)</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836" w:type="dxa"/>
            <w:tcBorders/>
            <w:shd w:fill="FFFFFF" w:val="clear"/>
            <w:vAlign w:val="center"/>
          </w:tcPr>
          <w:p>
            <w:pPr>
              <w:pStyle w:val="TableContents"/>
              <w:spacing w:before="0" w:after="283"/>
              <w:jc w:val="right"/>
              <w:rPr/>
            </w:pPr>
            <w:r>
              <w:rPr/>
              <w:t> </w:t>
            </w:r>
          </w:p>
        </w:tc>
        <w:tc>
          <w:tcPr>
            <w:tcW w:w="21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528"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836" w:type="dxa"/>
            <w:tcBorders/>
            <w:shd w:fill="CCEEFF" w:val="clear"/>
            <w:vAlign w:val="center"/>
          </w:tcPr>
          <w:p>
            <w:pPr>
              <w:pStyle w:val="TableContents"/>
              <w:spacing w:before="0" w:after="283"/>
              <w:jc w:val="right"/>
              <w:rPr/>
            </w:pPr>
            <w:r>
              <w:rPr/>
              <w:t> </w:t>
            </w:r>
          </w:p>
        </w:tc>
        <w:tc>
          <w:tcPr>
            <w:tcW w:w="21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 revenue growth</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836" w:type="dxa"/>
            <w:tcBorders/>
            <w:shd w:fill="FFFFFF" w:val="clear"/>
            <w:vAlign w:val="center"/>
          </w:tcPr>
          <w:p>
            <w:pPr>
              <w:pStyle w:val="TableContents"/>
              <w:spacing w:before="0" w:after="283"/>
              <w:jc w:val="right"/>
              <w:rPr/>
            </w:pPr>
            <w:r>
              <w:rPr/>
              <w:t> </w:t>
            </w:r>
          </w:p>
        </w:tc>
        <w:tc>
          <w:tcPr>
            <w:tcW w:w="21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528"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836" w:type="dxa"/>
            <w:tcBorders/>
            <w:shd w:fill="CCEEFF" w:val="clear"/>
            <w:vAlign w:val="center"/>
          </w:tcPr>
          <w:p>
            <w:pPr>
              <w:pStyle w:val="TableContents"/>
              <w:spacing w:before="0" w:after="283"/>
              <w:jc w:val="right"/>
              <w:rPr/>
            </w:pPr>
            <w:r>
              <w:rPr/>
              <w:t> </w:t>
            </w:r>
          </w:p>
        </w:tc>
        <w:tc>
          <w:tcPr>
            <w:tcW w:w="21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Divestitures</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836" w:type="dxa"/>
            <w:tcBorders/>
            <w:shd w:fill="FFFFFF" w:val="clear"/>
            <w:vAlign w:val="center"/>
          </w:tcPr>
          <w:p>
            <w:pPr>
              <w:pStyle w:val="TableContents"/>
              <w:spacing w:before="0" w:after="283"/>
              <w:jc w:val="right"/>
              <w:rPr/>
            </w:pPr>
            <w:r>
              <w:rPr/>
              <w:t> </w:t>
            </w:r>
          </w:p>
        </w:tc>
        <w:tc>
          <w:tcPr>
            <w:tcW w:w="21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6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w:t>
            </w:r>
          </w:p>
        </w:tc>
        <w:tc>
          <w:tcPr>
            <w:tcW w:w="60" w:type="dxa"/>
            <w:tcBorders/>
            <w:shd w:fill="CCEEFF" w:val="clear"/>
            <w:vAlign w:val="center"/>
          </w:tcPr>
          <w:p>
            <w:pPr>
              <w:pStyle w:val="TableContents"/>
              <w:spacing w:before="0" w:after="283"/>
              <w:rPr/>
            </w:pPr>
            <w:r>
              <w:rPr/>
              <w:t> </w:t>
            </w:r>
          </w:p>
        </w:tc>
        <w:tc>
          <w:tcPr>
            <w:tcW w:w="167" w:type="dxa"/>
            <w:tcBorders/>
            <w:shd w:fill="CCEEFF" w:val="clear"/>
            <w:vAlign w:val="center"/>
          </w:tcPr>
          <w:p>
            <w:pPr>
              <w:pStyle w:val="TableContents"/>
              <w:spacing w:before="0" w:after="283"/>
              <w:jc w:val="left"/>
              <w:rPr/>
            </w:pPr>
            <w:r>
              <w:rPr/>
              <w:t> </w:t>
            </w:r>
          </w:p>
        </w:tc>
        <w:tc>
          <w:tcPr>
            <w:tcW w:w="528"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836" w:type="dxa"/>
            <w:tcBorders/>
            <w:shd w:fill="CCEEFF" w:val="clear"/>
            <w:vAlign w:val="center"/>
          </w:tcPr>
          <w:p>
            <w:pPr>
              <w:pStyle w:val="TableContents"/>
              <w:spacing w:before="0" w:after="283"/>
              <w:jc w:val="right"/>
              <w:rPr/>
            </w:pPr>
            <w:r>
              <w:rPr/>
              <w:t> </w:t>
            </w:r>
          </w:p>
        </w:tc>
        <w:tc>
          <w:tcPr>
            <w:tcW w:w="210"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0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5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2"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5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vAlign w:val="center"/>
          </w:tcPr>
          <w:p>
            <w:pPr>
              <w:pStyle w:val="TableContents"/>
              <w:spacing w:before="0" w:after="283"/>
              <w:rPr/>
            </w:pPr>
            <w:r>
              <w:rPr/>
              <w:t> </w:t>
            </w:r>
          </w:p>
        </w:tc>
        <w:tc>
          <w:tcPr>
            <w:tcW w:w="16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836" w:type="dxa"/>
            <w:tcBorders/>
            <w:shd w:fill="FFFFFF" w:val="clear"/>
            <w:vAlign w:val="center"/>
          </w:tcPr>
          <w:p>
            <w:pPr>
              <w:pStyle w:val="TableContents"/>
              <w:spacing w:before="0" w:after="283"/>
              <w:jc w:val="right"/>
              <w:rPr/>
            </w:pPr>
            <w:r>
              <w:rPr/>
              <w:t> </w:t>
            </w:r>
          </w:p>
        </w:tc>
        <w:tc>
          <w:tcPr>
            <w:tcW w:w="210"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caps w:val="false"/>
                <w:smallCaps w:val="false"/>
              </w:rPr>
            </w:pPr>
            <w:r>
              <w:rPr>
                <w:caps w:val="false"/>
                <w:smallCaps w:val="false"/>
              </w:rPr>
              <w:t> </w:t>
            </w:r>
          </w:p>
        </w:tc>
        <w:tc>
          <w:tcPr>
            <w:tcW w:w="157"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tbl>
      <w:tblPr>
        <w:tblW w:w="5457" w:type="dxa"/>
        <w:jc w:val="left"/>
        <w:tblInd w:w="0" w:type="dxa"/>
        <w:tblCellMar>
          <w:top w:w="0" w:type="dxa"/>
          <w:left w:w="0" w:type="dxa"/>
          <w:bottom w:w="0" w:type="dxa"/>
          <w:right w:w="0" w:type="dxa"/>
        </w:tblCellMar>
      </w:tblPr>
      <w:tblGrid>
        <w:gridCol w:w="2405"/>
        <w:gridCol w:w="60"/>
        <w:gridCol w:w="151"/>
        <w:gridCol w:w="961"/>
        <w:gridCol w:w="467"/>
        <w:gridCol w:w="151"/>
        <w:gridCol w:w="151"/>
        <w:gridCol w:w="851"/>
        <w:gridCol w:w="260"/>
      </w:tblGrid>
      <w:tr>
        <w:trPr/>
        <w:tc>
          <w:tcPr>
            <w:tcW w:w="2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732"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Period-to-Period Change for the</w:t>
            </w:r>
          </w:p>
        </w:tc>
        <w:tc>
          <w:tcPr>
            <w:tcW w:w="2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732"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73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 vs. 2022</w:t>
            </w:r>
          </w:p>
        </w:tc>
        <w:tc>
          <w:tcPr>
            <w:tcW w:w="2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73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 Related Business</w:t>
            </w:r>
            <w:r>
              <w:rPr>
                <w:rFonts w:ascii="Times New Roman;Times;Serif" w:hAnsi="Times New Roman;Times;Serif"/>
                <w:b/>
                <w:i w:val="false"/>
                <w:caps w:val="false"/>
                <w:smallCaps w:val="false"/>
                <w:position w:val="7"/>
                <w:sz w:val="16"/>
                <w:sz w:val="20"/>
              </w:rPr>
              <w:t>(b)</w:t>
            </w:r>
          </w:p>
        </w:tc>
        <w:tc>
          <w:tcPr>
            <w:tcW w:w="2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Yield</w:t>
            </w:r>
          </w:p>
        </w:tc>
        <w:tc>
          <w:tcPr>
            <w:tcW w:w="467" w:type="dxa"/>
            <w:tcBorders/>
            <w:shd w:fill="auto" w:val="clear"/>
            <w:vAlign w:val="center"/>
          </w:tcPr>
          <w:p>
            <w:pPr>
              <w:pStyle w:val="TableContents"/>
              <w:spacing w:before="0" w:after="283"/>
              <w:rPr>
                <w:caps w:val="false"/>
                <w:smallCaps w:val="false"/>
              </w:rPr>
            </w:pPr>
            <w:r>
              <w:rPr>
                <w:caps w:val="false"/>
                <w:smallCaps w:val="false"/>
              </w:rPr>
              <w:t> </w:t>
            </w:r>
          </w:p>
        </w:tc>
        <w:tc>
          <w:tcPr>
            <w:tcW w:w="151" w:type="dxa"/>
            <w:tcBorders/>
            <w:shd w:fill="auto" w:val="clear"/>
            <w:vAlign w:val="center"/>
          </w:tcPr>
          <w:p>
            <w:pPr>
              <w:pStyle w:val="TableContents"/>
              <w:spacing w:before="0" w:after="283"/>
              <w:rPr>
                <w:caps w:val="false"/>
                <w:smallCaps w:val="false"/>
              </w:rPr>
            </w:pPr>
            <w:r>
              <w:rPr>
                <w:caps w:val="false"/>
                <w:smallCaps w:val="false"/>
              </w:rPr>
              <w:t> </w:t>
            </w:r>
          </w:p>
        </w:tc>
        <w:tc>
          <w:tcPr>
            <w:tcW w:w="1002"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Volume</w:t>
            </w:r>
            <w:r>
              <w:rPr>
                <w:rFonts w:ascii="Times New Roman;Times;Serif" w:hAnsi="Times New Roman;Times;Serif"/>
                <w:b/>
                <w:i w:val="false"/>
                <w:caps w:val="false"/>
                <w:smallCaps w:val="false"/>
                <w:position w:val="7"/>
                <w:sz w:val="16"/>
                <w:sz w:val="20"/>
              </w:rPr>
              <w:t>(g)</w:t>
            </w:r>
          </w:p>
        </w:tc>
        <w:tc>
          <w:tcPr>
            <w:tcW w:w="26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46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Industrial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4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Residential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46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4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0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MSW</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46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6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40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46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spacing w:before="0" w:after="283"/>
              <w:rPr>
                <w:caps w:val="false"/>
                <w:smallCaps w:val="false"/>
              </w:rPr>
            </w:pPr>
            <w:r>
              <w:rPr>
                <w:caps w:val="false"/>
                <w:smallCaps w:val="false"/>
              </w:rPr>
              <w:t> </w:t>
            </w:r>
          </w:p>
        </w:tc>
        <w:tc>
          <w:tcPr>
            <w:tcW w:w="15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51"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60"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collection and disposal</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46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1" w:type="dxa"/>
            <w:tcBorders/>
            <w:shd w:fill="CCEEFF" w:val="clear"/>
            <w:vAlign w:val="center"/>
          </w:tcPr>
          <w:p>
            <w:pPr>
              <w:pStyle w:val="TableContents"/>
              <w:spacing w:before="0" w:after="283"/>
              <w:rPr>
                <w:caps w:val="false"/>
                <w:smallCaps w:val="false"/>
              </w:rPr>
            </w:pPr>
            <w:r>
              <w:rPr>
                <w:caps w:val="false"/>
                <w:smallCaps w:val="false"/>
              </w:rPr>
              <w:t> </w:t>
            </w:r>
          </w:p>
        </w:tc>
        <w:tc>
          <w:tcPr>
            <w:tcW w:w="15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5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w:t>
            </w:r>
          </w:p>
        </w:tc>
        <w:tc>
          <w:tcPr>
            <w:tcW w:w="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rPr/>
      </w:pPr>
      <w:r>
        <w:rPr/>
        <w:t> </w:t>
      </w:r>
    </w:p>
    <w:p>
      <w:pPr>
        <w:pStyle w:val="TextBody"/>
        <w:spacing w:before="60" w:after="6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
        <w:gridCol w:w="256"/>
        <w:gridCol w:w="9912"/>
      </w:tblGrid>
      <w:tr>
        <w:trPr/>
        <w:tc>
          <w:tcPr>
            <w:tcW w:w="37"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pPr>
            <w:r>
              <w:rPr/>
              <w:t>(a)</w:t>
            </w:r>
          </w:p>
        </w:tc>
        <w:tc>
          <w:tcPr>
            <w:tcW w:w="9912" w:type="dxa"/>
            <w:tcBorders/>
            <w:shd w:fill="auto" w:val="clear"/>
            <w:vAlign w:val="center"/>
          </w:tcPr>
          <w:p>
            <w:pPr>
              <w:pStyle w:val="TableContents"/>
              <w:spacing w:before="0" w:after="283"/>
              <w:jc w:val="both"/>
              <w:rPr/>
            </w:pPr>
            <w:r>
              <w:rPr/>
              <w:t>Intercompany revenues between lines of business are eliminated in the Condensed Consolidated Financial Statements included herein.</w:t>
            </w:r>
          </w:p>
        </w:tc>
      </w:tr>
    </w:tbl>
    <w:tbl>
      <w:tblPr>
        <w:tblW w:w="5000" w:type="pct"/>
        <w:jc w:val="left"/>
        <w:tblInd w:w="0" w:type="dxa"/>
        <w:tblCellMar>
          <w:top w:w="0" w:type="dxa"/>
          <w:left w:w="0" w:type="dxa"/>
          <w:bottom w:w="0" w:type="dxa"/>
          <w:right w:w="0" w:type="dxa"/>
        </w:tblCellMar>
      </w:tblPr>
      <w:tblGrid>
        <w:gridCol w:w="37"/>
        <w:gridCol w:w="252"/>
        <w:gridCol w:w="9916"/>
      </w:tblGrid>
      <w:tr>
        <w:trPr/>
        <w:tc>
          <w:tcPr>
            <w:tcW w:w="3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pPr>
            <w:r>
              <w:rPr/>
              <w:t>(b)</w:t>
            </w:r>
          </w:p>
        </w:tc>
        <w:tc>
          <w:tcPr>
            <w:tcW w:w="9916" w:type="dxa"/>
            <w:tcBorders/>
            <w:shd w:fill="auto" w:val="clear"/>
            <w:vAlign w:val="center"/>
          </w:tcPr>
          <w:p>
            <w:pPr>
              <w:pStyle w:val="TableContents"/>
              <w:spacing w:before="0" w:after="283"/>
              <w:jc w:val="both"/>
              <w:rPr/>
            </w:pPr>
            <w:r>
              <w:rPr/>
              <w:t>Calculated by dividing the increase or decrease for the current year period by the prior year period’s related business revenue adjusted to exclude the impacts of divestitures for the current year period.</w:t>
            </w:r>
          </w:p>
        </w:tc>
      </w:tr>
    </w:tbl>
    <w:tbl>
      <w:tblPr>
        <w:tblW w:w="5000" w:type="pct"/>
        <w:jc w:val="left"/>
        <w:tblInd w:w="0" w:type="dxa"/>
        <w:tblCellMar>
          <w:top w:w="0" w:type="dxa"/>
          <w:left w:w="0" w:type="dxa"/>
          <w:bottom w:w="0" w:type="dxa"/>
          <w:right w:w="0" w:type="dxa"/>
        </w:tblCellMar>
      </w:tblPr>
      <w:tblGrid>
        <w:gridCol w:w="37"/>
        <w:gridCol w:w="237"/>
        <w:gridCol w:w="9931"/>
      </w:tblGrid>
      <w:tr>
        <w:trPr/>
        <w:tc>
          <w:tcPr>
            <w:tcW w:w="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pPr>
            <w:r>
              <w:rPr/>
              <w:t>(c)</w:t>
            </w:r>
          </w:p>
        </w:tc>
        <w:tc>
          <w:tcPr>
            <w:tcW w:w="9931" w:type="dxa"/>
            <w:tcBorders/>
            <w:shd w:fill="auto" w:val="clear"/>
            <w:vAlign w:val="center"/>
          </w:tcPr>
          <w:p>
            <w:pPr>
              <w:pStyle w:val="TableContents"/>
              <w:spacing w:before="0" w:after="283"/>
              <w:jc w:val="both"/>
              <w:rPr/>
            </w:pPr>
            <w:r>
              <w:rPr/>
              <w:t>Calculated by dividing the increase or decrease for the current year period by the prior year period’s total Company revenue adjusted to exclude the impacts of divestitures for the current year period.</w:t>
            </w:r>
          </w:p>
        </w:tc>
      </w:tr>
    </w:tbl>
    <w:tbl>
      <w:tblPr>
        <w:tblW w:w="5000" w:type="pct"/>
        <w:jc w:val="left"/>
        <w:tblInd w:w="0" w:type="dxa"/>
        <w:tblCellMar>
          <w:top w:w="0" w:type="dxa"/>
          <w:left w:w="0" w:type="dxa"/>
          <w:bottom w:w="0" w:type="dxa"/>
          <w:right w:w="0" w:type="dxa"/>
        </w:tblCellMar>
      </w:tblPr>
      <w:tblGrid>
        <w:gridCol w:w="37"/>
        <w:gridCol w:w="258"/>
        <w:gridCol w:w="9910"/>
      </w:tblGrid>
      <w:tr>
        <w:trPr/>
        <w:tc>
          <w:tcPr>
            <w:tcW w:w="3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pPr>
            <w:r>
              <w:rPr/>
              <w:t>(d)</w:t>
            </w:r>
          </w:p>
        </w:tc>
        <w:tc>
          <w:tcPr>
            <w:tcW w:w="9910" w:type="dxa"/>
            <w:tcBorders/>
            <w:shd w:fill="auto" w:val="clear"/>
            <w:vAlign w:val="center"/>
          </w:tcPr>
          <w:p>
            <w:pPr>
              <w:pStyle w:val="TableContents"/>
              <w:spacing w:before="0" w:after="283"/>
              <w:jc w:val="both"/>
              <w:rPr/>
            </w:pPr>
            <w:r>
              <w:rPr/>
              <w:t>Includes combined impact of commodity price variability in both our recycling and WM Renewable Energy businesses, as well as changes in fees in our recycling business.</w:t>
            </w:r>
          </w:p>
        </w:tc>
      </w:tr>
    </w:tbl>
    <w:tbl>
      <w:tblPr>
        <w:tblW w:w="5000" w:type="pct"/>
        <w:jc w:val="left"/>
        <w:tblInd w:w="0" w:type="dxa"/>
        <w:tblCellMar>
          <w:top w:w="0" w:type="dxa"/>
          <w:left w:w="0" w:type="dxa"/>
          <w:bottom w:w="0" w:type="dxa"/>
          <w:right w:w="0" w:type="dxa"/>
        </w:tblCellMar>
      </w:tblPr>
      <w:tblGrid>
        <w:gridCol w:w="37"/>
        <w:gridCol w:w="222"/>
        <w:gridCol w:w="9946"/>
      </w:tblGrid>
      <w:tr>
        <w:trPr/>
        <w:tc>
          <w:tcPr>
            <w:tcW w:w="37"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pPr>
            <w:r>
              <w:rPr/>
              <w:t>(e)</w:t>
            </w:r>
          </w:p>
        </w:tc>
        <w:tc>
          <w:tcPr>
            <w:tcW w:w="9946" w:type="dxa"/>
            <w:tcBorders/>
            <w:shd w:fill="auto" w:val="clear"/>
            <w:vAlign w:val="center"/>
          </w:tcPr>
          <w:p>
            <w:pPr>
              <w:pStyle w:val="TableContents"/>
              <w:spacing w:before="0" w:after="283"/>
              <w:jc w:val="both"/>
              <w:rPr/>
            </w:pPr>
            <w:r>
              <w:rPr/>
              <w:t>Beginning in 2023, Recycling and WM Renewable Energy includes changes in our revenue attributable to our WM Renewable Energy business. Previously these changes in revenues were included in fuel surcharges and mandated fees. We have revised our prior year results to conform with the current year presentation.</w:t>
            </w:r>
          </w:p>
        </w:tc>
      </w:tr>
    </w:tbl>
    <w:tbl>
      <w:tblPr>
        <w:tblW w:w="5000" w:type="pct"/>
        <w:jc w:val="left"/>
        <w:tblInd w:w="0" w:type="dxa"/>
        <w:tblCellMar>
          <w:top w:w="0" w:type="dxa"/>
          <w:left w:w="0" w:type="dxa"/>
          <w:bottom w:w="0" w:type="dxa"/>
          <w:right w:w="0" w:type="dxa"/>
        </w:tblCellMar>
      </w:tblPr>
      <w:tblGrid>
        <w:gridCol w:w="37"/>
        <w:gridCol w:w="236"/>
        <w:gridCol w:w="9932"/>
      </w:tblGrid>
      <w:tr>
        <w:trPr/>
        <w:tc>
          <w:tcPr>
            <w:tcW w:w="3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pPr>
            <w:r>
              <w:rPr/>
              <w:t>(f)</w:t>
            </w:r>
          </w:p>
        </w:tc>
        <w:tc>
          <w:tcPr>
            <w:tcW w:w="9932" w:type="dxa"/>
            <w:tcBorders/>
            <w:shd w:fill="auto" w:val="clear"/>
            <w:vAlign w:val="center"/>
          </w:tcPr>
          <w:p>
            <w:pPr>
              <w:pStyle w:val="TableContents"/>
              <w:spacing w:before="0" w:after="283"/>
              <w:jc w:val="both"/>
              <w:rPr/>
            </w:pPr>
            <w:r>
              <w:rPr/>
              <w:t>The amounts reported herein represent the changes in our revenue attributable to average yield for the total Company.</w:t>
            </w:r>
          </w:p>
        </w:tc>
      </w:tr>
    </w:tbl>
    <w:tbl>
      <w:tblPr>
        <w:tblW w:w="5000" w:type="pct"/>
        <w:jc w:val="left"/>
        <w:tblInd w:w="0" w:type="dxa"/>
        <w:tblCellMar>
          <w:top w:w="0" w:type="dxa"/>
          <w:left w:w="0" w:type="dxa"/>
          <w:bottom w:w="0" w:type="dxa"/>
          <w:right w:w="0" w:type="dxa"/>
        </w:tblCellMar>
      </w:tblPr>
      <w:tblGrid>
        <w:gridCol w:w="107"/>
        <w:gridCol w:w="821"/>
        <w:gridCol w:w="9277"/>
      </w:tblGrid>
      <w:tr>
        <w:trPr/>
        <w:tc>
          <w:tcPr>
            <w:tcW w:w="107"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pPr>
            <w:r>
              <w:rPr/>
              <w:t>(g)</w:t>
            </w:r>
          </w:p>
        </w:tc>
        <w:tc>
          <w:tcPr>
            <w:tcW w:w="9277" w:type="dxa"/>
            <w:tcBorders/>
            <w:shd w:fill="auto" w:val="clear"/>
            <w:vAlign w:val="center"/>
          </w:tcPr>
          <w:p>
            <w:pPr>
              <w:pStyle w:val="TableContents"/>
              <w:spacing w:before="0" w:after="283"/>
              <w:jc w:val="both"/>
              <w:rPr/>
            </w:pPr>
            <w:r>
              <w:rPr/>
              <w:t>Workday adjusted volume impact.</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720" w:right="0" w:hanging="0"/>
        <w:jc w:val="center"/>
        <w:rPr>
          <w:caps w:val="false"/>
          <w:smallCaps w:val="false"/>
        </w:rPr>
      </w:pPr>
      <w:r>
        <w:rPr>
          <w:caps w:val="false"/>
          <w:smallCaps w:val="false"/>
        </w:rPr>
        <w:t> </w:t>
      </w:r>
    </w:p>
    <w:p>
      <w:pPr>
        <w:pStyle w:val="TextBody"/>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DATA SHEET</w:t>
      </w:r>
    </w:p>
    <w:p>
      <w:pPr>
        <w:pStyle w:val="TextBody"/>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spacing w:before="0" w:after="0"/>
        <w:ind w:left="7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72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43"/>
        <w:gridCol w:w="60"/>
        <w:gridCol w:w="169"/>
        <w:gridCol w:w="515"/>
        <w:gridCol w:w="250"/>
        <w:gridCol w:w="81"/>
        <w:gridCol w:w="169"/>
        <w:gridCol w:w="515"/>
        <w:gridCol w:w="203"/>
      </w:tblGrid>
      <w:tr>
        <w:trPr/>
        <w:tc>
          <w:tcPr>
            <w:tcW w:w="824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99"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0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24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99"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20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24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50" w:type="dxa"/>
            <w:tcBorders/>
            <w:shd w:fill="auto" w:val="clear"/>
            <w:vAlign w:val="center"/>
          </w:tcPr>
          <w:p>
            <w:pPr>
              <w:pStyle w:val="TableContents"/>
              <w:spacing w:before="0" w:after="283"/>
              <w:rPr>
                <w:caps w:val="false"/>
                <w:smallCaps w:val="false"/>
              </w:rPr>
            </w:pPr>
            <w:r>
              <w:rPr>
                <w:caps w:val="false"/>
                <w:smallCaps w:val="false"/>
              </w:rPr>
              <w:t> </w:t>
            </w:r>
          </w:p>
        </w:tc>
        <w:tc>
          <w:tcPr>
            <w:tcW w:w="81" w:type="dxa"/>
            <w:tcBorders/>
            <w:shd w:fill="auto" w:val="clear"/>
            <w:vAlign w:val="center"/>
          </w:tcPr>
          <w:p>
            <w:pPr>
              <w:pStyle w:val="TableContents"/>
              <w:spacing w:before="0" w:after="283"/>
              <w:rPr>
                <w:caps w:val="false"/>
                <w:smallCaps w:val="false"/>
              </w:rPr>
            </w:pPr>
            <w:r>
              <w:rPr>
                <w:caps w:val="false"/>
                <w:smallCaps w:val="false"/>
              </w:rPr>
              <w:t> </w:t>
            </w:r>
          </w:p>
        </w:tc>
        <w:tc>
          <w:tcPr>
            <w:tcW w:w="68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0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Data</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515" w:type="dxa"/>
            <w:tcBorders/>
            <w:shd w:fill="CCEEFF" w:val="clear"/>
            <w:vAlign w:val="center"/>
          </w:tcPr>
          <w:p>
            <w:pPr>
              <w:pStyle w:val="TableContents"/>
              <w:spacing w:before="0" w:after="283"/>
              <w:jc w:val="right"/>
              <w:rPr/>
            </w:pPr>
            <w:r>
              <w:rPr/>
              <w:t> </w:t>
            </w:r>
          </w:p>
        </w:tc>
        <w:tc>
          <w:tcPr>
            <w:tcW w:w="250" w:type="dxa"/>
            <w:tcBorders/>
            <w:shd w:fill="CCEEFF" w:val="clear"/>
            <w:vAlign w:val="center"/>
          </w:tcPr>
          <w:p>
            <w:pPr>
              <w:pStyle w:val="TableContents"/>
              <w:spacing w:before="0" w:after="283"/>
              <w:jc w:val="left"/>
              <w:rPr/>
            </w:pPr>
            <w:r>
              <w:rPr/>
              <w:t> </w:t>
            </w:r>
          </w:p>
        </w:tc>
        <w:tc>
          <w:tcPr>
            <w:tcW w:w="81"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5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824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50"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Internalization of waste, based on disposal costs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w:t>
            </w:r>
          </w:p>
        </w:tc>
        <w:tc>
          <w:tcPr>
            <w:tcW w:w="2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68.4</w:t>
            </w:r>
          </w:p>
        </w:tc>
        <w:tc>
          <w:tcPr>
            <w:tcW w:w="20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4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50"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depletable tons (in millions)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2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20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24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50"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Summary</w:t>
            </w:r>
            <w:r>
              <w:rPr>
                <w:rFonts w:ascii="Times New Roman;Times;Serif" w:hAnsi="Times New Roman;Times;Serif"/>
                <w:b/>
                <w:i w:val="false"/>
                <w:caps w:val="false"/>
                <w:smallCaps w:val="false"/>
                <w:position w:val="7"/>
                <w:sz w:val="16"/>
                <w:sz w:val="20"/>
              </w:rPr>
              <w:t>(a)</w:t>
            </w:r>
          </w:p>
        </w:tc>
        <w:tc>
          <w:tcPr>
            <w:tcW w:w="60"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515" w:type="dxa"/>
            <w:tcBorders/>
            <w:shd w:fill="CCEEFF" w:val="clear"/>
            <w:vAlign w:val="center"/>
          </w:tcPr>
          <w:p>
            <w:pPr>
              <w:pStyle w:val="TableContents"/>
              <w:spacing w:before="0" w:after="283"/>
              <w:jc w:val="right"/>
              <w:rPr/>
            </w:pPr>
            <w:r>
              <w:rPr/>
              <w:t> </w:t>
            </w:r>
          </w:p>
        </w:tc>
        <w:tc>
          <w:tcPr>
            <w:tcW w:w="250" w:type="dxa"/>
            <w:tcBorders/>
            <w:shd w:fill="CCEEFF" w:val="clear"/>
            <w:vAlign w:val="center"/>
          </w:tcPr>
          <w:p>
            <w:pPr>
              <w:pStyle w:val="TableContents"/>
              <w:spacing w:before="0" w:after="283"/>
              <w:jc w:val="left"/>
              <w:rPr/>
            </w:pPr>
            <w:r>
              <w:rPr/>
              <w:t> </w:t>
            </w:r>
          </w:p>
        </w:tc>
        <w:tc>
          <w:tcPr>
            <w:tcW w:w="81" w:type="dxa"/>
            <w:tcBorders/>
            <w:shd w:fill="CCEEFF" w:val="clear"/>
            <w:vAlign w:val="center"/>
          </w:tcPr>
          <w:p>
            <w:pPr>
              <w:pStyle w:val="TableContents"/>
              <w:spacing w:before="0" w:after="283"/>
              <w:rPr/>
            </w:pPr>
            <w:r>
              <w:rPr/>
              <w:t> </w:t>
            </w:r>
          </w:p>
        </w:tc>
        <w:tc>
          <w:tcPr>
            <w:tcW w:w="169" w:type="dxa"/>
            <w:tcBorders/>
            <w:shd w:fill="CCEEFF" w:val="clear"/>
            <w:vAlign w:val="center"/>
          </w:tcPr>
          <w:p>
            <w:pPr>
              <w:pStyle w:val="TableContents"/>
              <w:spacing w:before="0" w:after="283"/>
              <w:jc w:val="left"/>
              <w:rPr/>
            </w:pPr>
            <w:r>
              <w:rPr/>
              <w:t> </w:t>
            </w:r>
          </w:p>
        </w:tc>
        <w:tc>
          <w:tcPr>
            <w:tcW w:w="515"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jc w:val="left"/>
              <w:rPr/>
            </w:pPr>
            <w:r>
              <w:rPr/>
              <w:t> </w:t>
            </w:r>
          </w:p>
        </w:tc>
      </w:tr>
      <w:tr>
        <w:trPr/>
        <w:tc>
          <w:tcPr>
            <w:tcW w:w="824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50"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annualized revenue acquired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0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24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50"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consideration, net of cash acquired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0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24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50"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acquisitions consummated during the period, net of cash acquired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2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0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824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50" w:type="dxa"/>
            <w:tcBorders/>
            <w:shd w:fill="FFFFFF" w:val="clear"/>
            <w:vAlign w:val="center"/>
          </w:tcPr>
          <w:p>
            <w:pPr>
              <w:pStyle w:val="TableContents"/>
              <w:spacing w:before="0" w:after="283"/>
              <w:jc w:val="left"/>
              <w:rPr/>
            </w:pPr>
            <w:r>
              <w:rPr/>
              <w:t> </w:t>
            </w:r>
          </w:p>
        </w:tc>
        <w:tc>
          <w:tcPr>
            <w:tcW w:w="81" w:type="dxa"/>
            <w:tcBorders/>
            <w:shd w:fill="FFFFFF" w:val="clear"/>
            <w:vAlign w:val="center"/>
          </w:tcPr>
          <w:p>
            <w:pPr>
              <w:pStyle w:val="TableContents"/>
              <w:spacing w:before="0" w:after="283"/>
              <w:rPr/>
            </w:pPr>
            <w:r>
              <w:rPr/>
              <w:t> </w:t>
            </w:r>
          </w:p>
        </w:tc>
        <w:tc>
          <w:tcPr>
            <w:tcW w:w="169" w:type="dxa"/>
            <w:tcBorders/>
            <w:shd w:fill="FFFFFF" w:val="clear"/>
            <w:vAlign w:val="center"/>
          </w:tcPr>
          <w:p>
            <w:pPr>
              <w:pStyle w:val="TableContents"/>
              <w:spacing w:before="0" w:after="283"/>
              <w:jc w:val="left"/>
              <w:rPr/>
            </w:pPr>
            <w:r>
              <w:rPr/>
              <w:t> </w:t>
            </w:r>
          </w:p>
        </w:tc>
        <w:tc>
          <w:tcPr>
            <w:tcW w:w="515" w:type="dxa"/>
            <w:tcBorders/>
            <w:shd w:fill="FFFFFF" w:val="clear"/>
            <w:vAlign w:val="center"/>
          </w:tcPr>
          <w:p>
            <w:pPr>
              <w:pStyle w:val="TableContents"/>
              <w:spacing w:before="0" w:after="283"/>
              <w:jc w:val="right"/>
              <w:rPr/>
            </w:pPr>
            <w:r>
              <w:rPr/>
              <w:t> </w:t>
            </w:r>
          </w:p>
        </w:tc>
        <w:tc>
          <w:tcPr>
            <w:tcW w:w="203" w:type="dxa"/>
            <w:tcBorders/>
            <w:shd w:fill="FFFFFF" w:val="clear"/>
            <w:vAlign w:val="center"/>
          </w:tcPr>
          <w:p>
            <w:pPr>
              <w:pStyle w:val="TableContents"/>
              <w:spacing w:before="0" w:after="283"/>
              <w:jc w:val="left"/>
              <w:rPr/>
            </w:pPr>
            <w:r>
              <w:rPr/>
              <w:t> </w:t>
            </w:r>
          </w:p>
        </w:tc>
      </w:tr>
      <w:tr>
        <w:trPr/>
        <w:tc>
          <w:tcPr>
            <w:tcW w:w="824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acquisitions including contingent consideration and other items from prior periods, net of cash acquired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25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spacing w:before="0" w:after="283"/>
              <w:rPr>
                <w:caps w:val="false"/>
                <w:smallCaps w:val="false"/>
              </w:rPr>
            </w:pPr>
            <w:r>
              <w:rPr>
                <w:caps w:val="false"/>
                <w:smallCaps w:val="false"/>
              </w:rPr>
              <w:t> </w:t>
            </w:r>
          </w:p>
        </w:tc>
        <w:tc>
          <w:tcPr>
            <w:tcW w:w="1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03"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Landfill Amortization and Accretion Expenses:</w:t>
      </w:r>
    </w:p>
    <w:p>
      <w:pPr>
        <w:pStyle w:val="TextBody"/>
        <w:spacing w:before="0" w:after="0"/>
        <w:ind w:left="0" w:right="0" w:hanging="0"/>
        <w:rPr>
          <w:caps w:val="false"/>
          <w:smallCaps w:val="false"/>
        </w:rPr>
      </w:pPr>
      <w:r>
        <w:rPr>
          <w:caps w:val="false"/>
          <w:smallCaps w:val="false"/>
        </w:rPr>
        <w:t> </w:t>
      </w:r>
    </w:p>
    <w:tbl>
      <w:tblPr>
        <w:tblW w:w="5288" w:type="dxa"/>
        <w:jc w:val="left"/>
        <w:tblInd w:w="0" w:type="dxa"/>
        <w:tblCellMar>
          <w:top w:w="0" w:type="dxa"/>
          <w:left w:w="0" w:type="dxa"/>
          <w:bottom w:w="0" w:type="dxa"/>
          <w:right w:w="0" w:type="dxa"/>
        </w:tblCellMar>
      </w:tblPr>
      <w:tblGrid>
        <w:gridCol w:w="3365"/>
        <w:gridCol w:w="60"/>
        <w:gridCol w:w="215"/>
        <w:gridCol w:w="576"/>
        <w:gridCol w:w="103"/>
        <w:gridCol w:w="103"/>
        <w:gridCol w:w="215"/>
        <w:gridCol w:w="576"/>
        <w:gridCol w:w="75"/>
      </w:tblGrid>
      <w:tr>
        <w:trPr/>
        <w:tc>
          <w:tcPr>
            <w:tcW w:w="3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8" w:type="dxa"/>
            <w:gridSpan w:val="6"/>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88"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9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03" w:type="dxa"/>
            <w:tcBorders/>
            <w:shd w:fill="auto" w:val="clear"/>
            <w:vAlign w:val="center"/>
          </w:tcPr>
          <w:p>
            <w:pPr>
              <w:pStyle w:val="TableContents"/>
              <w:spacing w:before="0" w:after="283"/>
              <w:rPr>
                <w:caps w:val="false"/>
                <w:smallCaps w:val="false"/>
              </w:rPr>
            </w:pPr>
            <w:r>
              <w:rPr>
                <w:caps w:val="false"/>
                <w:smallCaps w:val="false"/>
              </w:rPr>
              <w:t> </w:t>
            </w:r>
          </w:p>
        </w:tc>
        <w:tc>
          <w:tcPr>
            <w:tcW w:w="103" w:type="dxa"/>
            <w:tcBorders/>
            <w:shd w:fill="auto" w:val="clear"/>
            <w:vAlign w:val="center"/>
          </w:tcPr>
          <w:p>
            <w:pPr>
              <w:pStyle w:val="TableContents"/>
              <w:spacing w:before="0" w:after="283"/>
              <w:rPr>
                <w:caps w:val="false"/>
                <w:smallCaps w:val="false"/>
              </w:rPr>
            </w:pPr>
            <w:r>
              <w:rPr>
                <w:caps w:val="false"/>
                <w:smallCaps w:val="false"/>
              </w:rPr>
              <w:t> </w:t>
            </w:r>
          </w:p>
        </w:tc>
        <w:tc>
          <w:tcPr>
            <w:tcW w:w="791"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3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depletion expense:</w:t>
            </w:r>
          </w:p>
        </w:tc>
        <w:tc>
          <w:tcPr>
            <w:tcW w:w="6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576" w:type="dxa"/>
            <w:tcBorders/>
            <w:shd w:fill="CCEEFF" w:val="clear"/>
            <w:vAlign w:val="center"/>
          </w:tcPr>
          <w:p>
            <w:pPr>
              <w:pStyle w:val="TableContents"/>
              <w:spacing w:before="0" w:after="283"/>
              <w:jc w:val="right"/>
              <w:rPr/>
            </w:pPr>
            <w:r>
              <w:rPr/>
              <w:t> </w:t>
            </w:r>
          </w:p>
        </w:tc>
        <w:tc>
          <w:tcPr>
            <w:tcW w:w="103" w:type="dxa"/>
            <w:tcBorders/>
            <w:shd w:fill="CCEEFF" w:val="clear"/>
            <w:vAlign w:val="center"/>
          </w:tcPr>
          <w:p>
            <w:pPr>
              <w:pStyle w:val="TableContents"/>
              <w:spacing w:before="0" w:after="283"/>
              <w:jc w:val="left"/>
              <w:rPr/>
            </w:pPr>
            <w:r>
              <w:rPr/>
              <w:t> </w:t>
            </w:r>
          </w:p>
        </w:tc>
        <w:tc>
          <w:tcPr>
            <w:tcW w:w="103"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jc w:val="left"/>
              <w:rPr/>
            </w:pPr>
            <w:r>
              <w:rPr/>
              <w:t> </w:t>
            </w:r>
          </w:p>
        </w:tc>
        <w:tc>
          <w:tcPr>
            <w:tcW w:w="576"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3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basis of landfill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spacing w:before="0" w:after="283"/>
              <w:rPr>
                <w:caps w:val="false"/>
                <w:smallCaps w:val="false"/>
              </w:rPr>
            </w:pPr>
            <w:r>
              <w:rPr>
                <w:caps w:val="false"/>
                <w:smallCaps w:val="false"/>
              </w:rPr>
              <w:t> </w:t>
            </w:r>
          </w:p>
        </w:tc>
        <w:tc>
          <w:tcPr>
            <w:tcW w:w="21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 retirement costs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landfill depletion expense</w:t>
            </w:r>
            <w:r>
              <w:rPr>
                <w:rFonts w:ascii="Times New Roman;Times;Serif" w:hAnsi="Times New Roman;Times;Serif"/>
                <w:b w:val="false"/>
                <w:i w:val="false"/>
                <w:caps w:val="false"/>
                <w:smallCaps w:val="false"/>
                <w:position w:val="7"/>
                <w:sz w:val="16"/>
                <w:sz w:val="20"/>
              </w:rPr>
              <w:t>(b)</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spacing w:before="0" w:after="283"/>
              <w:rPr>
                <w:caps w:val="false"/>
                <w:smallCaps w:val="false"/>
              </w:rPr>
            </w:pPr>
            <w:r>
              <w:rPr>
                <w:caps w:val="false"/>
                <w:smallCaps w:val="false"/>
              </w:rPr>
              <w:t> </w:t>
            </w:r>
          </w:p>
        </w:tc>
        <w:tc>
          <w:tcPr>
            <w:tcW w:w="21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expense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10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spacing w:before="0" w:after="283"/>
              <w:rPr>
                <w:caps w:val="false"/>
                <w:smallCaps w:val="false"/>
              </w:rPr>
            </w:pPr>
            <w:r>
              <w:rPr>
                <w:caps w:val="false"/>
                <w:smallCaps w:val="false"/>
              </w:rPr>
              <w:t> </w:t>
            </w:r>
          </w:p>
        </w:tc>
        <w:tc>
          <w:tcPr>
            <w:tcW w:w="21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7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Landfill depletion and accretion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0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spacing w:before="0" w:after="283"/>
              <w:rPr>
                <w:caps w:val="false"/>
                <w:smallCaps w:val="false"/>
              </w:rPr>
            </w:pPr>
            <w:r>
              <w:rPr>
                <w:caps w:val="false"/>
                <w:smallCaps w:val="false"/>
              </w:rPr>
              <w:t> </w:t>
            </w:r>
          </w:p>
        </w:tc>
        <w:tc>
          <w:tcPr>
            <w:tcW w:w="21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7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
        <w:gridCol w:w="263"/>
        <w:gridCol w:w="9905"/>
      </w:tblGrid>
      <w:tr>
        <w:trPr/>
        <w:tc>
          <w:tcPr>
            <w:tcW w:w="3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pPr>
            <w:r>
              <w:rPr/>
              <w:t>(a)</w:t>
            </w:r>
          </w:p>
        </w:tc>
        <w:tc>
          <w:tcPr>
            <w:tcW w:w="9905" w:type="dxa"/>
            <w:tcBorders/>
            <w:shd w:fill="auto" w:val="clear"/>
            <w:vAlign w:val="center"/>
          </w:tcPr>
          <w:p>
            <w:pPr>
              <w:pStyle w:val="TableContents"/>
              <w:spacing w:before="0" w:after="283"/>
              <w:jc w:val="both"/>
              <w:rPr/>
            </w:pPr>
            <w:r>
              <w:rPr/>
              <w:t>Represents amounts associated with business acquisitions consummated during the applicable period except where noted.</w:t>
            </w:r>
          </w:p>
        </w:tc>
      </w:tr>
    </w:tbl>
    <w:tbl>
      <w:tblPr>
        <w:tblW w:w="5000" w:type="pct"/>
        <w:jc w:val="left"/>
        <w:tblInd w:w="0" w:type="dxa"/>
        <w:tblCellMar>
          <w:top w:w="0" w:type="dxa"/>
          <w:left w:w="0" w:type="dxa"/>
          <w:bottom w:w="0" w:type="dxa"/>
          <w:right w:w="0" w:type="dxa"/>
        </w:tblCellMar>
      </w:tblPr>
      <w:tblGrid>
        <w:gridCol w:w="37"/>
        <w:gridCol w:w="250"/>
        <w:gridCol w:w="9918"/>
      </w:tblGrid>
      <w:tr>
        <w:trPr/>
        <w:tc>
          <w:tcPr>
            <w:tcW w:w="37"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pPr>
            <w:r>
              <w:rPr/>
              <w:t>(b)</w:t>
            </w:r>
          </w:p>
        </w:tc>
        <w:tc>
          <w:tcPr>
            <w:tcW w:w="9918" w:type="dxa"/>
            <w:tcBorders/>
            <w:shd w:fill="auto" w:val="clear"/>
            <w:vAlign w:val="center"/>
          </w:tcPr>
          <w:p>
            <w:pPr>
              <w:pStyle w:val="TableContents"/>
              <w:spacing w:before="0" w:after="283"/>
              <w:jc w:val="both"/>
              <w:rPr/>
            </w:pPr>
            <w:r>
              <w:rPr/>
              <w:t>The increase in landfill depletion expense during the first quarter of 2023, as compared with the first quarter of 2022, was primarily due to the reopening of a previously closed landfill in our East Tier segment.</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9617" w:type="dxa"/>
        <w:jc w:val="left"/>
        <w:tblInd w:w="0" w:type="dxa"/>
        <w:tblCellMar>
          <w:top w:w="0" w:type="dxa"/>
          <w:left w:w="0" w:type="dxa"/>
          <w:bottom w:w="0" w:type="dxa"/>
          <w:right w:w="0" w:type="dxa"/>
        </w:tblCellMar>
      </w:tblPr>
      <w:tblGrid>
        <w:gridCol w:w="4190"/>
        <w:gridCol w:w="60"/>
        <w:gridCol w:w="228"/>
        <w:gridCol w:w="886"/>
        <w:gridCol w:w="80"/>
        <w:gridCol w:w="60"/>
        <w:gridCol w:w="176"/>
        <w:gridCol w:w="474"/>
        <w:gridCol w:w="80"/>
        <w:gridCol w:w="60"/>
        <w:gridCol w:w="197"/>
        <w:gridCol w:w="528"/>
        <w:gridCol w:w="230"/>
        <w:gridCol w:w="60"/>
        <w:gridCol w:w="232"/>
        <w:gridCol w:w="627"/>
        <w:gridCol w:w="80"/>
        <w:gridCol w:w="60"/>
        <w:gridCol w:w="305"/>
        <w:gridCol w:w="929"/>
        <w:gridCol w:w="75"/>
      </w:tblGrid>
      <w:tr>
        <w:trPr/>
        <w:tc>
          <w:tcPr>
            <w:tcW w:w="41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292" w:type="dxa"/>
            <w:gridSpan w:val="18"/>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2023</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1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4"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Per</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19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r>
              <w:rPr>
                <w:rFonts w:ascii="Times New Roman;Times;Serif" w:hAnsi="Times New Roman;Times;Serif"/>
                <w:b/>
                <w:i w:val="false"/>
                <w:caps w:val="false"/>
                <w:smallCaps w:val="false"/>
                <w:position w:val="7"/>
                <w:sz w:val="16"/>
                <w:sz w:val="20"/>
              </w:rPr>
              <w:t>(a)</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34"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Amount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19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amounts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6"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w:t>
            </w:r>
          </w:p>
        </w:tc>
        <w:tc>
          <w:tcPr>
            <w:tcW w:w="2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7"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9"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jc w:val="left"/>
              <w:rPr/>
            </w:pPr>
            <w:r>
              <w:rPr/>
              <w:t> </w:t>
            </w:r>
          </w:p>
        </w:tc>
        <w:tc>
          <w:tcPr>
            <w:tcW w:w="886"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jc w:val="left"/>
              <w:rPr/>
            </w:pPr>
            <w:r>
              <w:rPr/>
              <w:t> </w:t>
            </w:r>
          </w:p>
        </w:tc>
        <w:tc>
          <w:tcPr>
            <w:tcW w:w="47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2" w:type="dxa"/>
            <w:tcBorders/>
            <w:shd w:fill="FFFFFF" w:val="clear"/>
            <w:vAlign w:val="center"/>
          </w:tcPr>
          <w:p>
            <w:pPr>
              <w:pStyle w:val="TableContents"/>
              <w:spacing w:before="0" w:after="283"/>
              <w:jc w:val="left"/>
              <w:rPr/>
            </w:pPr>
            <w:r>
              <w:rPr/>
              <w:t> </w:t>
            </w:r>
          </w:p>
        </w:tc>
        <w:tc>
          <w:tcPr>
            <w:tcW w:w="627"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1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dispute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1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legacy loss contingency reserve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8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2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19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8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2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1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asset impairments and unusual items, net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2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19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3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2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05"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9"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190"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amounts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6" w:type="dxa"/>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23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(b)</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32"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2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0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1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and amortization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pPr>
            <w:r>
              <w:rPr/>
              <w:t> </w:t>
            </w:r>
          </w:p>
        </w:tc>
        <w:tc>
          <w:tcPr>
            <w:tcW w:w="47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 </w:t>
            </w:r>
          </w:p>
        </w:tc>
        <w:tc>
          <w:tcPr>
            <w:tcW w:w="528"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32" w:type="dxa"/>
            <w:tcBorders/>
            <w:shd w:fill="CCEEFF" w:val="clear"/>
            <w:vAlign w:val="center"/>
          </w:tcPr>
          <w:p>
            <w:pPr>
              <w:pStyle w:val="TableContents"/>
              <w:spacing w:before="0" w:after="283"/>
              <w:jc w:val="left"/>
              <w:rPr/>
            </w:pPr>
            <w:r>
              <w:rPr/>
              <w:t> </w:t>
            </w:r>
          </w:p>
        </w:tc>
        <w:tc>
          <w:tcPr>
            <w:tcW w:w="627"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05" w:type="dxa"/>
            <w:tcBorders/>
            <w:shd w:fill="CCEEFF" w:val="clear"/>
            <w:vAlign w:val="center"/>
          </w:tcPr>
          <w:p>
            <w:pPr>
              <w:pStyle w:val="TableContents"/>
              <w:spacing w:before="0" w:after="283"/>
              <w:jc w:val="left"/>
              <w:rPr/>
            </w:pPr>
            <w:r>
              <w:rPr/>
              <w:t> </w:t>
            </w:r>
          </w:p>
        </w:tc>
        <w:tc>
          <w:tcPr>
            <w:tcW w:w="92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19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operating EBITDA</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8"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jc w:val="left"/>
              <w:rPr/>
            </w:pPr>
            <w:r>
              <w:rPr/>
              <w:t> </w:t>
            </w:r>
          </w:p>
        </w:tc>
        <w:tc>
          <w:tcPr>
            <w:tcW w:w="47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32" w:type="dxa"/>
            <w:tcBorders/>
            <w:shd w:fill="FFFFFF" w:val="clear"/>
            <w:vAlign w:val="center"/>
          </w:tcPr>
          <w:p>
            <w:pPr>
              <w:pStyle w:val="TableContents"/>
              <w:spacing w:before="0" w:after="283"/>
              <w:jc w:val="left"/>
              <w:rPr/>
            </w:pPr>
            <w:r>
              <w:rPr/>
              <w:t> </w:t>
            </w:r>
          </w:p>
        </w:tc>
        <w:tc>
          <w:tcPr>
            <w:tcW w:w="627"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05" w:type="dxa"/>
            <w:tcBorders/>
            <w:shd w:fill="FFFFFF" w:val="clear"/>
            <w:vAlign w:val="center"/>
          </w:tcPr>
          <w:p>
            <w:pPr>
              <w:pStyle w:val="TableContents"/>
              <w:spacing w:before="0" w:after="283"/>
              <w:jc w:val="left"/>
              <w:rPr/>
            </w:pPr>
            <w:r>
              <w:rPr/>
              <w:t> </w:t>
            </w:r>
          </w:p>
        </w:tc>
        <w:tc>
          <w:tcPr>
            <w:tcW w:w="92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bl>
    <w:p>
      <w:pPr>
        <w:pStyle w:val="TextBody"/>
        <w:rPr/>
      </w:pPr>
      <w:r>
        <w:rPr/>
        <w:t> </w:t>
      </w:r>
    </w:p>
    <w:tbl>
      <w:tblPr>
        <w:tblW w:w="10205" w:type="dxa"/>
        <w:jc w:val="left"/>
        <w:tblInd w:w="0" w:type="dxa"/>
        <w:tblCellMar>
          <w:top w:w="0" w:type="dxa"/>
          <w:left w:w="0" w:type="dxa"/>
          <w:bottom w:w="0" w:type="dxa"/>
          <w:right w:w="0" w:type="dxa"/>
        </w:tblCellMar>
      </w:tblPr>
      <w:tblGrid>
        <w:gridCol w:w="4945"/>
        <w:gridCol w:w="60"/>
        <w:gridCol w:w="228"/>
        <w:gridCol w:w="867"/>
        <w:gridCol w:w="60"/>
        <w:gridCol w:w="60"/>
        <w:gridCol w:w="176"/>
        <w:gridCol w:w="474"/>
        <w:gridCol w:w="60"/>
        <w:gridCol w:w="60"/>
        <w:gridCol w:w="197"/>
        <w:gridCol w:w="528"/>
        <w:gridCol w:w="223"/>
        <w:gridCol w:w="60"/>
        <w:gridCol w:w="227"/>
        <w:gridCol w:w="613"/>
        <w:gridCol w:w="60"/>
        <w:gridCol w:w="60"/>
        <w:gridCol w:w="294"/>
        <w:gridCol w:w="874"/>
        <w:gridCol w:w="79"/>
      </w:tblGrid>
      <w:tr>
        <w:trPr/>
        <w:tc>
          <w:tcPr>
            <w:tcW w:w="49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121" w:type="dxa"/>
            <w:gridSpan w:val="18"/>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2022</w:t>
            </w:r>
          </w:p>
        </w:tc>
        <w:tc>
          <w:tcPr>
            <w:tcW w:w="7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9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95"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Pre-tax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w:t>
            </w:r>
          </w:p>
        </w:tc>
        <w:tc>
          <w:tcPr>
            <w:tcW w:w="223"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40"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68"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Diluted Per</w:t>
            </w:r>
          </w:p>
        </w:tc>
        <w:tc>
          <w:tcPr>
            <w:tcW w:w="7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94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223"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40"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w:t>
            </w:r>
            <w:r>
              <w:rPr>
                <w:rFonts w:ascii="Times New Roman;Times;Serif" w:hAnsi="Times New Roman;Times;Serif"/>
                <w:b/>
                <w:i w:val="false"/>
                <w:caps w:val="false"/>
                <w:smallCaps w:val="false"/>
                <w:position w:val="7"/>
                <w:sz w:val="16"/>
                <w:sz w:val="20"/>
              </w:rPr>
              <w:t>(a)</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68"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Amount</w:t>
            </w:r>
          </w:p>
        </w:tc>
        <w:tc>
          <w:tcPr>
            <w:tcW w:w="79"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94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 amounts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7"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w:t>
            </w:r>
          </w:p>
        </w:tc>
        <w:tc>
          <w:tcPr>
            <w:tcW w:w="22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7"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3"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9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4"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w:t>
            </w:r>
          </w:p>
        </w:tc>
        <w:tc>
          <w:tcPr>
            <w:tcW w:w="7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94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FFFFFF" w:val="clear"/>
            <w:vAlign w:val="center"/>
          </w:tcPr>
          <w:p>
            <w:pPr>
              <w:pStyle w:val="TableContents"/>
              <w:spacing w:before="0" w:after="283"/>
              <w:rPr/>
            </w:pPr>
            <w:r>
              <w:rPr/>
              <w:t> </w:t>
            </w:r>
          </w:p>
        </w:tc>
        <w:tc>
          <w:tcPr>
            <w:tcW w:w="228" w:type="dxa"/>
            <w:tcBorders/>
            <w:shd w:fill="FFFFFF" w:val="clear"/>
            <w:vAlign w:val="center"/>
          </w:tcPr>
          <w:p>
            <w:pPr>
              <w:pStyle w:val="TableContents"/>
              <w:spacing w:before="0" w:after="283"/>
              <w:jc w:val="left"/>
              <w:rPr/>
            </w:pPr>
            <w:r>
              <w:rPr/>
              <w:t> </w:t>
            </w:r>
          </w:p>
        </w:tc>
        <w:tc>
          <w:tcPr>
            <w:tcW w:w="867"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jc w:val="left"/>
              <w:rPr/>
            </w:pPr>
            <w:r>
              <w:rPr/>
              <w:t> </w:t>
            </w:r>
          </w:p>
        </w:tc>
        <w:tc>
          <w:tcPr>
            <w:tcW w:w="47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223"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7" w:type="dxa"/>
            <w:tcBorders/>
            <w:shd w:fill="FFFFFF" w:val="clear"/>
            <w:vAlign w:val="center"/>
          </w:tcPr>
          <w:p>
            <w:pPr>
              <w:pStyle w:val="TableContents"/>
              <w:spacing w:before="0" w:after="283"/>
              <w:jc w:val="left"/>
              <w:rPr/>
            </w:pPr>
            <w:r>
              <w:rPr/>
              <w:t> </w:t>
            </w:r>
          </w:p>
        </w:tc>
        <w:tc>
          <w:tcPr>
            <w:tcW w:w="61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4"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right"/>
              <w:rPr/>
            </w:pPr>
            <w:r>
              <w:rPr/>
              <w:t> </w:t>
            </w:r>
          </w:p>
        </w:tc>
        <w:tc>
          <w:tcPr>
            <w:tcW w:w="79" w:type="dxa"/>
            <w:tcBorders/>
            <w:shd w:fill="FFFFFF" w:val="clear"/>
            <w:vAlign w:val="center"/>
          </w:tcPr>
          <w:p>
            <w:pPr>
              <w:pStyle w:val="TableContents"/>
              <w:spacing w:before="0" w:after="283"/>
              <w:ind w:left="0" w:right="0" w:hanging="144"/>
              <w:jc w:val="left"/>
              <w:rPr/>
            </w:pPr>
            <w:r>
              <w:rPr/>
              <w:t> </w:t>
            </w:r>
          </w:p>
        </w:tc>
      </w:tr>
      <w:tr>
        <w:trPr/>
        <w:tc>
          <w:tcPr>
            <w:tcW w:w="49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resource planning system implementation-related costs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7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2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294" w:type="dxa"/>
            <w:tcBorders/>
            <w:shd w:fill="CCEEFF" w:val="clear"/>
            <w:vAlign w:val="center"/>
          </w:tcPr>
          <w:p>
            <w:pPr>
              <w:pStyle w:val="TableContents"/>
              <w:spacing w:before="0" w:after="283"/>
              <w:jc w:val="left"/>
              <w:rPr/>
            </w:pPr>
            <w:r>
              <w:rPr/>
              <w:t> </w:t>
            </w:r>
          </w:p>
        </w:tc>
        <w:tc>
          <w:tcPr>
            <w:tcW w:w="874"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left"/>
              <w:rPr/>
            </w:pPr>
            <w:r>
              <w:rPr/>
              <w:t> </w:t>
            </w:r>
          </w:p>
        </w:tc>
      </w:tr>
      <w:tr>
        <w:trPr/>
        <w:tc>
          <w:tcPr>
            <w:tcW w:w="49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Disposal integration-related costs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7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2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294"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right"/>
              <w:rPr/>
            </w:pPr>
            <w:r>
              <w:rPr/>
              <w:t> </w:t>
            </w:r>
          </w:p>
        </w:tc>
        <w:tc>
          <w:tcPr>
            <w:tcW w:w="79" w:type="dxa"/>
            <w:tcBorders/>
            <w:shd w:fill="FFFFFF" w:val="clear"/>
            <w:vAlign w:val="center"/>
          </w:tcPr>
          <w:p>
            <w:pPr>
              <w:pStyle w:val="TableContents"/>
              <w:spacing w:before="0" w:after="283"/>
              <w:jc w:val="left"/>
              <w:rPr/>
            </w:pPr>
            <w:r>
              <w:rPr/>
              <w:t> </w:t>
            </w:r>
          </w:p>
        </w:tc>
      </w:tr>
      <w:tr>
        <w:trPr/>
        <w:tc>
          <w:tcPr>
            <w:tcW w:w="494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w:t>
            </w:r>
            <w:r>
              <w:rPr>
                <w:rFonts w:ascii="Times New Roman;Times;Serif" w:hAnsi="Times New Roman;Times;Serif"/>
                <w:b w:val="false"/>
                <w:i w:val="false"/>
                <w:caps w:val="false"/>
                <w:smallCaps w:val="false"/>
                <w:position w:val="7"/>
                <w:sz w:val="16"/>
                <w:sz w:val="20"/>
              </w:rPr>
              <w:t>(c)</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4"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22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7" w:type="dxa"/>
            <w:tcBorders>
              <w:bottom w:val="single" w:sz="8"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13" w:type="dxa"/>
            <w:tcBorders>
              <w:bottom w:val="single" w:sz="8"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294" w:type="dxa"/>
            <w:tcBorders/>
            <w:shd w:fill="CCEEFF" w:val="clear"/>
            <w:vAlign w:val="center"/>
          </w:tcPr>
          <w:p>
            <w:pPr>
              <w:pStyle w:val="TableContents"/>
              <w:spacing w:before="0" w:after="283"/>
              <w:jc w:val="left"/>
              <w:rPr/>
            </w:pPr>
            <w:r>
              <w:rPr/>
              <w:t> </w:t>
            </w:r>
          </w:p>
        </w:tc>
        <w:tc>
          <w:tcPr>
            <w:tcW w:w="874"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left"/>
              <w:rPr/>
            </w:pPr>
            <w:r>
              <w:rPr/>
              <w:t> </w:t>
            </w:r>
          </w:p>
        </w:tc>
      </w:tr>
      <w:tr>
        <w:trPr/>
        <w:tc>
          <w:tcPr>
            <w:tcW w:w="494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7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8"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22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7"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94"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74"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79"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494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amounts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7"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7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28"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w:t>
            </w:r>
          </w:p>
        </w:tc>
        <w:tc>
          <w:tcPr>
            <w:tcW w:w="223" w:type="dxa"/>
            <w:tcBorders/>
            <w:shd w:fill="CCEEFF" w:val="clear"/>
            <w:vAlign w:val="center"/>
          </w:tcPr>
          <w:p>
            <w:pPr>
              <w:pStyle w:val="TableContents"/>
              <w:spacing w:before="0" w:after="283"/>
              <w:jc w:val="left"/>
              <w:rPr>
                <w:rFonts w:ascii="Times New Roman;Times;Serif" w:hAnsi="Times New Roman;Times;Serif"/>
                <w:b/>
                <w:i w:val="false"/>
                <w:caps w:val="false"/>
                <w:smallCaps w:val="false"/>
                <w:position w:val="7"/>
                <w:sz w:val="16"/>
                <w:sz w:val="20"/>
              </w:rPr>
            </w:pPr>
            <w:r>
              <w:rPr>
                <w:rFonts w:ascii="Times New Roman;Times;Serif" w:hAnsi="Times New Roman;Times;Serif"/>
                <w:b/>
                <w:i w:val="false"/>
                <w:caps w:val="false"/>
                <w:smallCaps w:val="false"/>
                <w:position w:val="7"/>
                <w:sz w:val="16"/>
                <w:sz w:val="20"/>
              </w:rPr>
              <w:t>(b)</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1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94"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1.29</w:t>
            </w:r>
          </w:p>
        </w:tc>
        <w:tc>
          <w:tcPr>
            <w:tcW w:w="7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494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depletion and 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28"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jc w:val="left"/>
              <w:rPr/>
            </w:pPr>
            <w:r>
              <w:rPr/>
              <w:t> </w:t>
            </w:r>
          </w:p>
        </w:tc>
        <w:tc>
          <w:tcPr>
            <w:tcW w:w="47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7" w:type="dxa"/>
            <w:tcBorders/>
            <w:shd w:fill="FFFFFF" w:val="clear"/>
            <w:vAlign w:val="center"/>
          </w:tcPr>
          <w:p>
            <w:pPr>
              <w:pStyle w:val="TableContents"/>
              <w:spacing w:before="0" w:after="283"/>
              <w:jc w:val="left"/>
              <w:rPr/>
            </w:pPr>
            <w:r>
              <w:rPr/>
              <w:t> </w:t>
            </w:r>
          </w:p>
        </w:tc>
        <w:tc>
          <w:tcPr>
            <w:tcW w:w="528" w:type="dxa"/>
            <w:tcBorders/>
            <w:shd w:fill="FFFFFF" w:val="clear"/>
            <w:vAlign w:val="center"/>
          </w:tcPr>
          <w:p>
            <w:pPr>
              <w:pStyle w:val="TableContents"/>
              <w:spacing w:before="0" w:after="283"/>
              <w:jc w:val="right"/>
              <w:rPr/>
            </w:pPr>
            <w:r>
              <w:rPr/>
              <w:t> </w:t>
            </w:r>
          </w:p>
        </w:tc>
        <w:tc>
          <w:tcPr>
            <w:tcW w:w="223"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27" w:type="dxa"/>
            <w:tcBorders/>
            <w:shd w:fill="FFFFFF" w:val="clear"/>
            <w:vAlign w:val="center"/>
          </w:tcPr>
          <w:p>
            <w:pPr>
              <w:pStyle w:val="TableContents"/>
              <w:spacing w:before="0" w:after="283"/>
              <w:jc w:val="left"/>
              <w:rPr/>
            </w:pPr>
            <w:r>
              <w:rPr/>
              <w:t> </w:t>
            </w:r>
          </w:p>
        </w:tc>
        <w:tc>
          <w:tcPr>
            <w:tcW w:w="61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294" w:type="dxa"/>
            <w:tcBorders/>
            <w:shd w:fill="FFFFFF" w:val="clear"/>
            <w:vAlign w:val="center"/>
          </w:tcPr>
          <w:p>
            <w:pPr>
              <w:pStyle w:val="TableContents"/>
              <w:spacing w:before="0" w:after="283"/>
              <w:jc w:val="left"/>
              <w:rPr/>
            </w:pPr>
            <w:r>
              <w:rPr/>
              <w:t> </w:t>
            </w:r>
          </w:p>
        </w:tc>
        <w:tc>
          <w:tcPr>
            <w:tcW w:w="874" w:type="dxa"/>
            <w:tcBorders/>
            <w:shd w:fill="FFFFFF" w:val="clear"/>
            <w:vAlign w:val="center"/>
          </w:tcPr>
          <w:p>
            <w:pPr>
              <w:pStyle w:val="TableContents"/>
              <w:spacing w:before="0" w:after="283"/>
              <w:jc w:val="right"/>
              <w:rPr/>
            </w:pPr>
            <w:r>
              <w:rPr/>
              <w:t> </w:t>
            </w:r>
          </w:p>
        </w:tc>
        <w:tc>
          <w:tcPr>
            <w:tcW w:w="79" w:type="dxa"/>
            <w:tcBorders/>
            <w:shd w:fill="FFFFFF" w:val="clear"/>
            <w:vAlign w:val="center"/>
          </w:tcPr>
          <w:p>
            <w:pPr>
              <w:pStyle w:val="TableContents"/>
              <w:spacing w:before="0" w:after="283"/>
              <w:jc w:val="left"/>
              <w:rPr/>
            </w:pPr>
            <w:r>
              <w:rPr/>
              <w:t> </w:t>
            </w:r>
          </w:p>
        </w:tc>
      </w:tr>
      <w:tr>
        <w:trPr/>
        <w:tc>
          <w:tcPr>
            <w:tcW w:w="494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adjusted operating EBITDA</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2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1,285</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176" w:type="dxa"/>
            <w:tcBorders/>
            <w:shd w:fill="CCEEFF" w:val="clear"/>
            <w:vAlign w:val="center"/>
          </w:tcPr>
          <w:p>
            <w:pPr>
              <w:pStyle w:val="TableContents"/>
              <w:spacing w:before="0" w:after="283"/>
              <w:jc w:val="left"/>
              <w:rPr/>
            </w:pPr>
            <w:r>
              <w:rPr/>
              <w:t> </w:t>
            </w:r>
          </w:p>
        </w:tc>
        <w:tc>
          <w:tcPr>
            <w:tcW w:w="47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jc w:val="left"/>
              <w:rPr/>
            </w:pPr>
            <w:r>
              <w:rPr/>
              <w:t> </w:t>
            </w:r>
          </w:p>
        </w:tc>
        <w:tc>
          <w:tcPr>
            <w:tcW w:w="528" w:type="dxa"/>
            <w:tcBorders/>
            <w:shd w:fill="CCEEFF" w:val="clear"/>
            <w:vAlign w:val="center"/>
          </w:tcPr>
          <w:p>
            <w:pPr>
              <w:pStyle w:val="TableContents"/>
              <w:spacing w:before="0" w:after="283"/>
              <w:jc w:val="right"/>
              <w:rPr/>
            </w:pPr>
            <w:r>
              <w:rPr/>
              <w:t> </w:t>
            </w:r>
          </w:p>
        </w:tc>
        <w:tc>
          <w:tcPr>
            <w:tcW w:w="223"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27" w:type="dxa"/>
            <w:tcBorders/>
            <w:shd w:fill="CCEEFF" w:val="clear"/>
            <w:vAlign w:val="center"/>
          </w:tcPr>
          <w:p>
            <w:pPr>
              <w:pStyle w:val="TableContents"/>
              <w:spacing w:before="0" w:after="283"/>
              <w:jc w:val="left"/>
              <w:rPr/>
            </w:pPr>
            <w:r>
              <w:rPr/>
              <w:t> </w:t>
            </w:r>
          </w:p>
        </w:tc>
        <w:tc>
          <w:tcPr>
            <w:tcW w:w="61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94" w:type="dxa"/>
            <w:tcBorders/>
            <w:shd w:fill="CCEEFF" w:val="clear"/>
            <w:vAlign w:val="center"/>
          </w:tcPr>
          <w:p>
            <w:pPr>
              <w:pStyle w:val="TableContents"/>
              <w:spacing w:before="0" w:after="283"/>
              <w:jc w:val="left"/>
              <w:rPr/>
            </w:pPr>
            <w:r>
              <w:rPr/>
              <w:t> </w:t>
            </w:r>
          </w:p>
        </w:tc>
        <w:tc>
          <w:tcPr>
            <w:tcW w:w="874" w:type="dxa"/>
            <w:tcBorders/>
            <w:shd w:fill="CCEEFF" w:val="clear"/>
            <w:vAlign w:val="center"/>
          </w:tcPr>
          <w:p>
            <w:pPr>
              <w:pStyle w:val="TableContents"/>
              <w:spacing w:before="0" w:after="283"/>
              <w:jc w:val="right"/>
              <w:rPr/>
            </w:pPr>
            <w:r>
              <w:rPr/>
              <w:t> </w:t>
            </w:r>
          </w:p>
        </w:tc>
        <w:tc>
          <w:tcPr>
            <w:tcW w:w="79"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60" w:after="6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7"/>
        <w:gridCol w:w="245"/>
        <w:gridCol w:w="9923"/>
      </w:tblGrid>
      <w:tr>
        <w:trPr/>
        <w:tc>
          <w:tcPr>
            <w:tcW w:w="3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pPr>
            <w:r>
              <w:rPr/>
              <w:t>(a)</w:t>
            </w:r>
          </w:p>
        </w:tc>
        <w:tc>
          <w:tcPr>
            <w:tcW w:w="9923" w:type="dxa"/>
            <w:tcBorders/>
            <w:shd w:fill="auto" w:val="clear"/>
            <w:vAlign w:val="center"/>
          </w:tcPr>
          <w:p>
            <w:pPr>
              <w:pStyle w:val="TableContents"/>
              <w:spacing w:before="0" w:after="283"/>
              <w:jc w:val="both"/>
              <w:rPr/>
            </w:pPr>
            <w:r>
              <w:rPr/>
              <w:t>For purposes of this press release table, all references to "Net income" refer to the financial statement line item "Net income attributable to Waste Management, Inc."</w:t>
            </w:r>
          </w:p>
        </w:tc>
      </w:tr>
    </w:tbl>
    <w:tbl>
      <w:tblPr>
        <w:tblW w:w="5000" w:type="pct"/>
        <w:jc w:val="left"/>
        <w:tblInd w:w="0" w:type="dxa"/>
        <w:tblCellMar>
          <w:top w:w="0" w:type="dxa"/>
          <w:left w:w="0" w:type="dxa"/>
          <w:bottom w:w="0" w:type="dxa"/>
          <w:right w:w="0" w:type="dxa"/>
        </w:tblCellMar>
      </w:tblPr>
      <w:tblGrid>
        <w:gridCol w:w="37"/>
        <w:gridCol w:w="233"/>
        <w:gridCol w:w="9935"/>
      </w:tblGrid>
      <w:tr>
        <w:trPr/>
        <w:tc>
          <w:tcPr>
            <w:tcW w:w="3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pPr>
            <w:r>
              <w:rPr/>
              <w:t>(b)</w:t>
            </w:r>
          </w:p>
        </w:tc>
        <w:tc>
          <w:tcPr>
            <w:tcW w:w="9935" w:type="dxa"/>
            <w:tcBorders/>
            <w:shd w:fill="auto" w:val="clear"/>
            <w:vAlign w:val="center"/>
          </w:tcPr>
          <w:p>
            <w:pPr>
              <w:pStyle w:val="TableContents"/>
              <w:spacing w:before="0" w:after="283"/>
              <w:jc w:val="both"/>
              <w:rPr/>
            </w:pPr>
            <w:r>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first quarter 2023 and 2022 adjusted effective tax rates were 23.6% and 23.5%, respectively.</w:t>
            </w:r>
          </w:p>
        </w:tc>
      </w:tr>
    </w:tbl>
    <w:tbl>
      <w:tblPr>
        <w:tblW w:w="5000" w:type="pct"/>
        <w:jc w:val="left"/>
        <w:tblInd w:w="0" w:type="dxa"/>
        <w:tblCellMar>
          <w:top w:w="0" w:type="dxa"/>
          <w:left w:w="0" w:type="dxa"/>
          <w:bottom w:w="0" w:type="dxa"/>
          <w:right w:w="0" w:type="dxa"/>
        </w:tblCellMar>
      </w:tblPr>
      <w:tblGrid>
        <w:gridCol w:w="37"/>
        <w:gridCol w:w="244"/>
        <w:gridCol w:w="9924"/>
      </w:tblGrid>
      <w:tr>
        <w:trPr/>
        <w:tc>
          <w:tcPr>
            <w:tcW w:w="3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pPr>
            <w:r>
              <w:rPr/>
              <w:t>(c)</w:t>
            </w:r>
          </w:p>
        </w:tc>
        <w:tc>
          <w:tcPr>
            <w:tcW w:w="9924" w:type="dxa"/>
            <w:tcBorders/>
            <w:shd w:fill="auto" w:val="clear"/>
            <w:vAlign w:val="center"/>
          </w:tcPr>
          <w:p>
            <w:pPr>
              <w:pStyle w:val="TableContents"/>
              <w:spacing w:before="0" w:after="283"/>
              <w:jc w:val="both"/>
              <w:rPr/>
            </w:pPr>
            <w:r>
              <w:rPr/>
              <w:t>Includes a $17 million charge to increase the recorded liability for a subsidiary’s estimated potential share of a proposed environmental remediation plan at a closed site.</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36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CERTAIN NON-GAAP MEASURES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9925" w:type="dxa"/>
        <w:jc w:val="left"/>
        <w:tblInd w:w="0" w:type="dxa"/>
        <w:tblCellMar>
          <w:top w:w="0" w:type="dxa"/>
          <w:left w:w="0" w:type="dxa"/>
          <w:bottom w:w="0" w:type="dxa"/>
          <w:right w:w="0" w:type="dxa"/>
        </w:tblCellMar>
      </w:tblPr>
      <w:tblGrid>
        <w:gridCol w:w="6005"/>
        <w:gridCol w:w="60"/>
        <w:gridCol w:w="142"/>
        <w:gridCol w:w="553"/>
        <w:gridCol w:w="91"/>
        <w:gridCol w:w="68"/>
        <w:gridCol w:w="112"/>
        <w:gridCol w:w="717"/>
        <w:gridCol w:w="215"/>
        <w:gridCol w:w="60"/>
        <w:gridCol w:w="144"/>
        <w:gridCol w:w="561"/>
        <w:gridCol w:w="69"/>
        <w:gridCol w:w="69"/>
        <w:gridCol w:w="112"/>
        <w:gridCol w:w="717"/>
        <w:gridCol w:w="230"/>
      </w:tblGrid>
      <w:tr>
        <w:trPr/>
        <w:tc>
          <w:tcPr>
            <w:tcW w:w="6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630" w:type="dxa"/>
            <w:gridSpan w:val="14"/>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83"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tc>
        <w:tc>
          <w:tcPr>
            <w:tcW w:w="21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72"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95" w:type="dxa"/>
            <w:gridSpan w:val="2"/>
            <w:tcBorders/>
            <w:shd w:fill="auto" w:val="clear"/>
            <w:vAlign w:val="center"/>
          </w:tcPr>
          <w:p>
            <w:pPr>
              <w:pStyle w:val="TableContents"/>
              <w:spacing w:before="0" w:after="283"/>
              <w:jc w:val="center"/>
              <w:rPr/>
            </w:pPr>
            <w:r>
              <w:rPr/>
              <w:t> </w:t>
            </w:r>
          </w:p>
        </w:tc>
        <w:tc>
          <w:tcPr>
            <w:tcW w:w="91"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829" w:type="dxa"/>
            <w:gridSpan w:val="2"/>
            <w:tcBorders/>
            <w:shd w:fill="auto" w:val="clear"/>
            <w:vAlign w:val="center"/>
          </w:tcPr>
          <w:p>
            <w:pPr>
              <w:pStyle w:val="TableContents"/>
              <w:spacing w:before="0" w:after="283"/>
              <w:jc w:val="center"/>
              <w:rPr>
                <w:b/>
                <w:sz w:val="20"/>
              </w:rPr>
            </w:pPr>
            <w:r>
              <w:rPr>
                <w:b/>
                <w:sz w:val="20"/>
              </w:rPr>
              <w:t>As a % of</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5" w:type="dxa"/>
            <w:gridSpan w:val="2"/>
            <w:tcBorders/>
            <w:shd w:fill="auto" w:val="clear"/>
            <w:vAlign w:val="center"/>
          </w:tcPr>
          <w:p>
            <w:pPr>
              <w:pStyle w:val="TableContents"/>
              <w:spacing w:before="0" w:after="283"/>
              <w:jc w:val="center"/>
              <w:rPr/>
            </w:pPr>
            <w:r>
              <w:rPr/>
              <w:t> </w:t>
            </w:r>
          </w:p>
        </w:tc>
        <w:tc>
          <w:tcPr>
            <w:tcW w:w="69"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caps w:val="false"/>
                <w:smallCaps w:val="false"/>
              </w:rPr>
            </w:pPr>
            <w:r>
              <w:rPr>
                <w:caps w:val="false"/>
                <w:smallCaps w:val="false"/>
              </w:rPr>
              <w:t> </w:t>
            </w:r>
          </w:p>
        </w:tc>
        <w:tc>
          <w:tcPr>
            <w:tcW w:w="829" w:type="dxa"/>
            <w:gridSpan w:val="2"/>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 of</w:t>
            </w:r>
          </w:p>
        </w:tc>
        <w:tc>
          <w:tcPr>
            <w:tcW w:w="23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1" w:type="dxa"/>
            <w:tcBorders/>
            <w:shd w:fill="auto" w:val="clear"/>
            <w:vAlign w:val="center"/>
          </w:tcPr>
          <w:p>
            <w:pPr>
              <w:pStyle w:val="TableContents"/>
              <w:spacing w:before="0" w:after="283"/>
              <w:rPr>
                <w:caps w:val="false"/>
                <w:smallCaps w:val="false"/>
              </w:rPr>
            </w:pPr>
            <w:r>
              <w:rPr>
                <w:caps w:val="false"/>
                <w:smallCaps w:val="false"/>
              </w:rPr>
              <w:t> </w:t>
            </w:r>
          </w:p>
        </w:tc>
        <w:tc>
          <w:tcPr>
            <w:tcW w:w="68" w:type="dxa"/>
            <w:tcBorders/>
            <w:shd w:fill="auto" w:val="clear"/>
            <w:vAlign w:val="center"/>
          </w:tcPr>
          <w:p>
            <w:pPr>
              <w:pStyle w:val="TableContents"/>
              <w:spacing w:before="0" w:after="283"/>
              <w:rPr>
                <w:caps w:val="false"/>
                <w:smallCaps w:val="false"/>
              </w:rPr>
            </w:pPr>
            <w:r>
              <w:rPr>
                <w:caps w:val="false"/>
                <w:smallCaps w:val="false"/>
              </w:rPr>
              <w:t> </w:t>
            </w:r>
          </w:p>
        </w:tc>
        <w:tc>
          <w:tcPr>
            <w:tcW w:w="82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21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0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69" w:type="dxa"/>
            <w:tcBorders/>
            <w:shd w:fill="auto" w:val="clear"/>
            <w:vAlign w:val="center"/>
          </w:tcPr>
          <w:p>
            <w:pPr>
              <w:pStyle w:val="TableContents"/>
              <w:spacing w:before="0" w:after="283"/>
              <w:rPr>
                <w:caps w:val="false"/>
                <w:smallCaps w:val="false"/>
              </w:rPr>
            </w:pPr>
            <w:r>
              <w:rPr>
                <w:caps w:val="false"/>
                <w:smallCaps w:val="false"/>
              </w:rPr>
              <w:t> </w:t>
            </w:r>
          </w:p>
        </w:tc>
        <w:tc>
          <w:tcPr>
            <w:tcW w:w="69" w:type="dxa"/>
            <w:tcBorders/>
            <w:shd w:fill="auto" w:val="clear"/>
            <w:vAlign w:val="center"/>
          </w:tcPr>
          <w:p>
            <w:pPr>
              <w:pStyle w:val="TableContents"/>
              <w:spacing w:before="0" w:after="283"/>
              <w:rPr>
                <w:caps w:val="false"/>
                <w:smallCaps w:val="false"/>
              </w:rPr>
            </w:pPr>
            <w:r>
              <w:rPr>
                <w:caps w:val="false"/>
                <w:smallCaps w:val="false"/>
              </w:rPr>
              <w:t> </w:t>
            </w:r>
          </w:p>
        </w:tc>
        <w:tc>
          <w:tcPr>
            <w:tcW w:w="82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230" w:type="dxa"/>
            <w:tcBorders/>
            <w:shd w:fill="auto" w:val="clear"/>
            <w:vAlign w:val="center"/>
          </w:tcPr>
          <w:p>
            <w:pPr>
              <w:pStyle w:val="TableContents"/>
              <w:spacing w:before="0" w:after="283"/>
              <w:ind w:left="0" w:right="0" w:hanging="144"/>
              <w:rPr>
                <w:caps w:val="false"/>
                <w:smallCaps w:val="false"/>
              </w:rPr>
            </w:pPr>
            <w:r>
              <w:rPr>
                <w:caps w:val="false"/>
                <w:smallCaps w:val="false"/>
              </w:rPr>
              <w:t> </w:t>
            </w:r>
          </w:p>
        </w:tc>
      </w:tr>
      <w:tr>
        <w:trPr/>
        <w:tc>
          <w:tcPr>
            <w:tcW w:w="6005" w:type="dxa"/>
            <w:tcBorders/>
            <w:shd w:fill="CCEEFF" w:val="clear"/>
            <w:vAlign w:val="center"/>
          </w:tcPr>
          <w:p>
            <w:pPr>
              <w:pStyle w:val="TableContents"/>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Operating Expenses and Adjusted Operating Expenses Margin</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jc w:val="left"/>
              <w:rPr/>
            </w:pPr>
            <w:r>
              <w:rPr/>
              <w:t> </w:t>
            </w:r>
          </w:p>
        </w:tc>
        <w:tc>
          <w:tcPr>
            <w:tcW w:w="553" w:type="dxa"/>
            <w:tcBorders/>
            <w:shd w:fill="CCEEFF" w:val="clear"/>
            <w:vAlign w:val="center"/>
          </w:tcPr>
          <w:p>
            <w:pPr>
              <w:pStyle w:val="TableContents"/>
              <w:spacing w:before="0" w:after="283"/>
              <w:jc w:val="right"/>
              <w:rPr/>
            </w:pPr>
            <w:r>
              <w:rPr/>
              <w:t> </w:t>
            </w:r>
          </w:p>
        </w:tc>
        <w:tc>
          <w:tcPr>
            <w:tcW w:w="91" w:type="dxa"/>
            <w:tcBorders/>
            <w:shd w:fill="CCEEFF" w:val="clear"/>
            <w:vAlign w:val="center"/>
          </w:tcPr>
          <w:p>
            <w:pPr>
              <w:pStyle w:val="TableContents"/>
              <w:spacing w:before="0" w:after="283"/>
              <w:jc w:val="left"/>
              <w:rPr/>
            </w:pPr>
            <w:r>
              <w:rPr/>
              <w:t> </w:t>
            </w:r>
          </w:p>
        </w:tc>
        <w:tc>
          <w:tcPr>
            <w:tcW w:w="68"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283"/>
              <w:jc w:val="left"/>
              <w:rPr/>
            </w:pPr>
            <w:r>
              <w:rPr/>
              <w:t> </w:t>
            </w:r>
          </w:p>
        </w:tc>
        <w:tc>
          <w:tcPr>
            <w:tcW w:w="717"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9"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283"/>
              <w:jc w:val="left"/>
              <w:rPr/>
            </w:pPr>
            <w:r>
              <w:rPr/>
              <w:t> </w:t>
            </w:r>
          </w:p>
        </w:tc>
        <w:tc>
          <w:tcPr>
            <w:tcW w:w="717"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6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jc w:val="left"/>
              <w:rPr/>
            </w:pPr>
            <w:r>
              <w:rPr/>
              <w:t> </w:t>
            </w:r>
          </w:p>
        </w:tc>
        <w:tc>
          <w:tcPr>
            <w:tcW w:w="553"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9" w:type="dxa"/>
            <w:tcBorders/>
            <w:shd w:fill="FFFFFF" w:val="clear"/>
            <w:vAlign w:val="center"/>
          </w:tcPr>
          <w:p>
            <w:pPr>
              <w:pStyle w:val="TableContents"/>
              <w:spacing w:before="0" w:after="283"/>
              <w:jc w:val="left"/>
              <w:rPr/>
            </w:pPr>
            <w:r>
              <w:rPr/>
              <w:t> </w:t>
            </w:r>
          </w:p>
        </w:tc>
        <w:tc>
          <w:tcPr>
            <w:tcW w:w="69"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60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revenues, as reported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3"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4,892</w:t>
            </w:r>
          </w:p>
        </w:tc>
        <w:tc>
          <w:tcPr>
            <w:tcW w:w="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283"/>
              <w:jc w:val="left"/>
              <w:rPr/>
            </w:pPr>
            <w:r>
              <w:rPr/>
              <w:t> </w:t>
            </w:r>
          </w:p>
        </w:tc>
        <w:tc>
          <w:tcPr>
            <w:tcW w:w="717"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4,661</w:t>
            </w:r>
          </w:p>
        </w:tc>
        <w:tc>
          <w:tcPr>
            <w:tcW w:w="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283"/>
              <w:jc w:val="left"/>
              <w:rPr/>
            </w:pPr>
            <w:r>
              <w:rPr/>
              <w:t> </w:t>
            </w:r>
          </w:p>
        </w:tc>
        <w:tc>
          <w:tcPr>
            <w:tcW w:w="717"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60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jc w:val="left"/>
              <w:rPr/>
            </w:pPr>
            <w:r>
              <w:rPr/>
              <w:t> </w:t>
            </w:r>
          </w:p>
        </w:tc>
        <w:tc>
          <w:tcPr>
            <w:tcW w:w="553"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9" w:type="dxa"/>
            <w:tcBorders/>
            <w:shd w:fill="FFFFFF" w:val="clear"/>
            <w:vAlign w:val="center"/>
          </w:tcPr>
          <w:p>
            <w:pPr>
              <w:pStyle w:val="TableContents"/>
              <w:spacing w:before="0" w:after="283"/>
              <w:jc w:val="left"/>
              <w:rPr/>
            </w:pPr>
            <w:r>
              <w:rPr/>
              <w:t> </w:t>
            </w:r>
          </w:p>
        </w:tc>
        <w:tc>
          <w:tcPr>
            <w:tcW w:w="69"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60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 as reported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3"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3,086</w:t>
            </w:r>
          </w:p>
        </w:tc>
        <w:tc>
          <w:tcPr>
            <w:tcW w:w="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1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63.1</w:t>
            </w:r>
          </w:p>
        </w:tc>
        <w:tc>
          <w:tcPr>
            <w:tcW w:w="21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4"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61"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2,903</w:t>
            </w:r>
          </w:p>
        </w:tc>
        <w:tc>
          <w:tcPr>
            <w:tcW w:w="6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spacing w:before="0" w:after="283"/>
              <w:rPr>
                <w:caps w:val="false"/>
                <w:smallCaps w:val="false"/>
              </w:rPr>
            </w:pPr>
            <w:r>
              <w:rPr>
                <w:caps w:val="false"/>
                <w:smallCaps w:val="false"/>
              </w:rPr>
              <w:t> </w:t>
            </w:r>
          </w:p>
        </w:tc>
        <w:tc>
          <w:tcPr>
            <w:tcW w:w="11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w:t>
            </w:r>
          </w:p>
        </w:tc>
        <w:tc>
          <w:tcPr>
            <w:tcW w:w="23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00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jc w:val="left"/>
              <w:rPr/>
            </w:pPr>
            <w:r>
              <w:rPr/>
              <w:t> </w:t>
            </w:r>
          </w:p>
        </w:tc>
        <w:tc>
          <w:tcPr>
            <w:tcW w:w="553" w:type="dxa"/>
            <w:tcBorders/>
            <w:shd w:fill="FFFFFF" w:val="clear"/>
            <w:vAlign w:val="center"/>
          </w:tcPr>
          <w:p>
            <w:pPr>
              <w:pStyle w:val="TableContents"/>
              <w:spacing w:before="0" w:after="283"/>
              <w:jc w:val="right"/>
              <w:rPr/>
            </w:pPr>
            <w:r>
              <w:rPr/>
              <w:t> </w:t>
            </w:r>
          </w:p>
        </w:tc>
        <w:tc>
          <w:tcPr>
            <w:tcW w:w="91" w:type="dxa"/>
            <w:tcBorders/>
            <w:shd w:fill="FFFFFF" w:val="clear"/>
            <w:vAlign w:val="center"/>
          </w:tcPr>
          <w:p>
            <w:pPr>
              <w:pStyle w:val="TableContents"/>
              <w:spacing w:before="0" w:after="283"/>
              <w:jc w:val="left"/>
              <w:rPr/>
            </w:pPr>
            <w:r>
              <w:rPr/>
              <w:t> </w:t>
            </w:r>
          </w:p>
        </w:tc>
        <w:tc>
          <w:tcPr>
            <w:tcW w:w="6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9" w:type="dxa"/>
            <w:tcBorders/>
            <w:shd w:fill="FFFFFF" w:val="clear"/>
            <w:vAlign w:val="center"/>
          </w:tcPr>
          <w:p>
            <w:pPr>
              <w:pStyle w:val="TableContents"/>
              <w:spacing w:before="0" w:after="283"/>
              <w:jc w:val="left"/>
              <w:rPr/>
            </w:pPr>
            <w:r>
              <w:rPr/>
              <w:t> </w:t>
            </w:r>
          </w:p>
        </w:tc>
        <w:tc>
          <w:tcPr>
            <w:tcW w:w="69"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60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Labor dispute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5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283"/>
              <w:jc w:val="left"/>
              <w:rPr/>
            </w:pPr>
            <w:r>
              <w:rPr/>
              <w:t> </w:t>
            </w:r>
          </w:p>
        </w:tc>
        <w:tc>
          <w:tcPr>
            <w:tcW w:w="717"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9"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283"/>
              <w:jc w:val="left"/>
              <w:rPr/>
            </w:pPr>
            <w:r>
              <w:rPr/>
              <w:t> </w:t>
            </w:r>
          </w:p>
        </w:tc>
        <w:tc>
          <w:tcPr>
            <w:tcW w:w="717"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60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legacy loss contingency reserve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53" w:type="dxa"/>
            <w:tcBorders>
              <w:bottom w:val="single" w:sz="8"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1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4" w:type="dxa"/>
            <w:tcBorders/>
            <w:shd w:fill="FFFFFF" w:val="clear"/>
            <w:vAlign w:val="center"/>
          </w:tcPr>
          <w:p>
            <w:pPr>
              <w:pStyle w:val="TableContents"/>
              <w:spacing w:before="0" w:after="283"/>
              <w:jc w:val="left"/>
              <w:rPr/>
            </w:pPr>
            <w:r>
              <w:rPr/>
              <w:t> </w:t>
            </w:r>
          </w:p>
        </w:tc>
        <w:tc>
          <w:tcPr>
            <w:tcW w:w="561" w:type="dxa"/>
            <w:tcBorders/>
            <w:shd w:fill="FFFFFF" w:val="clear"/>
            <w:vAlign w:val="center"/>
          </w:tcPr>
          <w:p>
            <w:pPr>
              <w:pStyle w:val="TableContents"/>
              <w:spacing w:before="0" w:after="283"/>
              <w:jc w:val="right"/>
              <w:rPr/>
            </w:pPr>
            <w:r>
              <w:rPr/>
              <w:t> </w:t>
            </w:r>
          </w:p>
        </w:tc>
        <w:tc>
          <w:tcPr>
            <w:tcW w:w="69" w:type="dxa"/>
            <w:tcBorders/>
            <w:shd w:fill="FFFFFF" w:val="clear"/>
            <w:vAlign w:val="center"/>
          </w:tcPr>
          <w:p>
            <w:pPr>
              <w:pStyle w:val="TableContents"/>
              <w:spacing w:before="0" w:after="283"/>
              <w:jc w:val="left"/>
              <w:rPr/>
            </w:pPr>
            <w:r>
              <w:rPr/>
              <w:t> </w:t>
            </w:r>
          </w:p>
        </w:tc>
        <w:tc>
          <w:tcPr>
            <w:tcW w:w="69" w:type="dxa"/>
            <w:tcBorders/>
            <w:shd w:fill="FFFFFF" w:val="clear"/>
            <w:vAlign w:val="center"/>
          </w:tcPr>
          <w:p>
            <w:pPr>
              <w:pStyle w:val="TableContents"/>
              <w:spacing w:before="0" w:after="283"/>
              <w:rPr/>
            </w:pPr>
            <w:r>
              <w:rPr/>
              <w:t> </w:t>
            </w:r>
          </w:p>
        </w:tc>
        <w:tc>
          <w:tcPr>
            <w:tcW w:w="112" w:type="dxa"/>
            <w:tcBorders/>
            <w:shd w:fill="FFFFFF" w:val="clear"/>
            <w:vAlign w:val="center"/>
          </w:tcPr>
          <w:p>
            <w:pPr>
              <w:pStyle w:val="TableContents"/>
              <w:spacing w:before="0" w:after="283"/>
              <w:jc w:val="left"/>
              <w:rPr/>
            </w:pPr>
            <w:r>
              <w:rPr/>
              <w:t> </w:t>
            </w:r>
          </w:p>
        </w:tc>
        <w:tc>
          <w:tcPr>
            <w:tcW w:w="717" w:type="dxa"/>
            <w:tcBorders/>
            <w:shd w:fill="FFFFFF" w:val="clear"/>
            <w:vAlign w:val="center"/>
          </w:tcPr>
          <w:p>
            <w:pPr>
              <w:pStyle w:val="TableContents"/>
              <w:spacing w:before="0" w:after="283"/>
              <w:jc w:val="right"/>
              <w:rPr/>
            </w:pPr>
            <w:r>
              <w:rPr/>
              <w:t> </w:t>
            </w:r>
          </w:p>
        </w:tc>
        <w:tc>
          <w:tcPr>
            <w:tcW w:w="230" w:type="dxa"/>
            <w:tcBorders/>
            <w:shd w:fill="FFFFFF" w:val="clear"/>
            <w:vAlign w:val="center"/>
          </w:tcPr>
          <w:p>
            <w:pPr>
              <w:pStyle w:val="TableContents"/>
              <w:spacing w:before="0" w:after="283"/>
              <w:jc w:val="left"/>
              <w:rPr/>
            </w:pPr>
            <w:r>
              <w:rPr/>
              <w:t> </w:t>
            </w:r>
          </w:p>
        </w:tc>
      </w:tr>
      <w:tr>
        <w:trPr/>
        <w:tc>
          <w:tcPr>
            <w:tcW w:w="60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 as adjusted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5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3,083</w:t>
            </w:r>
          </w:p>
        </w:tc>
        <w:tc>
          <w:tcPr>
            <w:tcW w:w="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spacing w:before="0" w:after="283"/>
              <w:rPr>
                <w:caps w:val="false"/>
                <w:smallCaps w:val="false"/>
              </w:rPr>
            </w:pPr>
            <w:r>
              <w:rPr>
                <w:caps w:val="false"/>
                <w:smallCaps w:val="false"/>
              </w:rPr>
              <w:t> </w:t>
            </w:r>
          </w:p>
        </w:tc>
        <w:tc>
          <w:tcPr>
            <w:tcW w:w="11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7"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63.0</w:t>
            </w:r>
          </w:p>
        </w:tc>
        <w:tc>
          <w:tcPr>
            <w:tcW w:w="21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pPr>
            <w:r>
              <w:rPr/>
              <w:t> </w:t>
            </w:r>
          </w:p>
        </w:tc>
        <w:tc>
          <w:tcPr>
            <w:tcW w:w="144" w:type="dxa"/>
            <w:tcBorders/>
            <w:shd w:fill="CCEEFF" w:val="clear"/>
            <w:vAlign w:val="center"/>
          </w:tcPr>
          <w:p>
            <w:pPr>
              <w:pStyle w:val="TableContents"/>
              <w:spacing w:before="0" w:after="283"/>
              <w:jc w:val="left"/>
              <w:rPr/>
            </w:pPr>
            <w:r>
              <w:rPr/>
              <w:t> </w:t>
            </w:r>
          </w:p>
        </w:tc>
        <w:tc>
          <w:tcPr>
            <w:tcW w:w="561" w:type="dxa"/>
            <w:tcBorders/>
            <w:shd w:fill="CCEEFF" w:val="clear"/>
            <w:vAlign w:val="center"/>
          </w:tcPr>
          <w:p>
            <w:pPr>
              <w:pStyle w:val="TableContents"/>
              <w:spacing w:before="0" w:after="283"/>
              <w:jc w:val="right"/>
              <w:rPr/>
            </w:pPr>
            <w:r>
              <w:rPr/>
              <w:t> </w:t>
            </w:r>
          </w:p>
        </w:tc>
        <w:tc>
          <w:tcPr>
            <w:tcW w:w="69" w:type="dxa"/>
            <w:tcBorders/>
            <w:shd w:fill="CCEEFF" w:val="clear"/>
            <w:vAlign w:val="center"/>
          </w:tcPr>
          <w:p>
            <w:pPr>
              <w:pStyle w:val="TableContents"/>
              <w:spacing w:before="0" w:after="283"/>
              <w:jc w:val="left"/>
              <w:rPr/>
            </w:pPr>
            <w:r>
              <w:rPr/>
              <w:t> </w:t>
            </w:r>
          </w:p>
        </w:tc>
        <w:tc>
          <w:tcPr>
            <w:tcW w:w="69" w:type="dxa"/>
            <w:tcBorders/>
            <w:shd w:fill="CCEEFF" w:val="clear"/>
            <w:vAlign w:val="center"/>
          </w:tcPr>
          <w:p>
            <w:pPr>
              <w:pStyle w:val="TableContents"/>
              <w:spacing w:before="0" w:after="283"/>
              <w:rPr/>
            </w:pPr>
            <w:r>
              <w:rPr/>
              <w:t> </w:t>
            </w:r>
          </w:p>
        </w:tc>
        <w:tc>
          <w:tcPr>
            <w:tcW w:w="112" w:type="dxa"/>
            <w:tcBorders/>
            <w:shd w:fill="CCEEFF" w:val="clear"/>
            <w:vAlign w:val="center"/>
          </w:tcPr>
          <w:p>
            <w:pPr>
              <w:pStyle w:val="TableContents"/>
              <w:spacing w:before="0" w:after="283"/>
              <w:jc w:val="left"/>
              <w:rPr/>
            </w:pPr>
            <w:r>
              <w:rPr/>
              <w:t> </w:t>
            </w:r>
          </w:p>
        </w:tc>
        <w:tc>
          <w:tcPr>
            <w:tcW w:w="717"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bl>
    <w:p>
      <w:pPr>
        <w:pStyle w:val="TextBody"/>
        <w:rPr/>
      </w:pPr>
      <w:r>
        <w:rPr/>
        <w:t> </w:t>
      </w:r>
    </w:p>
    <w:tbl>
      <w:tblPr>
        <w:tblW w:w="8423" w:type="dxa"/>
        <w:jc w:val="left"/>
        <w:tblInd w:w="0" w:type="dxa"/>
        <w:tblCellMar>
          <w:top w:w="0" w:type="dxa"/>
          <w:left w:w="0" w:type="dxa"/>
          <w:bottom w:w="28" w:type="dxa"/>
          <w:right w:w="0" w:type="dxa"/>
        </w:tblCellMar>
      </w:tblPr>
      <w:tblGrid>
        <w:gridCol w:w="6290"/>
        <w:gridCol w:w="60"/>
        <w:gridCol w:w="170"/>
        <w:gridCol w:w="749"/>
        <w:gridCol w:w="80"/>
        <w:gridCol w:w="60"/>
        <w:gridCol w:w="170"/>
        <w:gridCol w:w="749"/>
        <w:gridCol w:w="95"/>
      </w:tblGrid>
      <w:tr>
        <w:trPr/>
        <w:tc>
          <w:tcPr>
            <w:tcW w:w="6290" w:type="dxa"/>
            <w:tcBorders>
              <w:bottom w:val="single" w:sz="8" w:space="0" w:color="000000"/>
            </w:tcBorders>
            <w:shd w:fill="auto" w:val="clear"/>
            <w:vAlign w:val="center"/>
          </w:tcPr>
          <w:p>
            <w:pPr>
              <w:pStyle w:val="TableContents"/>
              <w:spacing w:before="0" w:after="283"/>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Projected Free Cash Flow Reconciliation</w:t>
            </w:r>
            <w:r>
              <w:rPr>
                <w:rFonts w:ascii="Times New Roman;Times;Serif" w:hAnsi="Times New Roman;Times;Serif"/>
                <w:b/>
                <w:i/>
                <w:caps w:val="false"/>
                <w:smallCaps w:val="false"/>
                <w:position w:val="7"/>
                <w:sz w:val="16"/>
                <w:sz w:val="20"/>
              </w:rPr>
              <w:t>(a)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 1</w:t>
            </w:r>
          </w:p>
        </w:tc>
        <w:tc>
          <w:tcPr>
            <w:tcW w:w="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9"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Scenario 2</w:t>
            </w:r>
          </w:p>
        </w:tc>
        <w:tc>
          <w:tcPr>
            <w:tcW w:w="9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62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4,725</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629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to support the business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4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(2,015</w:t>
            </w:r>
          </w:p>
        </w:tc>
        <w:tc>
          <w:tcPr>
            <w:tcW w:w="80"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4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w:t>
            </w:r>
          </w:p>
        </w:tc>
        <w:tc>
          <w:tcPr>
            <w:tcW w:w="95" w:type="dxa"/>
            <w:tcBorders/>
            <w:shd w:fill="FFFFFF" w:val="clear"/>
            <w:tcMar>
              <w:bottom w:w="0" w:type="dxa"/>
            </w:tcMar>
            <w:vAlign w:val="center"/>
          </w:tcPr>
          <w:p>
            <w:pPr>
              <w:pStyle w:val="TableContents"/>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divestitures of businesses and other assets, net of cash divested</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6290" w:type="dxa"/>
            <w:tcBorders/>
            <w:shd w:fill="FFFF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 without sustainability growth investments</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shd w:fill="FFFF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2,600</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shd w:fill="FFFF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shd w:fill="FFFF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2,700</w:t>
            </w:r>
          </w:p>
        </w:tc>
        <w:tc>
          <w:tcPr>
            <w:tcW w:w="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62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 sustainability growth investments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bottom w:val="single" w:sz="8"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749"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9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90" w:type="dxa"/>
            <w:tcBorders/>
            <w:shd w:fill="FFFF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Free cash flow</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0" w:type="dxa"/>
            <w:tcBorders>
              <w:bottom w:val="double" w:sz="6" w:space="0" w:color="000000"/>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9"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w:t>
            </w:r>
          </w:p>
        </w:tc>
        <w:tc>
          <w:tcPr>
            <w:tcW w:w="9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60" w:after="60"/>
        <w:ind w:left="0" w:right="0" w:hanging="0"/>
        <w:rPr>
          <w:bdr w:val="single" w:sz="8" w:space="1" w:color="000000"/>
        </w:rPr>
      </w:pPr>
      <w:r>
        <w:rPr>
          <w:bdr w:val="single" w:sz="8"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reconciliation includes two scenarios that illustrate our projected free cash flow range for 2023. The amounts used in the reconciliation are subject to many variables, some of which are not under our control and, therefore, are not necessarily indicative of actual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WASTE MANAGEMENT,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INFORMATION PROVIDED FOR ILLUSTRATIVE PURPOSES ONLY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pStyle w:val="TextBody"/>
        <w:spacing w:before="0" w:after="0"/>
        <w:ind w:left="0" w:right="0" w:firstLine="360"/>
        <w:jc w:val="both"/>
        <w:rPr>
          <w:caps w:val="false"/>
          <w:smallCaps w:val="false"/>
        </w:rPr>
      </w:pPr>
      <w:r>
        <w:rPr>
          <w:caps w:val="false"/>
          <w:smallCaps w:val="false"/>
        </w:rPr>
        <w:t> </w:t>
      </w:r>
    </w:p>
    <w:tbl>
      <w:tblPr>
        <w:tblW w:w="7664" w:type="dxa"/>
        <w:jc w:val="left"/>
        <w:tblInd w:w="0" w:type="dxa"/>
        <w:tblCellMar>
          <w:top w:w="0" w:type="dxa"/>
          <w:left w:w="0" w:type="dxa"/>
          <w:bottom w:w="0" w:type="dxa"/>
          <w:right w:w="0" w:type="dxa"/>
        </w:tblCellMar>
      </w:tblPr>
      <w:tblGrid>
        <w:gridCol w:w="2465"/>
        <w:gridCol w:w="60"/>
        <w:gridCol w:w="188"/>
        <w:gridCol w:w="507"/>
        <w:gridCol w:w="78"/>
        <w:gridCol w:w="78"/>
        <w:gridCol w:w="260"/>
        <w:gridCol w:w="1199"/>
        <w:gridCol w:w="241"/>
        <w:gridCol w:w="78"/>
        <w:gridCol w:w="188"/>
        <w:gridCol w:w="507"/>
        <w:gridCol w:w="78"/>
        <w:gridCol w:w="78"/>
        <w:gridCol w:w="260"/>
        <w:gridCol w:w="1199"/>
        <w:gridCol w:w="200"/>
      </w:tblGrid>
      <w:tr>
        <w:trPr/>
        <w:tc>
          <w:tcPr>
            <w:tcW w:w="24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939" w:type="dxa"/>
            <w:gridSpan w:val="14"/>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1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41" w:type="dxa"/>
            <w:tcBorders/>
            <w:shd w:fill="auto" w:val="clear"/>
            <w:vAlign w:val="center"/>
          </w:tcPr>
          <w:p>
            <w:pPr>
              <w:pStyle w:val="TableContents"/>
              <w:spacing w:before="0" w:after="283"/>
              <w:rPr>
                <w:caps w:val="false"/>
                <w:smallCaps w:val="false"/>
              </w:rPr>
            </w:pPr>
            <w:r>
              <w:rPr>
                <w:caps w:val="false"/>
                <w:smallCaps w:val="false"/>
              </w:rPr>
              <w:t> </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c>
          <w:tcPr>
            <w:tcW w:w="2310" w:type="dxa"/>
            <w:gridSpan w:val="6"/>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c>
          <w:tcPr>
            <w:tcW w:w="14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in </w:t>
              <w:br/>
              <w:t xml:space="preserve">Adjusted </w:t>
              <w:br/>
              <w:t xml:space="preserve">Operating </w:t>
              <w:br/>
              <w:t>EBITDA Margin</w:t>
            </w:r>
          </w:p>
        </w:tc>
        <w:tc>
          <w:tcPr>
            <w:tcW w:w="241" w:type="dxa"/>
            <w:tcBorders/>
            <w:shd w:fill="auto" w:val="clear"/>
            <w:vAlign w:val="center"/>
          </w:tcPr>
          <w:p>
            <w:pPr>
              <w:pStyle w:val="TableContents"/>
              <w:spacing w:before="0" w:after="283"/>
              <w:rPr>
                <w:caps w:val="false"/>
                <w:smallCaps w:val="false"/>
              </w:rPr>
            </w:pPr>
            <w:r>
              <w:rPr>
                <w:caps w:val="false"/>
                <w:smallCaps w:val="false"/>
              </w:rPr>
              <w:t> </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c>
          <w:tcPr>
            <w:tcW w:w="695"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c>
          <w:tcPr>
            <w:tcW w:w="78" w:type="dxa"/>
            <w:tcBorders/>
            <w:shd w:fill="auto" w:val="clear"/>
            <w:vAlign w:val="center"/>
          </w:tcPr>
          <w:p>
            <w:pPr>
              <w:pStyle w:val="TableContents"/>
              <w:spacing w:before="0" w:after="283"/>
              <w:rPr>
                <w:caps w:val="false"/>
                <w:smallCaps w:val="false"/>
              </w:rPr>
            </w:pPr>
            <w:r>
              <w:rPr>
                <w:caps w:val="false"/>
                <w:smallCaps w:val="false"/>
              </w:rPr>
              <w:t> </w:t>
            </w:r>
          </w:p>
        </w:tc>
        <w:tc>
          <w:tcPr>
            <w:tcW w:w="1459" w:type="dxa"/>
            <w:gridSpan w:val="2"/>
            <w:tcBorders>
              <w:bottom w:val="single" w:sz="8"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br/>
              <w:t xml:space="preserve">Adjusted </w:t>
              <w:br/>
              <w:t xml:space="preserve">Operating </w:t>
              <w:br/>
              <w:t>EBITDA Margin</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Recycling commodity rebates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7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2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w:t>
            </w:r>
          </w:p>
        </w:tc>
        <w:tc>
          <w:tcPr>
            <w:tcW w:w="24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7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spacing w:before="0" w:after="283"/>
              <w:rPr>
                <w:caps w:val="false"/>
                <w:smallCaps w:val="false"/>
              </w:rPr>
            </w:pPr>
            <w:r>
              <w:rPr>
                <w:caps w:val="false"/>
                <w:smallCaps w:val="false"/>
              </w:rPr>
              <w:t> </w:t>
            </w:r>
          </w:p>
        </w:tc>
        <w:tc>
          <w:tcPr>
            <w:tcW w:w="2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9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7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24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0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7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spacing w:before="0" w:after="283"/>
              <w:rPr>
                <w:caps w:val="false"/>
                <w:smallCaps w:val="false"/>
              </w:rPr>
            </w:pPr>
            <w:r>
              <w:rPr>
                <w:caps w:val="false"/>
                <w:smallCaps w:val="false"/>
              </w:rPr>
              <w:t> </w:t>
            </w:r>
          </w:p>
        </w:tc>
        <w:tc>
          <w:tcPr>
            <w:tcW w:w="2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9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4610</Words>
  <CharactersWithSpaces>31011</CharactersWithSpaces>
  <Paragraphs>2643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