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28, 2012</w:t>
      </w:r>
    </w:p>
    <w:p>
      <w:pPr>
        <w:spacing w:after="0" w:line="23"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p>
      <w:pPr>
        <w:spacing w:after="0" w:line="271"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73-1309529</w:t>
      </w:r>
    </w:p>
    <w:p>
      <w:pPr>
        <w:spacing w:after="0" w:line="37" w:lineRule="exact"/>
        <w:rPr>
          <w:sz w:val="24"/>
          <w:szCs w:val="24"/>
          <w:color w:val="auto"/>
        </w:rPr>
      </w:pPr>
    </w:p>
    <w:p>
      <w:pPr>
        <w:sectPr>
          <w:pgSz w:w="11900" w:h="16838" w:orient="portrait"/>
          <w:cols w:equalWidth="0" w:num="2">
            <w:col w:w="7500" w:space="720"/>
            <w:col w:w="3140"/>
          </w:cols>
          <w:pgMar w:left="240" w:top="226" w:right="29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 w:lineRule="exact"/>
        <w:rPr>
          <w:sz w:val="24"/>
          <w:szCs w:val="24"/>
          <w:color w:val="auto"/>
        </w:rPr>
      </w:pPr>
    </w:p>
    <w:p>
      <w:pPr>
        <w:sectPr>
          <w:pgSz w:w="11900" w:h="16838" w:orient="portrait"/>
          <w:cols w:equalWidth="0" w:num="2">
            <w:col w:w="7400" w:space="720"/>
            <w:col w:w="3240"/>
          </w:cols>
          <w:pgMar w:left="240" w:top="226"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1001 Fannin Street, Suite 4000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512-6200</w:t>
      </w:r>
    </w:p>
    <w:p>
      <w:pPr>
        <w:sectPr>
          <w:pgSz w:w="11900" w:h="16838" w:orient="portrait"/>
          <w:cols w:equalWidth="0" w:num="1">
            <w:col w:w="11360"/>
          </w:cols>
          <w:pgMar w:left="240" w:top="226" w:right="299" w:bottom="1440" w:gutter="0" w:footer="0" w:header="0"/>
          <w:type w:val="continuous"/>
        </w:sectPr>
      </w:pP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1001 Fannin Street, Suite 4000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ind w:left="5580" w:hanging="415"/>
        <w:spacing w:after="0"/>
        <w:tabs>
          <w:tab w:leader="none" w:pos="5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512-6200</w:t>
      </w:r>
    </w:p>
    <w:p>
      <w:pPr>
        <w:spacing w:after="0" w:line="9" w:lineRule="exact"/>
        <w:rPr>
          <w:rFonts w:ascii="Times New Roman" w:cs="Times New Roman" w:eastAsia="Times New Roman" w:hAnsi="Times New Roman"/>
          <w:sz w:val="18"/>
          <w:szCs w:val="18"/>
          <w:b w:val="1"/>
          <w:bCs w:val="1"/>
          <w:color w:val="auto"/>
        </w:rPr>
      </w:pPr>
    </w:p>
    <w:p>
      <w:pPr>
        <w:ind w:left="4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Attention: General Counsel</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147" w:lineRule="exact"/>
        <w:rPr>
          <w:sz w:val="24"/>
          <w:szCs w:val="24"/>
          <w:color w:val="auto"/>
        </w:rPr>
      </w:pPr>
    </w:p>
    <w:p>
      <w:pPr>
        <w:ind w:left="4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1" w:lineRule="exact"/>
        <w:rPr>
          <w:sz w:val="24"/>
          <w:szCs w:val="24"/>
          <w:color w:val="auto"/>
        </w:rPr>
      </w:pPr>
    </w:p>
    <w:p>
      <w:pPr>
        <w:ind w:right="26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p>
      <w:pPr>
        <w:ind w:right="50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p>
      <w:pPr>
        <w:ind w:right="20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right="36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4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4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4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158"/>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400" w:type="dxa"/>
            <w:vAlign w:val="bottom"/>
            <w:tcBorders>
              <w:bottom w:val="single" w:sz="8" w:color="auto"/>
            </w:tcBorders>
          </w:tcPr>
          <w:p>
            <w:pPr>
              <w:spacing w:after="0"/>
              <w:rPr>
                <w:sz w:val="24"/>
                <w:szCs w:val="24"/>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gridSpan w:val="2"/>
          </w:tcPr>
          <w:p>
            <w:pPr>
              <w:spacing w:after="0" w:line="20" w:lineRule="exact"/>
              <w:rPr>
                <w:sz w:val="1"/>
                <w:szCs w:val="1"/>
                <w:color w:val="auto"/>
              </w:rPr>
            </w:pPr>
          </w:p>
        </w:tc>
      </w:tr>
      <w:tr>
        <w:trPr>
          <w:trHeight w:val="113"/>
        </w:trPr>
        <w:tc>
          <w:tcPr>
            <w:tcW w:w="17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520" w:type="dxa"/>
            <w:vAlign w:val="bottom"/>
            <w:gridSpan w:val="2"/>
          </w:tcPr>
          <w:p>
            <w:pPr>
              <w:jc w:val="center"/>
              <w:ind w:left="145"/>
              <w:spacing w:after="0" w:line="114" w:lineRule="exact"/>
              <w:rPr>
                <w:sz w:val="20"/>
                <w:szCs w:val="20"/>
                <w:color w:val="auto"/>
              </w:rPr>
            </w:pPr>
            <w:r>
              <w:rPr>
                <w:rFonts w:ascii="Times New Roman" w:cs="Times New Roman" w:eastAsia="Times New Roman" w:hAnsi="Times New Roman"/>
                <w:sz w:val="12"/>
                <w:szCs w:val="12"/>
                <w:b w:val="1"/>
                <w:bCs w:val="1"/>
                <w:color w:val="auto"/>
              </w:rPr>
              <w:t>Amount to be Registered/Proposed Maximum Offering Price per Unit/</w:t>
            </w:r>
          </w:p>
        </w:tc>
      </w:tr>
      <w:tr>
        <w:trPr>
          <w:trHeight w:val="149"/>
        </w:trPr>
        <w:tc>
          <w:tcPr>
            <w:tcW w:w="1760" w:type="dxa"/>
            <w:vAlign w:val="bottom"/>
          </w:tcPr>
          <w:p>
            <w:pPr>
              <w:spacing w:after="0"/>
              <w:rPr>
                <w:sz w:val="12"/>
                <w:szCs w:val="12"/>
                <w:color w:val="auto"/>
              </w:rPr>
            </w:pPr>
          </w:p>
        </w:tc>
        <w:tc>
          <w:tcPr>
            <w:tcW w:w="514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4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Proposed Maximum Aggregate Offering Price/Amount of Registration Fee</w:t>
            </w:r>
          </w:p>
        </w:tc>
      </w:tr>
      <w:tr>
        <w:trPr>
          <w:trHeight w:val="178"/>
        </w:trPr>
        <w:tc>
          <w:tcPr>
            <w:tcW w:w="1760" w:type="dxa"/>
            <w:vAlign w:val="bottom"/>
          </w:tcPr>
          <w:p>
            <w:pPr>
              <w:spacing w:after="0"/>
              <w:rPr>
                <w:sz w:val="15"/>
                <w:szCs w:val="15"/>
                <w:color w:val="auto"/>
              </w:rPr>
            </w:pPr>
          </w:p>
        </w:tc>
        <w:tc>
          <w:tcPr>
            <w:tcW w:w="514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4120" w:type="dxa"/>
            <w:vAlign w:val="bottom"/>
          </w:tcPr>
          <w:p>
            <w:pPr>
              <w:jc w:val="right"/>
              <w:ind w:right="1505"/>
              <w:spacing w:after="0"/>
              <w:rPr>
                <w:sz w:val="20"/>
                <w:szCs w:val="20"/>
                <w:color w:val="auto"/>
              </w:rPr>
            </w:pPr>
            <w:r>
              <w:rPr>
                <w:rFonts w:ascii="Times New Roman" w:cs="Times New Roman" w:eastAsia="Times New Roman" w:hAnsi="Times New Roman"/>
                <w:sz w:val="14"/>
                <w:szCs w:val="14"/>
                <w:b w:val="1"/>
                <w:bCs w:val="1"/>
                <w:color w:val="auto"/>
              </w:rPr>
              <w:t>(1)(2)</w:t>
            </w:r>
          </w:p>
        </w:tc>
        <w:tc>
          <w:tcPr>
            <w:tcW w:w="4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183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836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Debt Securities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460" w:right="120" w:hanging="452"/>
        <w:spacing w:after="0" w:line="25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issued at indeterminate prices and as may be issuable upon exercise, conversion, redemption, settlement or exchange of any securities hereunder, including under any applicable antidilution provisions. Separate consideration may or may not be received for securities that are issuable on exercise, conversion, redemption, settlement or exchange of other securities.</w:t>
      </w:r>
    </w:p>
    <w:p>
      <w:pPr>
        <w:ind w:left="460" w:right="360" w:hanging="452"/>
        <w:spacing w:after="0" w:line="25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the registrant is deferring payment of all of the registration fees and will pay such fees on a pay-as-you-go basis.</w:t>
      </w:r>
    </w:p>
    <w:p>
      <w:pPr>
        <w:ind w:left="460" w:right="20" w:hanging="452"/>
        <w:spacing w:after="0" w:line="25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registering guarantees that Waste Management Holdings, Inc. may have with respect to debt securities we may issue. No separate consideration will be received for the guarantees. See inside facing page for information on the additional registrant guarantor.</w:t>
      </w: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ADDITIONAL REGISTRANT GUARANTORS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 Including</w:t>
            </w:r>
          </w:p>
        </w:tc>
      </w:tr>
      <w:tr>
        <w:trPr>
          <w:trHeight w:val="149"/>
        </w:trPr>
        <w:tc>
          <w:tcPr>
            <w:tcW w:w="2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State or Other</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Zip Code and</w:t>
            </w:r>
          </w:p>
        </w:tc>
      </w:tr>
      <w:tr>
        <w:trPr>
          <w:trHeight w:val="149"/>
        </w:trPr>
        <w:tc>
          <w:tcPr>
            <w:tcW w:w="2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Jurisdiction of</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IRS Employer</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Telephone Number of</w:t>
            </w:r>
          </w:p>
        </w:tc>
      </w:tr>
      <w:tr>
        <w:trPr>
          <w:trHeight w:val="149"/>
        </w:trPr>
        <w:tc>
          <w:tcPr>
            <w:tcW w:w="2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Incorporation or</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Identification</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Principal Executive</w:t>
            </w:r>
          </w:p>
        </w:tc>
      </w:tr>
      <w:tr>
        <w:trPr>
          <w:trHeight w:val="185"/>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Exact Name as Specified in Charter</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Organization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Office</w:t>
            </w:r>
          </w:p>
        </w:tc>
      </w:tr>
      <w:tr>
        <w:trPr>
          <w:trHeight w:val="189"/>
        </w:trPr>
        <w:tc>
          <w:tcPr>
            <w:tcW w:w="2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8"/>
              </w:rPr>
              <w:t>Waste Management Holdings,</w:t>
            </w:r>
          </w:p>
        </w:tc>
        <w:tc>
          <w:tcPr>
            <w:tcW w:w="4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w:t>
            </w: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1001 Fannin Street</w:t>
            </w:r>
          </w:p>
        </w:tc>
      </w:tr>
      <w:tr>
        <w:trPr>
          <w:trHeight w:val="216"/>
        </w:trPr>
        <w:tc>
          <w:tcPr>
            <w:tcW w:w="21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Suite 4000</w:t>
            </w:r>
          </w:p>
        </w:tc>
      </w:tr>
      <w:tr>
        <w:trPr>
          <w:trHeight w:val="242"/>
        </w:trPr>
        <w:tc>
          <w:tcPr>
            <w:tcW w:w="21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w w:val="95"/>
              </w:rPr>
              <w:t>36-26660763</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77002</w:t>
            </w: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247650</wp:posOffset>
            </wp:positionV>
            <wp:extent cx="138049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5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88" w:lineRule="exact"/>
        <w:rPr>
          <w:sz w:val="20"/>
          <w:szCs w:val="20"/>
          <w:color w:val="auto"/>
        </w:rPr>
      </w:pPr>
    </w:p>
    <w:p>
      <w:pPr>
        <w:ind w:right="40" w:firstLine="913"/>
        <w:spacing w:after="0" w:line="264"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“Risk Factors” on page 6 of this prospectus, the risk factors included in our periodic reports that we file with the Securities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99695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prospectus is dated September 28, 2012</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10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540" w:type="dxa"/>
            <w:vAlign w:val="bottom"/>
          </w:tcPr>
          <w:p>
            <w:pPr>
              <w:jc w:val="right"/>
              <w:ind w:right="457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0"/>
        </w:trPr>
        <w:tc>
          <w:tcPr>
            <w:tcW w:w="2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Forward-Looking Statements</w:t>
              </w:r>
            </w:hyperlink>
          </w:p>
        </w:tc>
        <w:tc>
          <w:tcPr>
            <w:tcW w:w="1700" w:type="dxa"/>
            <w:vAlign w:val="bottom"/>
            <w:gridSpan w:val="5"/>
          </w:tcPr>
          <w:p>
            <w:pPr>
              <w:spacing w:after="0"/>
              <w:rPr>
                <w:sz w:val="24"/>
                <w:szCs w:val="24"/>
                <w:color w:val="auto"/>
              </w:rPr>
            </w:pP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780" w:type="dxa"/>
            <w:vAlign w:val="bottom"/>
            <w:gridSpan w:val="17"/>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About this Prospectus</w:t>
              </w:r>
            </w:hyperlink>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Incorporation by Reference</w:t>
              </w:r>
            </w:hyperlink>
          </w:p>
        </w:tc>
        <w:tc>
          <w:tcPr>
            <w:tcW w:w="1840" w:type="dxa"/>
            <w:vAlign w:val="bottom"/>
            <w:gridSpan w:val="7"/>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3780" w:type="dxa"/>
            <w:vAlign w:val="bottom"/>
            <w:gridSpan w:val="1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Where You Can Find More Information</w:t>
              </w:r>
            </w:hyperlink>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The Company</w:t>
              </w:r>
            </w:hyperlink>
          </w:p>
        </w:tc>
        <w:tc>
          <w:tcPr>
            <w:tcW w:w="980" w:type="dxa"/>
            <w:vAlign w:val="bottom"/>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Risk Factors</w:t>
              </w:r>
            </w:hyperlink>
          </w:p>
        </w:tc>
        <w:tc>
          <w:tcPr>
            <w:tcW w:w="100" w:type="dxa"/>
            <w:vAlign w:val="bottom"/>
            <w:tcBorders>
              <w:top w:val="single" w:sz="8" w:color="0000EE"/>
            </w:tcBorders>
            <w:gridSpan w:val="2"/>
          </w:tcPr>
          <w:p>
            <w:pPr>
              <w:spacing w:after="0"/>
              <w:rPr>
                <w:sz w:val="17"/>
                <w:szCs w:val="17"/>
                <w:color w:val="auto"/>
              </w:rPr>
            </w:pPr>
          </w:p>
        </w:tc>
        <w:tc>
          <w:tcPr>
            <w:tcW w:w="2780" w:type="dxa"/>
            <w:vAlign w:val="bottom"/>
            <w:gridSpan w:val="13"/>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780" w:type="dxa"/>
            <w:vAlign w:val="bottom"/>
            <w:gridSpan w:val="1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Ratio of Earnings to Fixed Charges</w:t>
              </w:r>
            </w:hyperlink>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4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Use of Proceeds</w:t>
              </w:r>
            </w:hyperlink>
          </w:p>
        </w:tc>
        <w:tc>
          <w:tcPr>
            <w:tcW w:w="1300" w:type="dxa"/>
            <w:vAlign w:val="bottom"/>
            <w:gridSpan w:val="2"/>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Description of Debt Securities</w:t>
              </w:r>
            </w:hyperlink>
          </w:p>
        </w:tc>
        <w:tc>
          <w:tcPr>
            <w:tcW w:w="1640" w:type="dxa"/>
            <w:vAlign w:val="bottom"/>
            <w:gridSpan w:val="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Description of Guarantees</w:t>
              </w:r>
            </w:hyperlink>
          </w:p>
        </w:tc>
        <w:tc>
          <w:tcPr>
            <w:tcW w:w="1920" w:type="dxa"/>
            <w:vAlign w:val="bottom"/>
            <w:gridSpan w:val="8"/>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Description of Capital Stock</w:t>
              </w:r>
            </w:hyperlink>
          </w:p>
        </w:tc>
        <w:tc>
          <w:tcPr>
            <w:tcW w:w="1760" w:type="dxa"/>
            <w:vAlign w:val="bottom"/>
            <w:gridSpan w:val="6"/>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2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Description of Other Securities</w:t>
              </w:r>
            </w:hyperlink>
          </w:p>
        </w:tc>
        <w:tc>
          <w:tcPr>
            <w:tcW w:w="1580" w:type="dxa"/>
            <w:vAlign w:val="bottom"/>
            <w:gridSpan w:val="3"/>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780" w:type="dxa"/>
            <w:vAlign w:val="bottom"/>
            <w:gridSpan w:val="17"/>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Plan of Distribution</w:t>
              </w:r>
            </w:hyperlink>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Selling Securityholders</w:t>
              </w:r>
            </w:hyperlink>
          </w:p>
        </w:tc>
        <w:tc>
          <w:tcPr>
            <w:tcW w:w="2120" w:type="dxa"/>
            <w:vAlign w:val="bottom"/>
            <w:gridSpan w:val="9"/>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780" w:type="dxa"/>
            <w:vAlign w:val="bottom"/>
            <w:gridSpan w:val="17"/>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Matters</w:t>
              </w:r>
            </w:hyperlink>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9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Experts</w:t>
              </w:r>
            </w:hyperlink>
          </w:p>
        </w:tc>
        <w:tc>
          <w:tcPr>
            <w:tcW w:w="2800" w:type="dxa"/>
            <w:vAlign w:val="bottom"/>
            <w:gridSpan w:val="1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2011.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58" w:lineRule="exact"/>
        <w:rPr>
          <w:sz w:val="20"/>
          <w:szCs w:val="20"/>
          <w:color w:val="auto"/>
        </w:rPr>
      </w:pPr>
    </w:p>
    <w:p>
      <w:pPr>
        <w:ind w:left="900" w:right="6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38" w:lineRule="exact"/>
        <w:rPr>
          <w:rFonts w:ascii="Times New Roman" w:cs="Times New Roman" w:eastAsia="Times New Roman" w:hAnsi="Times New Roman"/>
          <w:sz w:val="18"/>
          <w:szCs w:val="18"/>
          <w:color w:val="auto"/>
        </w:rPr>
      </w:pPr>
    </w:p>
    <w:p>
      <w:pPr>
        <w:ind w:left="900" w:right="52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our optimization and growth initiatives and overall business strategy, which could adversely impact our financial performance and growth;</w:t>
      </w:r>
    </w:p>
    <w:p>
      <w:pPr>
        <w:spacing w:after="0" w:line="38" w:lineRule="exact"/>
        <w:rPr>
          <w:rFonts w:ascii="Times New Roman" w:cs="Times New Roman" w:eastAsia="Times New Roman" w:hAnsi="Times New Roman"/>
          <w:sz w:val="18"/>
          <w:szCs w:val="18"/>
          <w:color w:val="auto"/>
        </w:rPr>
      </w:pPr>
    </w:p>
    <w:p>
      <w:pPr>
        <w:ind w:left="900" w:right="280" w:hanging="446"/>
        <w:spacing w:after="0" w:line="334"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restructuring initiatives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1" w:lineRule="exact"/>
        <w:rPr>
          <w:rFonts w:ascii="Times New Roman" w:cs="Times New Roman" w:eastAsia="Times New Roman" w:hAnsi="Times New Roman"/>
          <w:sz w:val="16"/>
          <w:szCs w:val="16"/>
          <w:color w:val="auto"/>
        </w:rPr>
      </w:pPr>
    </w:p>
    <w:p>
      <w:pPr>
        <w:ind w:left="900" w:right="62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may negatively impact our business by, among other things, restricting our operations, increasing costs of operations or requiring additional capital expenditures;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w:t>
      </w:r>
    </w:p>
    <w:p>
      <w:pPr>
        <w:spacing w:after="0" w:line="38" w:lineRule="exact"/>
        <w:rPr>
          <w:rFonts w:ascii="Times New Roman" w:cs="Times New Roman" w:eastAsia="Times New Roman" w:hAnsi="Times New Roman"/>
          <w:sz w:val="18"/>
          <w:szCs w:val="18"/>
          <w:color w:val="auto"/>
        </w:rPr>
      </w:pPr>
    </w:p>
    <w:p>
      <w:pPr>
        <w:jc w:val="both"/>
        <w:ind w:left="900" w:right="240" w:hanging="446"/>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51"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1" w:lineRule="exact"/>
        <w:rPr>
          <w:rFonts w:ascii="Times New Roman" w:cs="Times New Roman" w:eastAsia="Times New Roman" w:hAnsi="Times New Roman"/>
          <w:sz w:val="18"/>
          <w:szCs w:val="18"/>
          <w:color w:val="auto"/>
        </w:rPr>
      </w:pPr>
    </w:p>
    <w:p>
      <w:pPr>
        <w:ind w:left="900" w:right="3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waste to energy facilities and our profitability;</w:t>
      </w:r>
    </w:p>
    <w:p>
      <w:pPr>
        <w:spacing w:after="0" w:line="38"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38" w:lineRule="exact"/>
        <w:rPr>
          <w:rFonts w:ascii="Times New Roman" w:cs="Times New Roman" w:eastAsia="Times New Roman" w:hAnsi="Times New Roman"/>
          <w:sz w:val="18"/>
          <w:szCs w:val="18"/>
          <w:color w:val="auto"/>
        </w:rPr>
      </w:pPr>
    </w:p>
    <w:p>
      <w:pPr>
        <w:ind w:left="900" w:right="22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could tarnish our reputation and reduce the value of our brand;</w:t>
      </w:r>
    </w:p>
    <w:p>
      <w:pPr>
        <w:spacing w:after="0" w:line="38"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negatively affect the volumes of waste generated;</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38"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permits needed to open, operate, and/or expand our facilities, our results of operations will be negatively impacted;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price increases or fuel supply shortages may increase our expenses and restrict our ability to operate;</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current information technology or the development and deployment of new information systems could decrease our efficiencies and increase our costs;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could negatively impact our business and our relationships with customers;</w:t>
      </w:r>
    </w:p>
    <w:p>
      <w:pPr>
        <w:spacing w:after="0" w:line="90" w:lineRule="exact"/>
        <w:rPr>
          <w:rFonts w:ascii="Times New Roman" w:cs="Times New Roman" w:eastAsia="Times New Roman" w:hAnsi="Times New Roman"/>
          <w:sz w:val="18"/>
          <w:szCs w:val="18"/>
          <w:color w:val="auto"/>
        </w:rPr>
      </w:pPr>
    </w:p>
    <w:p>
      <w:pPr>
        <w:ind w:left="900" w:right="280" w:hanging="446"/>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liability for withdrawal from multiemployer pension plans;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including the risk of personal injury to employees and others;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for financial assurance or the inadequacy of our insurance coverage could negatively impact our liquidity and increase our liabilities;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charges as a result of shut-down operations, uncompleted development or expansion projects or other events may negatively affect earnings;</w:t>
      </w:r>
    </w:p>
    <w:p>
      <w:pPr>
        <w:spacing w:after="0" w:line="113" w:lineRule="exact"/>
        <w:rPr>
          <w:rFonts w:ascii="Times New Roman" w:cs="Times New Roman" w:eastAsia="Times New Roman" w:hAnsi="Times New Roman"/>
          <w:sz w:val="16"/>
          <w:szCs w:val="16"/>
          <w:color w:val="auto"/>
        </w:rPr>
      </w:pPr>
    </w:p>
    <w:p>
      <w:pPr>
        <w:ind w:left="900" w:right="4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acquisition activity, dividend declarations or share repurchases if we suffer a significant reduction in cash flows;</w:t>
      </w:r>
    </w:p>
    <w:p>
      <w:pPr>
        <w:spacing w:after="0" w:line="38"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change legislation, including possible limits on carbon emissions, may negatively impact our results of operations by increasing expenses;</w:t>
      </w:r>
    </w:p>
    <w:p>
      <w:pPr>
        <w:spacing w:after="0" w:line="113" w:lineRule="exact"/>
        <w:rPr>
          <w:rFonts w:ascii="Times New Roman" w:cs="Times New Roman" w:eastAsia="Times New Roman" w:hAnsi="Times New Roman"/>
          <w:sz w:val="16"/>
          <w:szCs w:val="16"/>
          <w:color w:val="auto"/>
        </w:rPr>
      </w:pPr>
    </w:p>
    <w:p>
      <w:pPr>
        <w:ind w:left="900" w:right="24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38" w:lineRule="exact"/>
        <w:rPr>
          <w:rFonts w:ascii="Times New Roman" w:cs="Times New Roman" w:eastAsia="Times New Roman" w:hAnsi="Times New Roman"/>
          <w:sz w:val="18"/>
          <w:szCs w:val="18"/>
          <w:color w:val="auto"/>
        </w:rPr>
      </w:pPr>
    </w:p>
    <w:p>
      <w:pPr>
        <w:ind w:left="900" w:right="22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accounting standards or interpretations may cause fluctuations in reported quarterly results of operations or adversely impact our reported results of operations.</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or developments after the date of this prospectus.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90"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51"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3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3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 Filing (Our SEC File Number is 1-12154)</w:t>
            </w:r>
          </w:p>
        </w:tc>
        <w:tc>
          <w:tcPr>
            <w:tcW w:w="630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Date Filed</w:t>
            </w:r>
          </w:p>
        </w:tc>
      </w:tr>
      <w:tr>
        <w:trPr>
          <w:trHeight w:val="189"/>
        </w:trPr>
        <w:tc>
          <w:tcPr>
            <w:tcW w:w="9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 for the year ended December 31, 2011</w:t>
            </w:r>
          </w:p>
        </w:tc>
        <w:tc>
          <w:tcPr>
            <w:tcW w:w="2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February 16,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26,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26,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14,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14,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22,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5,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(except for the information furnished pursuant to Item 2.02)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26, 2012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28, 2012</w:t>
            </w:r>
          </w:p>
        </w:tc>
      </w:tr>
      <w:tr>
        <w:trPr>
          <w:trHeight w:val="228"/>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September 11, 2012</w:t>
            </w:r>
          </w:p>
        </w:tc>
      </w:tr>
      <w:tr>
        <w:trPr>
          <w:trHeight w:val="23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our Common Stock on Form 8-B, as we may update that description from time to time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13, 1995</w:t>
            </w:r>
          </w:p>
        </w:tc>
      </w:tr>
    </w:tbl>
    <w:p>
      <w:pPr>
        <w:spacing w:after="0" w:line="15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39"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You may obtain copies of any of these filings through Waste Management as described below, or through the SEC or through the SEC’s Internet website as described below. Documents incorporated by reference are available without charge by requesting them in writing, by telephone or via the Internet at: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www.wm.com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INFORMATION CONTAINED ON OUR WEBSITE DOES NOT CONSTITUTE A PART OF THIS PROSPECTUS.</w:t>
      </w:r>
    </w:p>
    <w:p>
      <w:pPr>
        <w:spacing w:after="0" w:line="1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executive offices are located at 1001 Fannin Street, Suite 4000, Houston, Texas 77002 and our telephone number is (713) 512-6200.</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96" w:lineRule="exact"/>
        <w:rPr>
          <w:sz w:val="20"/>
          <w:szCs w:val="20"/>
          <w:color w:val="auto"/>
        </w:rPr>
      </w:pPr>
    </w:p>
    <w:p>
      <w:pPr>
        <w:ind w:left="460" w:right="3900" w:firstLine="3441"/>
        <w:spacing w:after="0" w:line="519" w:lineRule="auto"/>
        <w:rPr>
          <w:sz w:val="20"/>
          <w:szCs w:val="20"/>
          <w:color w:val="auto"/>
        </w:rPr>
      </w:pPr>
      <w:r>
        <w:rPr>
          <w:rFonts w:ascii="Times New Roman" w:cs="Times New Roman" w:eastAsia="Times New Roman" w:hAnsi="Times New Roman"/>
          <w:sz w:val="16"/>
          <w:szCs w:val="16"/>
          <w:b w:val="1"/>
          <w:bCs w:val="1"/>
          <w:color w:val="auto"/>
        </w:rPr>
        <w:t xml:space="preserve">RATIO OF EARNINGS TO FIXED CHARGES </w:t>
      </w:r>
      <w:r>
        <w:rPr>
          <w:rFonts w:ascii="Times New Roman" w:cs="Times New Roman" w:eastAsia="Times New Roman" w:hAnsi="Times New Roman"/>
          <w:sz w:val="16"/>
          <w:szCs w:val="16"/>
          <w:color w:val="auto"/>
        </w:rPr>
        <w:t>The following table sets forth our ratio of earnings to fixed charges for the periods indicated:</w:t>
      </w: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For the</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7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2"/>
              </w:rPr>
              <w:t>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11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2012</w:t>
            </w:r>
          </w:p>
        </w:tc>
        <w:tc>
          <w:tcPr>
            <w:tcW w:w="3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2"/>
                <w:szCs w:val="12"/>
                <w:color w:val="auto"/>
              </w:rPr>
            </w:pPr>
          </w:p>
        </w:tc>
        <w:tc>
          <w:tcPr>
            <w:tcW w:w="4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8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3.2x</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3.8x</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4.1 x</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4.0x</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4.5x</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4.0x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136" w:lineRule="exact"/>
        <w:rPr>
          <w:sz w:val="20"/>
          <w:szCs w:val="20"/>
          <w:color w:val="auto"/>
        </w:rPr>
      </w:pPr>
    </w:p>
    <w:p>
      <w:pPr>
        <w:ind w:right="260" w:firstLine="456"/>
        <w:spacing w:after="0" w:line="339" w:lineRule="auto"/>
        <w:rPr>
          <w:sz w:val="20"/>
          <w:szCs w:val="20"/>
          <w:color w:val="auto"/>
        </w:rPr>
      </w:pPr>
      <w:r>
        <w:rPr>
          <w:rFonts w:ascii="Times New Roman" w:cs="Times New Roman" w:eastAsia="Times New Roman" w:hAnsi="Times New Roman"/>
          <w:sz w:val="16"/>
          <w:szCs w:val="16"/>
          <w:color w:val="auto"/>
        </w:rPr>
        <w:t>No shares of our preference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17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the initial trustee, Texas Commerce Bank National Association ), as trustee. We will issue subordinated debt securities under an indenture dated as of February 1, 1997, among Waste Management, as issuer, and The Bank of New York Mellon Trust Company, N.A., as trustee. The indentures are substantially identical, except for provisions relating to subordination and covenants.</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90" w:lineRule="exact"/>
        <w:rPr>
          <w:sz w:val="20"/>
          <w:szCs w:val="20"/>
          <w:color w:val="auto"/>
        </w:rPr>
      </w:pPr>
    </w:p>
    <w:p>
      <w:pPr>
        <w:ind w:right="2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 indenture, and neither limits the amount of other unsecured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or securities that we may issue. We may issue debt securities under the indentures from time to time in one or more series, each in an amount authorized prior to issuance.</w:t>
      </w:r>
    </w:p>
    <w:p>
      <w:pPr>
        <w:spacing w:after="0" w:line="12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 terms relating to the offering. These terms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some or all of the following:</w:t>
      </w:r>
    </w:p>
    <w:p>
      <w:pPr>
        <w:spacing w:after="0" w:line="37"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the date from which interest will accrue, interest payment dates and record dates for interest payments;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or any other entity;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30"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 of Waste Management into another person,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conveyance, transfer or lease of our properties and assets substantially as an entirety to another person unless:</w:t>
      </w:r>
    </w:p>
    <w:p>
      <w:pPr>
        <w:spacing w:after="0" w:line="37" w:lineRule="exact"/>
        <w:rPr>
          <w:sz w:val="20"/>
          <w:szCs w:val="20"/>
          <w:color w:val="auto"/>
        </w:rPr>
      </w:pPr>
    </w:p>
    <w:p>
      <w:pPr>
        <w:ind w:left="900" w:right="200" w:hanging="446"/>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the transaction, no default or event of default would occur and be continuing or would result from the transaction.</w:t>
      </w:r>
    </w:p>
    <w:p>
      <w:pPr>
        <w:spacing w:after="0" w:line="1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18"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 events of default with respect to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w:t>
      </w:r>
    </w:p>
    <w:p>
      <w:pPr>
        <w:spacing w:after="0" w:line="37"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90" w:lineRule="exact"/>
        <w:rPr>
          <w:rFonts w:ascii="Times New Roman" w:cs="Times New Roman" w:eastAsia="Times New Roman" w:hAnsi="Times New Roman"/>
          <w:sz w:val="18"/>
          <w:szCs w:val="18"/>
          <w:color w:val="auto"/>
        </w:rPr>
      </w:pPr>
    </w:p>
    <w:p>
      <w:pPr>
        <w:ind w:left="900" w:right="160" w:hanging="446"/>
        <w:spacing w:after="0" w:line="25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90"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90"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90" w:lineRule="exact"/>
        <w:rPr>
          <w:rFonts w:ascii="Times New Roman" w:cs="Times New Roman" w:eastAsia="Times New Roman" w:hAnsi="Times New Roman"/>
          <w:sz w:val="18"/>
          <w:szCs w:val="18"/>
          <w:color w:val="auto"/>
        </w:rPr>
      </w:pPr>
    </w:p>
    <w:p>
      <w:pPr>
        <w:ind w:left="900" w:right="640" w:hanging="446"/>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51"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17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11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 amount of the outstanding debt securities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54"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90"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51"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169"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 the indentures. If any combination of funds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48" w:lineRule="exact"/>
        <w:rPr>
          <w:sz w:val="20"/>
          <w:szCs w:val="20"/>
          <w:color w:val="auto"/>
        </w:rPr>
      </w:pPr>
    </w:p>
    <w:p>
      <w:pPr>
        <w:ind w:left="900" w:right="76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38"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20"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03"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New York law will govern the indentures and the debt securities.</w:t>
      </w:r>
    </w:p>
    <w:p>
      <w:pPr>
        <w:spacing w:after="0" w:line="171"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 and the subordinated indenture. The Bank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for us for which they receive customary fees and act as a lender under our current credit facility.</w:t>
      </w:r>
    </w:p>
    <w:p>
      <w:pPr>
        <w:spacing w:after="0" w:line="135"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32"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 without interest coupons, or in bearer form, with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36"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90" w:lineRule="exact"/>
        <w:rPr>
          <w:sz w:val="20"/>
          <w:szCs w:val="20"/>
          <w:color w:val="auto"/>
        </w:rPr>
      </w:pPr>
    </w:p>
    <w:p>
      <w:pPr>
        <w:ind w:left="900" w:right="22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debt security that has been called for redemption in whole or in part, except the unredeemed portion of any debt security being redeemed in part.</w:t>
      </w:r>
    </w:p>
    <w:p>
      <w:pPr>
        <w:spacing w:after="0" w:line="1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 on the debt securities will be made in U.S. dollars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35"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3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36"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5" w:lineRule="exact"/>
        <w:rPr>
          <w:sz w:val="20"/>
          <w:szCs w:val="20"/>
          <w:color w:val="auto"/>
        </w:rPr>
      </w:pPr>
    </w:p>
    <w:p>
      <w:pPr>
        <w:jc w:val="both"/>
        <w:ind w:right="1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Book-Entry Debt Securities. </w:t>
      </w:r>
      <w:r>
        <w:rPr>
          <w:rFonts w:ascii="Times New Roman" w:cs="Times New Roman" w:eastAsia="Times New Roman" w:hAnsi="Times New Roman"/>
          <w:sz w:val="16"/>
          <w:szCs w:val="16"/>
          <w:color w:val="auto"/>
        </w:rPr>
        <w:t>The debt securities of a series may be issued in the form of one or more global debt securities that would be deposited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9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 and will rank equally with all of the other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30" w:lineRule="exact"/>
        <w:rPr>
          <w:sz w:val="20"/>
          <w:szCs w:val="20"/>
          <w:color w:val="auto"/>
        </w:rPr>
      </w:pPr>
    </w:p>
    <w:p>
      <w:pPr>
        <w:jc w:val="both"/>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 holders of the senior debt securities. The restrictive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51" w:lineRule="exact"/>
        <w:rPr>
          <w:sz w:val="20"/>
          <w:szCs w:val="20"/>
          <w:color w:val="auto"/>
        </w:rPr>
      </w:pPr>
    </w:p>
    <w:p>
      <w:pPr>
        <w:ind w:left="1140" w:hanging="237"/>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us or a Restricted Subsidiary;</w:t>
      </w:r>
    </w:p>
    <w:p>
      <w:pPr>
        <w:spacing w:after="0" w:line="90" w:lineRule="exact"/>
        <w:rPr>
          <w:rFonts w:ascii="Times New Roman" w:cs="Times New Roman" w:eastAsia="Times New Roman" w:hAnsi="Times New Roman"/>
          <w:sz w:val="18"/>
          <w:szCs w:val="18"/>
          <w:color w:val="auto"/>
        </w:rPr>
      </w:pPr>
    </w:p>
    <w:p>
      <w:pPr>
        <w:ind w:left="460" w:right="100" w:firstLine="443"/>
        <w:spacing w:after="0" w:line="275" w:lineRule="auto"/>
        <w:tabs>
          <w:tab w:leader="none" w:pos="11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36" w:lineRule="exact"/>
        <w:rPr>
          <w:rFonts w:ascii="Times New Roman" w:cs="Times New Roman" w:eastAsia="Times New Roman" w:hAnsi="Times New Roman"/>
          <w:sz w:val="18"/>
          <w:szCs w:val="18"/>
          <w:color w:val="auto"/>
        </w:rPr>
      </w:pPr>
    </w:p>
    <w:p>
      <w:pPr>
        <w:ind w:left="460" w:right="400" w:firstLine="443"/>
        <w:spacing w:after="0" w:line="277" w:lineRule="auto"/>
        <w:tabs>
          <w:tab w:leader="none" w:pos="11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property, assets or stock of any successor entity that becomes the Company in accordance with </w:t>
      </w:r>
      <w:r>
        <w:rPr>
          <w:rFonts w:ascii="Times New Roman" w:cs="Times New Roman" w:eastAsia="Times New Roman" w:hAnsi="Times New Roman"/>
          <w:sz w:val="18"/>
          <w:szCs w:val="18"/>
          <w:i w:val="1"/>
          <w:iCs w:val="1"/>
          <w:color w:val="auto"/>
        </w:rPr>
        <w:t>“Provisions Applicable to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 Consolidation, Merger and Sale of Assets,” </w:t>
      </w:r>
      <w:r>
        <w:rPr>
          <w:rFonts w:ascii="Times New Roman" w:cs="Times New Roman" w:eastAsia="Times New Roman" w:hAnsi="Times New Roman"/>
          <w:sz w:val="18"/>
          <w:szCs w:val="18"/>
          <w:color w:val="auto"/>
        </w:rPr>
        <w:t>above;</w:t>
      </w:r>
    </w:p>
    <w:p>
      <w:pPr>
        <w:spacing w:after="0" w:line="37"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90" w:lineRule="exact"/>
        <w:rPr>
          <w:sz w:val="20"/>
          <w:szCs w:val="20"/>
          <w:color w:val="auto"/>
        </w:rPr>
      </w:pPr>
    </w:p>
    <w:p>
      <w:pPr>
        <w:ind w:left="1480" w:hanging="567"/>
        <w:spacing w:after="0"/>
        <w:tabs>
          <w:tab w:leader="none" w:pos="1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90" w:lineRule="exact"/>
        <w:rPr>
          <w:rFonts w:ascii="Times New Roman" w:cs="Times New Roman" w:eastAsia="Times New Roman" w:hAnsi="Times New Roman"/>
          <w:sz w:val="18"/>
          <w:szCs w:val="18"/>
          <w:color w:val="auto"/>
        </w:rPr>
      </w:pPr>
    </w:p>
    <w:p>
      <w:pPr>
        <w:ind w:left="1480" w:right="20" w:hanging="567"/>
        <w:spacing w:after="0" w:line="262" w:lineRule="auto"/>
        <w:tabs>
          <w:tab w:leader="none" w:pos="1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1" w:lineRule="exact"/>
        <w:rPr>
          <w:sz w:val="20"/>
          <w:szCs w:val="20"/>
          <w:color w:val="auto"/>
        </w:rPr>
      </w:pPr>
    </w:p>
    <w:p>
      <w:pPr>
        <w:ind w:left="1120" w:hanging="217"/>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 faith;</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us or Restricted Subsidiaries in the ordinary course of business;</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90"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due to deposits to qualify us or a Restricted Subsidiary to do business, maintain self-insurance or obtain the benefit of or comply</w:t>
      </w:r>
    </w:p>
    <w:p>
      <w:pPr>
        <w:spacing w:after="0" w:line="44"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with laws;</w:t>
      </w:r>
    </w:p>
    <w:p>
      <w:pPr>
        <w:spacing w:after="0" w:line="77" w:lineRule="exact"/>
        <w:rPr>
          <w:rFonts w:ascii="Times New Roman" w:cs="Times New Roman" w:eastAsia="Times New Roman" w:hAnsi="Times New Roman"/>
          <w:sz w:val="16"/>
          <w:szCs w:val="16"/>
          <w:color w:val="auto"/>
        </w:rPr>
      </w:pPr>
    </w:p>
    <w:p>
      <w:pPr>
        <w:ind w:left="1160" w:hanging="25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90" w:lineRule="exact"/>
        <w:rPr>
          <w:rFonts w:ascii="Times New Roman" w:cs="Times New Roman" w:eastAsia="Times New Roman" w:hAnsi="Times New Roman"/>
          <w:sz w:val="18"/>
          <w:szCs w:val="18"/>
          <w:color w:val="auto"/>
        </w:rPr>
      </w:pPr>
    </w:p>
    <w:p>
      <w:pPr>
        <w:ind w:left="460" w:right="360" w:firstLine="443"/>
        <w:spacing w:after="0" w:line="275" w:lineRule="auto"/>
        <w:tabs>
          <w:tab w:leader="none" w:pos="11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20"/>
          </w:cols>
          <w:pgMar w:left="24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39" w:lineRule="exact"/>
        <w:rPr>
          <w:sz w:val="20"/>
          <w:szCs w:val="20"/>
          <w:color w:val="auto"/>
        </w:rPr>
      </w:pPr>
    </w:p>
    <w:p>
      <w:pPr>
        <w:ind w:left="460" w:right="100" w:firstLine="443"/>
        <w:spacing w:after="0" w:line="262" w:lineRule="auto"/>
        <w:tabs>
          <w:tab w:leader="none" w:pos="11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51" w:lineRule="exact"/>
        <w:rPr>
          <w:rFonts w:ascii="Times New Roman" w:cs="Times New Roman" w:eastAsia="Times New Roman" w:hAnsi="Times New Roman"/>
          <w:sz w:val="18"/>
          <w:szCs w:val="18"/>
          <w:color w:val="auto"/>
        </w:rPr>
      </w:pPr>
    </w:p>
    <w:p>
      <w:pPr>
        <w:ind w:left="460" w:firstLine="443"/>
        <w:spacing w:after="0" w:line="258"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55" w:lineRule="exact"/>
        <w:rPr>
          <w:rFonts w:ascii="Times New Roman" w:cs="Times New Roman" w:eastAsia="Times New Roman" w:hAnsi="Times New Roman"/>
          <w:sz w:val="18"/>
          <w:szCs w:val="18"/>
          <w:color w:val="auto"/>
        </w:rPr>
      </w:pPr>
    </w:p>
    <w:p>
      <w:pPr>
        <w:ind w:left="460" w:right="240" w:firstLine="443"/>
        <w:spacing w:after="0" w:line="275" w:lineRule="auto"/>
        <w:tabs>
          <w:tab w:leader="none" w:pos="11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39" w:lineRule="exact"/>
        <w:rPr>
          <w:sz w:val="20"/>
          <w:szCs w:val="20"/>
          <w:color w:val="auto"/>
        </w:rPr>
      </w:pPr>
    </w:p>
    <w:p>
      <w:pPr>
        <w:jc w:val="both"/>
        <w:ind w:left="460" w:right="440"/>
        <w:spacing w:after="0" w:line="262"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9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“Attributable Debt” </w:t>
      </w:r>
      <w:r>
        <w:rPr>
          <w:rFonts w:ascii="Times New Roman" w:cs="Times New Roman" w:eastAsia="Times New Roman" w:hAnsi="Times New Roman"/>
          <w:sz w:val="16"/>
          <w:szCs w:val="16"/>
          <w:color w:val="auto"/>
        </w:rPr>
        <w:t>means the present value of the rental payments during the remaining term of the lease included in the Sale/Leaseback Transaction.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 its consolidated subsidiaries less:</w:t>
      </w:r>
    </w:p>
    <w:p>
      <w:pPr>
        <w:spacing w:after="0" w:line="92" w:lineRule="exact"/>
        <w:rPr>
          <w:sz w:val="20"/>
          <w:szCs w:val="20"/>
          <w:color w:val="auto"/>
        </w:rPr>
      </w:pPr>
    </w:p>
    <w:p>
      <w:pPr>
        <w:ind w:left="900" w:right="220" w:hanging="446"/>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 customarily paid, all as shown on the balance sheet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33"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 facility located within the United States or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 less than all of the outstanding voting stock)</w:t>
      </w:r>
    </w:p>
    <w:p>
      <w:pPr>
        <w:spacing w:after="0" w:line="23" w:lineRule="exact"/>
        <w:rPr>
          <w:sz w:val="20"/>
          <w:szCs w:val="20"/>
          <w:color w:val="auto"/>
        </w:rPr>
      </w:pPr>
    </w:p>
    <w:p>
      <w:pPr>
        <w:ind w:right="40" w:firstLine="8"/>
        <w:spacing w:after="0" w:line="255" w:lineRule="auto"/>
        <w:tabs>
          <w:tab w:leader="none" w:pos="2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36"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 Subsidiaries lease any Principal Property that we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Restricted Subsidiary has sold or transferred or will sell or transfer to that person. This term excludes the following:</w:t>
      </w:r>
    </w:p>
    <w:p>
      <w:pPr>
        <w:spacing w:after="0" w:line="37"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69"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 directly or indirectly, by us or by one or more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by us and one or more other Subsidiaries.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90"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 equally with or senior to our other subordinated debt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outstanding from time to time.</w:t>
      </w:r>
    </w:p>
    <w:p>
      <w:pPr>
        <w:spacing w:after="0" w:line="116"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 interest on the subordinated debt securities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3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173"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32" w:lineRule="exact"/>
        <w:rPr>
          <w:sz w:val="20"/>
          <w:szCs w:val="20"/>
          <w:color w:val="auto"/>
        </w:rPr>
      </w:pPr>
    </w:p>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t>We are authorized to issue 1,500,000,000 shares of common stock, of which 463,859,445 shares were outstanding at September 21, 2012 (excluding treasury shares of 166,423,015). We are also authorized to issue 10,000,000 shares of preferred stock, none of which were outstanding on that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0"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are entitled to receive dividends when declared by our Board of Directors. In certain cases, common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receive dividends until we satisfy our obligations to any preferred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share of common stock is entitled to one vote in the election of directors and in each other matter we may ask stockholders to vote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39"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issuance and sale, validly issued, fully paid and non-assessable.</w:t>
      </w:r>
    </w:p>
    <w:p>
      <w:pPr>
        <w:spacing w:after="0" w:line="116"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 voluntarily, common stockholders will share ratably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remaining after we pay our creditors and any preferred stockholders.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 “WM.”</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 in Jersey City, New Jersey.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9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are a Delaware corporation and are governed by the Delaware General Corporation Law. Section 203 of the Delaware General Corporation law,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51" w:lineRule="exact"/>
        <w:rPr>
          <w:sz w:val="20"/>
          <w:szCs w:val="20"/>
          <w:color w:val="auto"/>
        </w:rPr>
      </w:pPr>
    </w:p>
    <w:p>
      <w:pPr>
        <w:ind w:left="900" w:right="4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38"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55" w:lineRule="exact"/>
        <w:rPr>
          <w:rFonts w:ascii="Times New Roman" w:cs="Times New Roman" w:eastAsia="Times New Roman" w:hAnsi="Times New Roman"/>
          <w:sz w:val="18"/>
          <w:szCs w:val="18"/>
          <w:color w:val="auto"/>
        </w:rPr>
      </w:pPr>
    </w:p>
    <w:p>
      <w:pPr>
        <w:ind w:left="900" w:right="240" w:hanging="446"/>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3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29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3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90"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7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38"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36"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0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3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3"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20"/>
          </w:cols>
          <w:pgMar w:left="24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the Company in connection with the registration of the securities registered hereby:</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Rating agency</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shd w:val="clear" w:color="auto" w:fill="CCEEFF"/>
          </w:tcPr>
          <w:p>
            <w:pPr>
              <w:spacing w:after="0"/>
              <w:rPr>
                <w:sz w:val="18"/>
                <w:szCs w:val="18"/>
                <w:color w:val="auto"/>
              </w:rPr>
            </w:pPr>
          </w:p>
        </w:tc>
      </w:tr>
      <w:tr>
        <w:trPr>
          <w:trHeight w:val="223"/>
        </w:trPr>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456(b) and 457(r), we are deferring payment of the registration fee for the securities offered by this prospectus.</w:t>
      </w:r>
    </w:p>
    <w:p>
      <w:pPr>
        <w:spacing w:after="0" w:line="21" w:lineRule="exact"/>
        <w:rPr>
          <w:sz w:val="20"/>
          <w:szCs w:val="20"/>
          <w:color w:val="auto"/>
        </w:rPr>
      </w:pPr>
    </w:p>
    <w:p>
      <w:pPr>
        <w:ind w:left="460" w:right="700" w:hanging="452"/>
        <w:spacing w:after="0" w:line="261"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An estimate of the aggregate amount of these expenses will be reflected in the applicable prospectus supplement.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138"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Company or any of its direct or indirect subsidiaries or while such a director or officer is or was serving at the request of the Company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Company is not required to indemnify or advance expenses to any person in connection with any action, suit, proceeding, claim or counterclaim initiated by or on behalf of such person. Such indemnification is not be exclusive of other indemnification rights arising under any By-laws, agreement, vote of directors or stockholders or otherwise and shall inure to the benefit of the heirs and legal representatives of such person. Additionally, the Company has entered into separate indemnification agreements with each of the members of its Board of Directors, and the employment agreements between the Company and its Chief Executive Officer and other executive and senior vice presidents contain a direct contractual obligation of the Company to provide indemnification to the executive. These agreements provide directors and officers with the same indemnification by the Company as described above and assure directors and officers that indemnification will continue to be provided despite future changes in the By-laws of the Company.</w:t>
      </w:r>
    </w:p>
    <w:p>
      <w:pPr>
        <w:spacing w:after="0" w:line="145"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payments of unlawful dividends or unlawful stock repurchases, redemptions or other distributions, or (iv) for any transaction from which the director derived an improper personal benefit. Our Certificate of Incorporation provides that no director will be liable to the Company or its stockholders for any breach of fiduciary duty, except as limited under DGCL.</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directors and officers are covered by insurance policies indemnifying against certain liabilities, including certain liabilities arising under the Securities Act that might be incurred by them in such capacities and against which we may not indemnify them.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Exhibit Index attached hereto and incorporated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90" w:lineRule="exact"/>
        <w:rPr>
          <w:sz w:val="20"/>
          <w:szCs w:val="20"/>
          <w:color w:val="auto"/>
        </w:rPr>
      </w:pPr>
    </w:p>
    <w:p>
      <w:pPr>
        <w:ind w:left="1140" w:hanging="237"/>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0" w:lineRule="exact"/>
        <w:rPr>
          <w:rFonts w:ascii="Times New Roman" w:cs="Times New Roman" w:eastAsia="Times New Roman" w:hAnsi="Times New Roman"/>
          <w:sz w:val="18"/>
          <w:szCs w:val="18"/>
          <w:color w:val="auto"/>
        </w:rPr>
      </w:pPr>
    </w:p>
    <w:p>
      <w:pPr>
        <w:ind w:left="1540" w:hanging="199"/>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90" w:lineRule="exact"/>
        <w:rPr>
          <w:rFonts w:ascii="Times New Roman" w:cs="Times New Roman" w:eastAsia="Times New Roman" w:hAnsi="Times New Roman"/>
          <w:sz w:val="18"/>
          <w:szCs w:val="18"/>
          <w:color w:val="auto"/>
        </w:rPr>
      </w:pPr>
    </w:p>
    <w:p>
      <w:pPr>
        <w:ind w:left="920" w:firstLine="421"/>
        <w:spacing w:after="0" w:line="285" w:lineRule="auto"/>
        <w:tabs>
          <w:tab w:leader="none" w:pos="1595"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w:t>
      </w:r>
    </w:p>
    <w:p>
      <w:pPr>
        <w:ind w:left="920" w:right="50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 percent change in the maximum aggregate offering price set forth in the “Calculation of Registration Fee” table in the effective registration statement;</w:t>
      </w:r>
    </w:p>
    <w:p>
      <w:pPr>
        <w:spacing w:after="0" w:line="50" w:lineRule="exact"/>
        <w:rPr>
          <w:rFonts w:ascii="Times New Roman" w:cs="Times New Roman" w:eastAsia="Times New Roman" w:hAnsi="Times New Roman"/>
          <w:sz w:val="16"/>
          <w:szCs w:val="16"/>
          <w:color w:val="auto"/>
        </w:rPr>
      </w:pPr>
    </w:p>
    <w:p>
      <w:pPr>
        <w:ind w:left="920" w:right="260" w:firstLine="421"/>
        <w:spacing w:after="0" w:line="275" w:lineRule="auto"/>
        <w:tabs>
          <w:tab w:leader="none" w:pos="1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left="460" w:right="80"/>
        <w:spacing w:after="0" w:line="259"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5" w:lineRule="exact"/>
        <w:rPr>
          <w:sz w:val="20"/>
          <w:szCs w:val="20"/>
          <w:color w:val="auto"/>
        </w:rPr>
      </w:pPr>
    </w:p>
    <w:p>
      <w:pPr>
        <w:ind w:left="460" w:firstLine="443"/>
        <w:spacing w:after="0" w:line="262" w:lineRule="auto"/>
        <w:tabs>
          <w:tab w:leader="none" w:pos="11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2" w:lineRule="exact"/>
        <w:rPr>
          <w:rFonts w:ascii="Times New Roman" w:cs="Times New Roman" w:eastAsia="Times New Roman" w:hAnsi="Times New Roman"/>
          <w:sz w:val="18"/>
          <w:szCs w:val="18"/>
          <w:color w:val="auto"/>
        </w:rPr>
      </w:pPr>
    </w:p>
    <w:p>
      <w:pPr>
        <w:ind w:left="460" w:right="800" w:firstLine="443"/>
        <w:spacing w:after="0" w:line="275" w:lineRule="auto"/>
        <w:tabs>
          <w:tab w:leader="none" w:pos="11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hanging="237"/>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under the Securities Act of 1933 to any purchaser:</w:t>
      </w:r>
    </w:p>
    <w:p>
      <w:pPr>
        <w:spacing w:after="0" w:line="90" w:lineRule="exact"/>
        <w:rPr>
          <w:rFonts w:ascii="Times New Roman" w:cs="Times New Roman" w:eastAsia="Times New Roman" w:hAnsi="Times New Roman"/>
          <w:sz w:val="18"/>
          <w:szCs w:val="18"/>
          <w:color w:val="auto"/>
        </w:rPr>
      </w:pPr>
    </w:p>
    <w:p>
      <w:pPr>
        <w:ind w:left="920" w:right="60" w:firstLine="421"/>
        <w:spacing w:after="0" w:line="275" w:lineRule="auto"/>
        <w:tabs>
          <w:tab w:leader="none" w:pos="154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8" w:lineRule="exact"/>
        <w:rPr>
          <w:rFonts w:ascii="Times New Roman" w:cs="Times New Roman" w:eastAsia="Times New Roman" w:hAnsi="Times New Roman"/>
          <w:sz w:val="18"/>
          <w:szCs w:val="18"/>
          <w:color w:val="auto"/>
        </w:rPr>
      </w:pPr>
    </w:p>
    <w:p>
      <w:pPr>
        <w:ind w:left="920" w:right="40" w:firstLine="421"/>
        <w:spacing w:after="0" w:line="285" w:lineRule="auto"/>
        <w:tabs>
          <w:tab w:leader="none" w:pos="1598"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w:t>
      </w:r>
    </w:p>
    <w:p>
      <w:pPr>
        <w:spacing w:after="0" w:line="2" w:lineRule="exact"/>
        <w:rPr>
          <w:rFonts w:ascii="Times New Roman" w:cs="Times New Roman" w:eastAsia="Times New Roman" w:hAnsi="Times New Roman"/>
          <w:sz w:val="16"/>
          <w:szCs w:val="16"/>
          <w:color w:val="auto"/>
        </w:rPr>
      </w:pPr>
    </w:p>
    <w:p>
      <w:pPr>
        <w:ind w:left="920" w:right="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Rule 430B, for liability purposes of the issuer and any person that is at that date an underwriter, such date shall be deemed to be a new effective date of the registration statement relating to the securities in the registration statement to which the prospectus related,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0" w:lineRule="exact"/>
        <w:rPr>
          <w:rFonts w:ascii="Times New Roman" w:cs="Times New Roman" w:eastAsia="Times New Roman" w:hAnsi="Times New Roman"/>
          <w:sz w:val="16"/>
          <w:szCs w:val="16"/>
          <w:color w:val="auto"/>
        </w:rPr>
      </w:pPr>
    </w:p>
    <w:p>
      <w:pPr>
        <w:ind w:left="460" w:firstLine="443"/>
        <w:spacing w:after="0" w:line="256" w:lineRule="auto"/>
        <w:tabs>
          <w:tab w:leader="none" w:pos="11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7" w:lineRule="exact"/>
        <w:rPr>
          <w:rFonts w:ascii="Times New Roman" w:cs="Times New Roman" w:eastAsia="Times New Roman" w:hAnsi="Times New Roman"/>
          <w:sz w:val="18"/>
          <w:szCs w:val="18"/>
          <w:color w:val="auto"/>
        </w:rPr>
      </w:pPr>
    </w:p>
    <w:p>
      <w:pPr>
        <w:ind w:left="1540" w:hanging="199"/>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0" w:lineRule="exact"/>
        <w:rPr>
          <w:rFonts w:ascii="Times New Roman" w:cs="Times New Roman" w:eastAsia="Times New Roman" w:hAnsi="Times New Roman"/>
          <w:sz w:val="18"/>
          <w:szCs w:val="18"/>
          <w:color w:val="auto"/>
        </w:rPr>
      </w:pPr>
    </w:p>
    <w:p>
      <w:pPr>
        <w:ind w:left="920" w:right="360" w:firstLine="421"/>
        <w:spacing w:after="0" w:line="275" w:lineRule="auto"/>
        <w:tabs>
          <w:tab w:leader="none" w:pos="15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38" w:lineRule="exact"/>
        <w:rPr>
          <w:rFonts w:ascii="Times New Roman" w:cs="Times New Roman" w:eastAsia="Times New Roman" w:hAnsi="Times New Roman"/>
          <w:sz w:val="18"/>
          <w:szCs w:val="18"/>
          <w:color w:val="auto"/>
        </w:rPr>
      </w:pPr>
    </w:p>
    <w:p>
      <w:pPr>
        <w:ind w:left="920" w:right="140" w:firstLine="421"/>
        <w:spacing w:after="0" w:line="275" w:lineRule="auto"/>
        <w:tabs>
          <w:tab w:leader="none" w:pos="16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8" w:lineRule="exact"/>
        <w:rPr>
          <w:rFonts w:ascii="Times New Roman" w:cs="Times New Roman" w:eastAsia="Times New Roman" w:hAnsi="Times New Roman"/>
          <w:sz w:val="18"/>
          <w:szCs w:val="18"/>
          <w:color w:val="auto"/>
        </w:rPr>
      </w:pPr>
    </w:p>
    <w:p>
      <w:pPr>
        <w:ind w:left="1620" w:hanging="279"/>
        <w:spacing w:after="0"/>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w:t>
      </w:r>
    </w:p>
    <w:p>
      <w:pPr>
        <w:spacing w:after="0" w:line="21"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8" w:lineRule="exact"/>
        <w:rPr>
          <w:sz w:val="20"/>
          <w:szCs w:val="20"/>
          <w:color w:val="auto"/>
        </w:rPr>
      </w:pPr>
    </w:p>
    <w:p>
      <w:pPr>
        <w:ind w:left="460" w:right="120" w:firstLine="443"/>
        <w:spacing w:after="0" w:line="275" w:lineRule="auto"/>
        <w:tabs>
          <w:tab w:leader="none" w:pos="11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9" w:lineRule="exact"/>
        <w:rPr>
          <w:rFonts w:ascii="Times New Roman" w:cs="Times New Roman" w:eastAsia="Times New Roman" w:hAnsi="Times New Roman"/>
          <w:sz w:val="18"/>
          <w:szCs w:val="18"/>
          <w:color w:val="auto"/>
        </w:rPr>
      </w:pPr>
    </w:p>
    <w:p>
      <w:pPr>
        <w:ind w:left="460" w:right="20" w:firstLine="443"/>
        <w:spacing w:after="0" w:line="254" w:lineRule="auto"/>
        <w:tabs>
          <w:tab w:leader="none" w:pos="11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28th day of September, 2012.</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/s/ David P. Steiner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P. Steiner,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28th day of September 2012.</w:t>
      </w:r>
    </w:p>
    <w:p>
      <w:pPr>
        <w:sectPr>
          <w:pgSz w:w="11900" w:h="16838" w:orient="portrait"/>
          <w:cols w:equalWidth="0" w:num="1">
            <w:col w:w="11400"/>
          </w:cols>
          <w:pgMar w:left="240" w:top="455" w:right="259" w:bottom="1440" w:gutter="0" w:footer="0" w:header="0"/>
        </w:sectPr>
      </w:pP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696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David P. Steiner</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James C. Fish, Jr.</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Don P. Carpenter</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Bradbury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5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color w:val="auto"/>
        </w:rPr>
        <w:t>Pastora San Juan Cafferty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96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Frank M. Clark,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Patrick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W. Robert Reum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963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11430</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Chairman of the Board and Director</w:t>
      </w:r>
    </w:p>
    <w:p>
      <w:pPr>
        <w:spacing w:after="0" w:line="3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406" w:lineRule="exact"/>
        <w:rPr>
          <w:sz w:val="20"/>
          <w:szCs w:val="20"/>
          <w:color w:val="auto"/>
        </w:rPr>
      </w:pPr>
    </w:p>
    <w:p>
      <w:pPr>
        <w:sectPr>
          <w:pgSz w:w="11900" w:h="16838" w:orient="portrait"/>
          <w:cols w:equalWidth="0" w:num="2">
            <w:col w:w="6160" w:space="720"/>
            <w:col w:w="4520"/>
          </w:cols>
          <w:pgMar w:left="240" w:top="455" w:right="259" w:bottom="1440" w:gutter="0" w:footer="0" w:header="0"/>
          <w:type w:val="continuous"/>
        </w:sectPr>
      </w:pPr>
    </w:p>
    <w:p>
      <w:pPr>
        <w:spacing w:after="0" w:line="35" w:lineRule="exact"/>
        <w:rPr>
          <w:sz w:val="20"/>
          <w:szCs w:val="20"/>
          <w:color w:val="auto"/>
        </w:rPr>
      </w:pPr>
    </w:p>
    <w:p>
      <w:pPr>
        <w:ind w:left="220" w:right="620" w:hanging="212"/>
        <w:spacing w:after="0" w:line="275" w:lineRule="auto"/>
        <w:tabs>
          <w:tab w:leader="none" w:pos="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Rick L Wittenbraker hereby signs this registration statement on behalf of the indicated persons for whom he is attorney-in-fact on September 28, 2012 pursuant to a power of attorney filed herewith.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Rick L Wittenbraker</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-130175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Waste Management Holdings, Inc.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28th day of September, 2012.</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A. Lockett</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A. Lockett,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KNOWN ALL PERSONS BY THESE PRESENTS, that the individuals whose signature appears below hereby constitute and appoint Courtney A. Tippy and John S. Tsai,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13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September 28,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316"/>
        </w:trPr>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A. Lockett</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President</w:t>
            </w:r>
          </w:p>
        </w:tc>
      </w:tr>
      <w:tr>
        <w:trPr>
          <w:trHeight w:val="224"/>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Mark A. Lockett</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r>
      <w:tr>
        <w:trPr>
          <w:trHeight w:val="323"/>
        </w:trPr>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Don P. Carpenter</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Vice President. Chief Financial Officer and Controller</w:t>
            </w:r>
          </w:p>
        </w:tc>
      </w:tr>
      <w:tr>
        <w:trPr>
          <w:trHeight w:val="224"/>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Don P. Carpenter</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Financial Officer and Principal Accounting Officer)</w:t>
            </w:r>
          </w:p>
        </w:tc>
      </w:tr>
      <w:tr>
        <w:trPr>
          <w:trHeight w:val="324"/>
        </w:trPr>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Linda J. Smith</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Linda J. Smith</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820" w:type="dxa"/>
            <w:vAlign w:val="bottom"/>
            <w:gridSpan w:val="3"/>
          </w:tcPr>
          <w:p>
            <w:pPr>
              <w:ind w:left="4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36"/>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3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Form of Underwriting Agreement (Debt Securities).</w:t>
            </w: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500" w:type="dxa"/>
            <w:vAlign w:val="bottom"/>
          </w:tcPr>
          <w:p>
            <w:pPr>
              <w:jc w:val="right"/>
              <w:ind w:right="94"/>
              <w:spacing w:after="0" w:line="202" w:lineRule="exact"/>
              <w:rPr>
                <w:sz w:val="20"/>
                <w:szCs w:val="20"/>
                <w:color w:val="auto"/>
              </w:rPr>
            </w:pPr>
            <w:r>
              <w:rPr>
                <w:rFonts w:ascii="Times New Roman" w:cs="Times New Roman" w:eastAsia="Times New Roman" w:hAnsi="Times New Roman"/>
                <w:sz w:val="18"/>
                <w:szCs w:val="18"/>
                <w:color w:val="auto"/>
                <w:w w:val="95"/>
              </w:rPr>
              <w:t>*1.1</w:t>
            </w:r>
          </w:p>
        </w:tc>
        <w:tc>
          <w:tcPr>
            <w:tcW w:w="5340" w:type="dxa"/>
            <w:vAlign w:val="bottom"/>
            <w:vMerge w:val="continue"/>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*1.2</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Underwriting Agreement (Equity Securities).</w:t>
            </w:r>
          </w:p>
        </w:tc>
        <w:tc>
          <w:tcPr>
            <w:tcW w:w="0" w:type="dxa"/>
            <w:vAlign w:val="bottom"/>
          </w:tcPr>
          <w:p>
            <w:pPr>
              <w:spacing w:after="0"/>
              <w:rPr>
                <w:sz w:val="1"/>
                <w:szCs w:val="1"/>
                <w:color w:val="auto"/>
              </w:rPr>
            </w:pPr>
          </w:p>
        </w:tc>
      </w:tr>
      <w:tr>
        <w:trPr>
          <w:trHeight w:val="312"/>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Third Restated Certificate of Incorporation of Waste Management, Inc. (incorporated herein by reference to Exhibit 3.1 to the Quarterly Report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10-Q for the quarter ended June 30, 2010).</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By-laws of Waste Management, Inc. (incorporated herein by reference to Exhibit 3.2 to the Current Report on Form 8-K filed July 26, 2012).</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Third Restated Certificate of Incorporation of Waste Management Holdings, Inc.</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By-laws of Waste Management Holdings, Inc.</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Specimen certificate of Common Stock (incorporated herein by reference to Exhibit 4.1 to form 10-K for the year ended December 31, 1998).</w:t>
            </w:r>
          </w:p>
        </w:tc>
        <w:tc>
          <w:tcPr>
            <w:tcW w:w="0" w:type="dxa"/>
            <w:vAlign w:val="bottom"/>
          </w:tcPr>
          <w:p>
            <w:pPr>
              <w:spacing w:after="0"/>
              <w:rPr>
                <w:sz w:val="1"/>
                <w:szCs w:val="1"/>
                <w:color w:val="auto"/>
              </w:rPr>
            </w:pPr>
          </w:p>
        </w:tc>
      </w:tr>
      <w:tr>
        <w:trPr>
          <w:trHeight w:val="312"/>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Senior indenture dated as of September 10, 1997 (incorporated herein by reference to Exhibit 4.1 to Current Report on Form 8-K filed September</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24, 1997).</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4.3</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Subordinated indenture dated as of February 1, 1997 (incorporated herein by reference to Exhibit 4.1 to Current Report on Form 8-K filed February</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 1997).</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*4.4</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Debt Securities.</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*4.5</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Guarantee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*4.6</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*4.7</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Legal opinion of Courtney A. Tippy.</w:t>
            </w:r>
          </w:p>
        </w:tc>
        <w:tc>
          <w:tcPr>
            <w:tcW w:w="0" w:type="dxa"/>
            <w:vAlign w:val="bottom"/>
          </w:tcPr>
          <w:p>
            <w:pPr>
              <w:spacing w:after="0"/>
              <w:rPr>
                <w:sz w:val="1"/>
                <w:szCs w:val="1"/>
                <w:color w:val="auto"/>
              </w:rPr>
            </w:pPr>
          </w:p>
        </w:tc>
      </w:tr>
      <w:tr>
        <w:trPr>
          <w:trHeight w:val="324"/>
        </w:trPr>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Statement regarding computation of ratio of earnings to fixed charges.</w:t>
            </w:r>
          </w:p>
        </w:tc>
        <w:tc>
          <w:tcPr>
            <w:tcW w:w="0" w:type="dxa"/>
            <w:vAlign w:val="bottom"/>
          </w:tcPr>
          <w:p>
            <w:pPr>
              <w:spacing w:after="0"/>
              <w:rPr>
                <w:sz w:val="1"/>
                <w:szCs w:val="1"/>
                <w:color w:val="auto"/>
              </w:rPr>
            </w:pPr>
          </w:p>
        </w:tc>
      </w:tr>
      <w:tr>
        <w:trPr>
          <w:trHeight w:val="324"/>
        </w:trPr>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Courtney A. Tippy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23.2</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Power of Attorney (filed herewith and included on the signature page of this registration statement).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Statement of Eligibility of Trustee on Form T-1 with respect to the senior indenture.</w:t>
            </w:r>
          </w:p>
        </w:tc>
        <w:tc>
          <w:tcPr>
            <w:tcW w:w="0" w:type="dxa"/>
            <w:vAlign w:val="bottom"/>
          </w:tcPr>
          <w:p>
            <w:pPr>
              <w:spacing w:after="0"/>
              <w:rPr>
                <w:sz w:val="1"/>
                <w:szCs w:val="1"/>
                <w:color w:val="auto"/>
              </w:rPr>
            </w:pPr>
          </w:p>
        </w:tc>
      </w:tr>
      <w:tr>
        <w:trPr>
          <w:trHeight w:val="324"/>
        </w:trPr>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w:t>
            </w:r>
          </w:p>
        </w:tc>
        <w:tc>
          <w:tcPr>
            <w:tcW w:w="10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Statement of Eligibility of Trustee on Form T-1 with respect to the subordinated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 to this Registration Statement or as an exhibit to a periodic report filed under the Securities Exchange Act of 1934, as amended.</w:t>
      </w:r>
    </w:p>
    <w:p>
      <w:pPr>
        <w:sectPr>
          <w:pgSz w:w="11900" w:h="16838" w:orient="portrait"/>
          <w:cols w:equalWidth="0" w:num="1">
            <w:col w:w="11320"/>
          </w:cols>
          <w:pgMar w:left="240" w:top="45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3.3</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RESTATED CERTIFICATE OF INCORPORATION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5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Waste Management Holdings, Inc., a corporation organized and existing under the laws of the State of Delaware (the “Corporation”), hereby certifies as follows:</w:t>
      </w:r>
    </w:p>
    <w:p>
      <w:pPr>
        <w:spacing w:after="0" w:line="39" w:lineRule="exact"/>
        <w:rPr>
          <w:sz w:val="20"/>
          <w:szCs w:val="20"/>
          <w:color w:val="auto"/>
        </w:rPr>
      </w:pPr>
    </w:p>
    <w:p>
      <w:pPr>
        <w:ind w:right="860" w:firstLine="8"/>
        <w:spacing w:after="0" w:line="275" w:lineRule="auto"/>
        <w:tabs>
          <w:tab w:leader="none" w:pos="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Waste Management Holdings, Inc., and the name under which the Corporation was originally incorporated is Waste Management, Inc. The date of filing of its original Certificate of Incorporation with the Secretary of State was September 23, 1968.</w:t>
      </w:r>
    </w:p>
    <w:p>
      <w:pPr>
        <w:spacing w:after="0" w:line="119" w:lineRule="exact"/>
        <w:rPr>
          <w:rFonts w:ascii="Times New Roman" w:cs="Times New Roman" w:eastAsia="Times New Roman" w:hAnsi="Times New Roman"/>
          <w:sz w:val="18"/>
          <w:szCs w:val="18"/>
          <w:color w:val="auto"/>
        </w:rPr>
      </w:pPr>
    </w:p>
    <w:p>
      <w:pPr>
        <w:ind w:right="300" w:firstLine="8"/>
        <w:spacing w:after="0" w:line="275" w:lineRule="auto"/>
        <w:tabs>
          <w:tab w:leader="none" w:pos="1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Restated Certificate of Incorporation amends and restates the Restated Certificate of Incorporation of the Corporation, including all amendments thereto, in its entirety.</w:t>
      </w:r>
    </w:p>
    <w:p>
      <w:pPr>
        <w:spacing w:after="0" w:line="119" w:lineRule="exact"/>
        <w:rPr>
          <w:rFonts w:ascii="Times New Roman" w:cs="Times New Roman" w:eastAsia="Times New Roman" w:hAnsi="Times New Roman"/>
          <w:sz w:val="18"/>
          <w:szCs w:val="18"/>
          <w:color w:val="auto"/>
        </w:rPr>
      </w:pPr>
    </w:p>
    <w:p>
      <w:pPr>
        <w:ind w:right="540" w:firstLine="8"/>
        <w:spacing w:after="0" w:line="275" w:lineRule="auto"/>
        <w:tabs>
          <w:tab w:leader="none" w:pos="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Restated Certificate of Incorporation as amended or supplemented heretofore are hereby deleted in their entirety and the following provisions are substituted in their place: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Name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Waste Management Holdings, Inc.</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Registered Office and Registered Agent</w:t>
      </w:r>
    </w:p>
    <w:p>
      <w:pPr>
        <w:spacing w:after="0" w:line="9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street address of the initial registered office of the Corporation in the State of Delaware is the Corporation Trust Center, 1209 Orange Street in the City of Wilmington, County of New Castle. The name of the registered agent of the Corporation is The Corporation Trust Company.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Corporate Purpose</w:t>
      </w:r>
    </w:p>
    <w:p>
      <w:pPr>
        <w:spacing w:after="0" w:line="9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“General Corporation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shall have authority to issue is 100, all of which shall be shares of Common Stock, par value $.01 per share.</w:t>
      </w:r>
    </w:p>
    <w:p>
      <w:pPr>
        <w:spacing w:after="0" w:line="2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Elections of directors of the Corporation need not be by written ballot, except and to the extent provided in the By-laws of the Corporation.</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Indemnification of Directors, Officers and Others</w:t>
      </w:r>
    </w:p>
    <w:p>
      <w:pPr>
        <w:spacing w:after="0" w:line="171" w:lineRule="exact"/>
        <w:rPr>
          <w:sz w:val="20"/>
          <w:szCs w:val="20"/>
          <w:color w:val="auto"/>
        </w:rPr>
      </w:pPr>
    </w:p>
    <w:p>
      <w:pPr>
        <w:jc w:val="both"/>
        <w:ind w:right="120" w:firstLine="464"/>
        <w:spacing w:after="0" w:line="258"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of the Corporation shall be personally liable to the Corporation or its stockholders for monetary damages for breach of fiduciary duty as a director, except to the extent provided by applicable law (i) for any breach of the director’s duty of loyalty to the Corporation or its stockholders, (ii) for acts or omissions not in good faith or which involve intentional misconduct or a knowing violation of law, (iii) pursuant to Section 174 of the Delaware General Corporation Law, or (iv) for any transaction from which the director derived an improper personal benefit.</w:t>
      </w:r>
    </w:p>
    <w:p>
      <w:pPr>
        <w:spacing w:after="0" w:line="136" w:lineRule="exact"/>
        <w:rPr>
          <w:rFonts w:ascii="Times New Roman" w:cs="Times New Roman" w:eastAsia="Times New Roman" w:hAnsi="Times New Roman"/>
          <w:sz w:val="18"/>
          <w:szCs w:val="18"/>
          <w:color w:val="auto"/>
        </w:rPr>
      </w:pPr>
    </w:p>
    <w:p>
      <w:pPr>
        <w:ind w:right="40" w:firstLine="464"/>
        <w:spacing w:after="0" w:line="254"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 director or officer of the Corporation, and each person who serves or served at the request of the Corporation as a director or officer (or equivalent) of another enterprise, shall be indemnified by the Corporation to the fullest extent authorized by the General Corporation Law of Delaware as it may be in effect from time to time, except as to any action, suit or proceeding brought by or on behalf of such director or officer without prior approval of the Board of Directors or, if there is an Interested Stockholder (as defined below) at the time such action, suit or proceeding is brought, without prior approval of the majority of the Continuing Directors (as defined below) of the Corporation. The right to indemnification conferred in this Article VI shall not be exclusive of any other right which any person may have or hereafter acquire under this Third Restated Certificate of Incorporation or any statute, by-law, agreement, vote of stockholders or disinterested directors or otherwise.</w:t>
      </w:r>
    </w:p>
    <w:p>
      <w:pPr>
        <w:spacing w:after="0" w:line="141" w:lineRule="exact"/>
        <w:rPr>
          <w:rFonts w:ascii="Times New Roman" w:cs="Times New Roman" w:eastAsia="Times New Roman" w:hAnsi="Times New Roman"/>
          <w:sz w:val="18"/>
          <w:szCs w:val="18"/>
          <w:color w:val="auto"/>
        </w:rPr>
      </w:pPr>
    </w:p>
    <w:p>
      <w:pPr>
        <w:ind w:firstLine="464"/>
        <w:spacing w:after="0" w:line="254"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Delaware General Corporation Law is amended to further limit or eliminate liability of the Corporation’s directors for breach of fiduciary duty, then a director of the Corporation shall not be liable for any such breach to the fullest extent permitted by the Delaware General Corporation Law as so amended. If the Delaware General Corporation Law is amended to increase or expand liability of the Corporation’s directors for breach of fiduciary duty or if the foregoing provisions of this Article VI are modified or repealed by the stockholders of the Corporation, no such amendment, modification or repeal shall apply to or have any effect on the liability or alleged liability of any director of the Corporation for or with respect to any acts or omissions of such director occurring prior to the time of such amendment, modification or repeal or otherwise adversely affect any right or protection of a director of the Corporation existing at the time of such amendment, modification or repeal.</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2" w:right="319" w:bottom="1440" w:gutter="0" w:footer="0" w:header="0"/>
        </w:sectPr>
      </w:pPr>
    </w:p>
    <w:bookmarkStart w:id="30" w:name="page31"/>
    <w:bookmarkEnd w:id="30"/>
    <w:p>
      <w:pPr>
        <w:ind w:firstLine="464"/>
        <w:spacing w:after="0" w:line="258" w:lineRule="auto"/>
        <w:tabs>
          <w:tab w:leader="none" w:pos="7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 of this Third Restated Certificate of Incorporation or the by-laws of the Corporation (and notwithstanding the fact that a lesser percentage may be specified by law, this Third Restated Certificate of Incorporation or the by-laws of the Corporation), the amendment or repeal of Article VI of this Third Restated Certificate of Incorporation, or the adoption of any provision inconsistent herewith, shall require the approval of the holders of shares representing at least 80% of the outstanding shares of Common Stock.</w:t>
      </w:r>
    </w:p>
    <w:p>
      <w:pPr>
        <w:spacing w:after="0" w:line="136" w:lineRule="exact"/>
        <w:rPr>
          <w:rFonts w:ascii="Times New Roman" w:cs="Times New Roman" w:eastAsia="Times New Roman" w:hAnsi="Times New Roman"/>
          <w:sz w:val="18"/>
          <w:szCs w:val="18"/>
          <w:color w:val="auto"/>
        </w:rPr>
      </w:pPr>
    </w:p>
    <w:p>
      <w:pPr>
        <w:jc w:val="both"/>
        <w:ind w:right="40" w:firstLine="464"/>
        <w:spacing w:after="0" w:line="256" w:lineRule="auto"/>
        <w:tabs>
          <w:tab w:leader="none" w:pos="7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 the term “Continuing Director” shall mean a Director who was a member of the Board of Directors of the Corporation prior to the time the Interested Stockholder in question became an Interested Stockholder and who is not an Affiliate or Associate of such Interested Stockholder and who was not proposed for election as a Director by or on behalf of such Interested Stockholder, and any successor of a Continuing Director who is not an Affiliate or Associate or representative of such Interested Stockholder and is recommended to succeed a Continuing Director by a majority of the Continuing Directors then on the Board of Directors of the Corporation.</w:t>
      </w:r>
    </w:p>
    <w:p>
      <w:pPr>
        <w:spacing w:after="0" w:line="138" w:lineRule="exact"/>
        <w:rPr>
          <w:rFonts w:ascii="Times New Roman" w:cs="Times New Roman" w:eastAsia="Times New Roman" w:hAnsi="Times New Roman"/>
          <w:sz w:val="18"/>
          <w:szCs w:val="18"/>
          <w:color w:val="auto"/>
        </w:rPr>
      </w:pPr>
    </w:p>
    <w:p>
      <w:pPr>
        <w:ind w:right="60" w:firstLine="464"/>
        <w:spacing w:after="0" w:line="254" w:lineRule="auto"/>
        <w:tabs>
          <w:tab w:leader="none" w:pos="7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 the term “Interested Stockholder” shall mean and include any individual, corporation, partnership or other person or entity (other than the Corporation or any of its Subsidiaries or any employee benefit plan of either the Corporation or any of its Subsidiaries or any trustee or fiduciary with respect to any such plan when acting in such capacity) which, together with its “Affiliates” and “Associates” (as defined pursuant to Rule 12b-2 under the Securities Exchange Act of 1934, as such Rule was in effect on March 1, 1985), was the “Beneficial Owner” (as defined pursuant to Rule 13d-3 under such Act, as such Rule was in effect on March 1, 1985), of more than five percent of the outstanding shares of Common Stock, and any Affiliate or Associate of any such individual, corporation, partnership or other person or entity, or which was the Beneficial Owner at any time within the two-year period immediately preceding the time in question of more than five percent of the outstanding Common Stock, and any Affiliate or Associate of any such individual, corporation, partnership or other person or entity.</w:t>
      </w:r>
    </w:p>
    <w:p>
      <w:pPr>
        <w:spacing w:after="0" w:line="138" w:lineRule="exact"/>
        <w:rPr>
          <w:rFonts w:ascii="Times New Roman" w:cs="Times New Roman" w:eastAsia="Times New Roman" w:hAnsi="Times New Roman"/>
          <w:sz w:val="18"/>
          <w:szCs w:val="18"/>
          <w:color w:val="auto"/>
        </w:rPr>
      </w:pPr>
    </w:p>
    <w:p>
      <w:pPr>
        <w:ind w:right="200" w:firstLine="464"/>
        <w:spacing w:after="0" w:line="275" w:lineRule="auto"/>
        <w:tabs>
          <w:tab w:leader="none" w:pos="7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 the term “Subsidiary” shall mean a corporation with respect to which the Corporation is the Beneficial Owner of the majority of each class of voting securities.</w:t>
      </w:r>
    </w:p>
    <w:p>
      <w:pPr>
        <w:spacing w:after="0" w:line="2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By-Laws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of the Corporation shall have the power to adopt, amend or repeal by-laws.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3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171"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The Corporation reserves the right to amend, alter, change or repeal any provision of this Third Restated Certificate of Incorporation, in the manner now or hereafter prescribed by law, and all rights conferred on stockholders in this Third Restated Certificate of Incorporation are subject to this reservation.”</w:t>
      </w:r>
    </w:p>
    <w:p>
      <w:pPr>
        <w:spacing w:after="0" w:line="74" w:lineRule="exact"/>
        <w:rPr>
          <w:sz w:val="20"/>
          <w:szCs w:val="20"/>
          <w:color w:val="auto"/>
        </w:rPr>
      </w:pPr>
    </w:p>
    <w:p>
      <w:pPr>
        <w:ind w:right="400" w:firstLine="8"/>
        <w:spacing w:after="0" w:line="275" w:lineRule="auto"/>
        <w:tabs>
          <w:tab w:leader="none" w:pos="1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Restated Certificate of Incorporation was duly adopted by the unanimous written consent of the sole stockholder in accordance with applicable provisions of Section 228, 242 and 245 of the General Corporation Law of the State of Delaware.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WASTE MANAGEMENT HOLDINGS, INC. has caused this Third Restated Certificate of Incorporation to be signed by Linda J. Smith, its Vice President and Secretary, this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November,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Linda J. Smith</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and Secretary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3.4</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(hereinafter called the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shall be shall be c/o CT Corporation, 1209 Orange Street, Wilmington, Delaware.</w:t>
      </w:r>
    </w:p>
    <w:p>
      <w:pPr>
        <w:spacing w:after="0" w:line="171"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15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13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meetings of stockholders shall be held on such date and at such time as shall be designated from time to time by the Board of Directors and stated in the notice of the meeting, at which meetings the stockholders shall elect directors and transact such other business as may properly be brought before the meeting. Written notice of each annual meeting stating the place, date and hour of the meeting shall be given to each stockholder entitled to vote at such meeting not less than ten (10) nor more than sixty (60) days before the date of the meeting.</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called by the President or the Board of Directors.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420"/>
          </w:cols>
          <w:pgMar w:left="240" w:top="125" w:right="239" w:bottom="1440" w:gutter="0" w:footer="0" w:header="0"/>
        </w:sectPr>
      </w:pPr>
    </w:p>
    <w:bookmarkStart w:id="33" w:name="page34"/>
    <w:bookmarkEnd w:id="33"/>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Unless otherwise required by law, the Certificate of Incorporation or these By-laws, (i) any question brought before any meeting of stockholders shall be decided by the vote of the holders of a majority of the stock represented and entitled to vote thereat and (ii) each stockholder represented at a meeting of stockholders shall be entitled to cast one vote for each share of the capital stock entitled to vote thereat held by such stockholder. Such votes may be cast in person or by proxy but no proxy shall be voted on or after three (3)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139"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stockholders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4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ARTICLE III</w:t>
      </w:r>
    </w:p>
    <w:p>
      <w:pPr>
        <w:spacing w:after="0" w:line="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15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Number and Election of Directors</w:t>
      </w:r>
      <w:r>
        <w:rPr>
          <w:rFonts w:ascii="Times New Roman" w:cs="Times New Roman" w:eastAsia="Times New Roman" w:hAnsi="Times New Roman"/>
          <w:sz w:val="16"/>
          <w:szCs w:val="16"/>
          <w:color w:val="auto"/>
        </w:rPr>
        <w:t>. The business and affairs of the Corporation shall be managed by or under the direction of a Board of Directors consisting of not less than one director, the exact number of directors to be determined from time to time by resolution adopted by the affirmative vote of a majority of the directors then in office. At each annual meeting of stockholders beginning with the first, successor directors shall be elected. Each director shall hold office until the ensuing meeting and until such director’s successor is elected and qualified or until such director’s earlier death, resignation, or removal.</w:t>
      </w:r>
    </w:p>
    <w:p>
      <w:pPr>
        <w:spacing w:after="0" w:line="103"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Directors of the Corporation may be removed, with or without cause, by the holders of a majority of the shares then entitled to vote at an election of directors.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420"/>
          </w:cols>
          <w:pgMar w:left="240" w:top="274" w:right="239" w:bottom="1440" w:gutter="0" w:footer="0" w:header="0"/>
        </w:sectPr>
      </w:pPr>
    </w:p>
    <w:bookmarkStart w:id="34" w:name="page35"/>
    <w:bookmarkEnd w:id="34"/>
    <w:p>
      <w:pPr>
        <w:ind w:right="10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Duties and Powers</w:t>
      </w:r>
      <w:r>
        <w:rPr>
          <w:rFonts w:ascii="Times New Roman" w:cs="Times New Roman" w:eastAsia="Times New Roman" w:hAnsi="Times New Roman"/>
          <w:sz w:val="18"/>
          <w:szCs w:val="18"/>
          <w:color w:val="auto"/>
        </w:rPr>
        <w:t>. The business of the Corporation shall be managed by or under the direction of the Board of Directors, which may exercise all such powers of the Corporation and do all such lawful acts and things as are not by statute or by the Corporation’s Certificate of Incorporation or by these By-laws directed or required to be exercised or done by the stockholders.</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President or any two directors. Notice thereof stating the place, date and hour of the meeting shall be given to each director either by mail not less than forty-eight (48) hours before the time of the meeting, by telephone, electronic facsimile or telegram not less than twenty-four (24) hours before the time of the meeting, or on such shorter notice as the person or persons calling such meeting may deem necessary or appropriate in the circumstances.</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may be otherwise specifically provided by law, the Corporation’s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Actions of Board</w:t>
      </w:r>
      <w:r>
        <w:rPr>
          <w:rFonts w:ascii="Times New Roman" w:cs="Times New Roman" w:eastAsia="Times New Roman" w:hAnsi="Times New Roman"/>
          <w:sz w:val="18"/>
          <w:szCs w:val="18"/>
          <w:color w:val="auto"/>
        </w:rPr>
        <w:t>. Unless otherwise provided by the Corporation’s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136" w:lineRule="exact"/>
        <w:rPr>
          <w:sz w:val="20"/>
          <w:szCs w:val="20"/>
          <w:color w:val="auto"/>
        </w:rPr>
      </w:pPr>
    </w:p>
    <w:p>
      <w:pPr>
        <w:ind w:right="320" w:firstLine="456"/>
        <w:spacing w:after="0" w:line="301" w:lineRule="auto"/>
        <w:rPr>
          <w:sz w:val="20"/>
          <w:szCs w:val="20"/>
          <w:color w:val="auto"/>
        </w:rPr>
      </w:pP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Meetings by Means of Conference Telephone</w:t>
      </w:r>
      <w:r>
        <w:rPr>
          <w:rFonts w:ascii="Times New Roman" w:cs="Times New Roman" w:eastAsia="Times New Roman" w:hAnsi="Times New Roman"/>
          <w:sz w:val="16"/>
          <w:szCs w:val="16"/>
          <w:color w:val="auto"/>
        </w:rPr>
        <w:t>. Unless otherwise provided by the Corporation’s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7 of this Article III shall constitute presence in person at such meeting.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420"/>
          </w:cols>
          <w:pgMar w:left="240" w:top="274" w:right="239" w:bottom="1440" w:gutter="0" w:footer="0" w:header="0"/>
        </w:sectPr>
      </w:pPr>
    </w:p>
    <w:bookmarkStart w:id="35" w:name="page36"/>
    <w:bookmarkEnd w:id="35"/>
    <w:p>
      <w:pPr>
        <w:ind w:right="20" w:firstLine="456"/>
        <w:spacing w:after="0" w:line="290"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Committees</w:t>
      </w:r>
      <w:r>
        <w:rPr>
          <w:rFonts w:ascii="Times New Roman" w:cs="Times New Roman" w:eastAsia="Times New Roman" w:hAnsi="Times New Roman"/>
          <w:sz w:val="16"/>
          <w:szCs w:val="16"/>
          <w:color w:val="auto"/>
        </w:rPr>
        <w:t>.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members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1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15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offices of the Corporation shall be chosen by the Board of Directors and shall be a President and a Secretary. The Board of Directors, in its discretion, may also choose one Treasurer and one or more Vice Presidents, Assistant Secretaries, Assistant Treasurers and other officers. Any number of offices may be held by the same person, unless otherwise prohibited by law, the Corporation’s Certificate of Incorporation or these By-laws. The officers of the Corporation need not be stockholders of the Corporation nor need such officers be directors of the Corporation.</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and other compensation of all officers of the Corporation shall be fixed by the Board of Directors.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Securities Owned by the Corporation</w:t>
      </w:r>
      <w:r>
        <w:rPr>
          <w:rFonts w:ascii="Times New Roman" w:cs="Times New Roman" w:eastAsia="Times New Roman" w:hAnsi="Times New Roman"/>
          <w:sz w:val="18"/>
          <w:szCs w:val="18"/>
          <w:color w:val="auto"/>
        </w:rPr>
        <w:t>.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President</w:t>
      </w:r>
      <w:r>
        <w:rPr>
          <w:rFonts w:ascii="Times New Roman" w:cs="Times New Roman" w:eastAsia="Times New Roman" w:hAnsi="Times New Roman"/>
          <w:sz w:val="18"/>
          <w:szCs w:val="18"/>
          <w:color w:val="auto"/>
        </w:rPr>
        <w:t>. The President shall be the chief executive officer and the chief operating officer of the Corporation, shall have general direction of the business and affairs of the Corporation and general supervision over its several officers, subject, however, to the control of the Board of Directors and shall see that all orders and resolutions of the Board of Directors are carried into effect. The President may sign, with the Secretary or Assistant Secretary, certificates representing shares of stock of the Corporation. The President shall execute and deliver, in the name and on behalf of the Corporation, (i) contracts or other instruments authorized by the Board of Directors and (ii) contracts or instruments in the usual and regular course of business except in cases when the execution and delivery thereof shall be expressly delegated or permitted by the Board of Directors or by these By-laws to some other officer or agent of the Corporation, and, in general, shall perform all duties incident to the office of President and such other duties as from time to time may be assigned to him by the Board of Directors or as are prescribed by these By-laws.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340"/>
          </w:cols>
          <w:pgMar w:left="240" w:top="274" w:right="319" w:bottom="1440" w:gutter="0" w:footer="0" w:header="0"/>
        </w:sectPr>
      </w:pPr>
    </w:p>
    <w:bookmarkStart w:id="37" w:name="page38"/>
    <w:bookmarkEnd w:id="37"/>
    <w:p>
      <w:pPr>
        <w:ind w:right="16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Vice Presidents, if there be any, shall perform such duties and may exercise such other powers as from time to time may be assigned to him by these By-laws or by the Board of Directors. The Vice President may sign certificates of stock of the Corporation. In the absence or disability of the President, a Vice President may preside at meetings of the stockholders and the Board of Directors.</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such officer’s signature. The Secretary shall see that all books, reports, statements, certificates and other documents and records required by law to be kept or filed are properly kept or filed, as the case may be.</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 duties of the Treasurer, and when so acting, shall have all the powers of and be subject to all the restrictions upon the Treasurer.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00"/>
          </w:cols>
          <w:pgMar w:left="240" w:top="274" w:right="259" w:bottom="1440" w:gutter="0" w:footer="0" w:header="0"/>
        </w:sectPr>
      </w:pPr>
    </w:p>
    <w:bookmarkStart w:id="38" w:name="page39"/>
    <w:bookmarkEnd w:id="38"/>
    <w:p>
      <w:pPr>
        <w:jc w:val="both"/>
        <w:ind w:right="10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15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Form of Certificates</w:t>
      </w:r>
      <w:r>
        <w:rPr>
          <w:rFonts w:ascii="Times New Roman" w:cs="Times New Roman" w:eastAsia="Times New Roman" w:hAnsi="Times New Roman"/>
          <w:sz w:val="18"/>
          <w:szCs w:val="18"/>
          <w:color w:val="auto"/>
        </w:rPr>
        <w:t>. Every holder of stock in the Corporation shall be entitled to have a certificate signed, in the name of the Corporation (i) by the President or a Vice President and (ii) by the Secretary or an Assistant Secretary of the Corporation, certifying the number of shares owned by such holder of stock in the Corporation.</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Where a certificate is countersigned by (i) a transfer agent other than the Corporation or its employee, or (ii)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3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132"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days nor less than ten (10) days before the date of such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400"/>
          </w:cols>
          <w:pgMar w:left="240" w:top="274" w:right="259" w:bottom="1440" w:gutter="0" w:footer="0" w:header="0"/>
        </w:sectPr>
      </w:pPr>
    </w:p>
    <w:bookmarkStart w:id="39" w:name="page40"/>
    <w:bookmarkEnd w:id="39"/>
    <w:p>
      <w:pPr>
        <w:ind w:right="10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NOTICES</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written notice is required by law, the Corporation’s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electronic facsimile, telegram, telex or cable.</w:t>
      </w:r>
    </w:p>
    <w:p>
      <w:pPr>
        <w:spacing w:after="0" w:line="136"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Waivers of Notice</w:t>
      </w:r>
      <w:r>
        <w:rPr>
          <w:rFonts w:ascii="Times New Roman" w:cs="Times New Roman" w:eastAsia="Times New Roman" w:hAnsi="Times New Roman"/>
          <w:sz w:val="18"/>
          <w:szCs w:val="18"/>
          <w:color w:val="auto"/>
        </w:rPr>
        <w:t>. Whenever any notice is required by law, the Corporation’s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upon the capital stock of the Corporation, subject to the provisions of the Corporation’s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Disbursements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420"/>
          </w:cols>
          <w:pgMar w:left="240" w:top="274" w:right="239"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corporate seal, if there shall be one, shall be in such form as the Board of Directors may prescribe.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Power to Indemnify in Actions, Suits or Proceedings Other than Those by or in the Right of the Corporation</w:t>
      </w:r>
      <w:r>
        <w:rPr>
          <w:rFonts w:ascii="Times New Roman" w:cs="Times New Roman" w:eastAsia="Times New Roman" w:hAnsi="Times New Roman"/>
          <w:sz w:val="18"/>
          <w:szCs w:val="18"/>
          <w:color w:val="auto"/>
        </w:rPr>
        <w:t>. Subject to Section 3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Article VIII, the Corporation shall indemnify any person who was or is a party or is threatened to be made a party to any threatened, pending or completed action,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 or proceeding, whether civil, criminal, administrative or investigative (other than an action by or in the right of the Corporation) by reason of the fact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 is or was a director or officer of the Corporation, or is or was serving at the request of the Corporation as a director, officer, employee or agent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another corporation, partnership, joint venture, trust, employee benefit plan or other enterprise, against expenses (including attorneys’ fees), judgments, fines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 paid in settlement actually and reasonably incurred by such person in connection with such action, suit or proceeding if such person acted in good faith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a manner such person reasonably believed to be in or not opposed to the best interests of the Corporation, and, with respect to any criminal 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had no reasonable cause to believe such person’s conduct was unlawful. The termination of any action, suit or proceeding by judgment,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settlement, conviction, or upon a plea of </w:t>
      </w:r>
      <w:r>
        <w:rPr>
          <w:rFonts w:ascii="Times New Roman" w:cs="Times New Roman" w:eastAsia="Times New Roman" w:hAnsi="Times New Roman"/>
          <w:sz w:val="16"/>
          <w:szCs w:val="16"/>
          <w:u w:val="single" w:color="auto"/>
          <w:color w:val="auto"/>
        </w:rPr>
        <w:t>nolo contendere</w:t>
      </w:r>
      <w:r>
        <w:rPr>
          <w:rFonts w:ascii="Times New Roman" w:cs="Times New Roman" w:eastAsia="Times New Roman" w:hAnsi="Times New Roman"/>
          <w:sz w:val="16"/>
          <w:szCs w:val="16"/>
          <w:color w:val="auto"/>
        </w:rPr>
        <w:t xml:space="preserve"> or its equivalent, shall not, of itself, create a presumption that such person did not act in good faith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manner which such person reasonably believed to be in or not opposed to the best interests of the Corporation, and, with respect to any criminal 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had reasonable cause to believe that his conduct was unlawful.</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Power to Indemnify in Actions, Suits or Proceedings by or in the Right of the Corporation</w:t>
      </w:r>
      <w:r>
        <w:rPr>
          <w:rFonts w:ascii="Times New Roman" w:cs="Times New Roman" w:eastAsia="Times New Roman" w:hAnsi="Times New Roman"/>
          <w:sz w:val="18"/>
          <w:szCs w:val="18"/>
          <w:color w:val="auto"/>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380"/>
          </w:cols>
          <w:pgMar w:left="240" w:top="274" w:right="279" w:bottom="1440" w:gutter="0" w:footer="0" w:header="0"/>
        </w:sectPr>
      </w:pPr>
    </w:p>
    <w:bookmarkStart w:id="41" w:name="page42"/>
    <w:bookmarkEnd w:id="41"/>
    <w:p>
      <w:pPr>
        <w:ind w:right="40" w:firstLine="456"/>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Authorization of Indemnification</w:t>
      </w:r>
      <w:r>
        <w:rPr>
          <w:rFonts w:ascii="Times New Roman" w:cs="Times New Roman" w:eastAsia="Times New Roman" w:hAnsi="Times New Roman"/>
          <w:sz w:val="18"/>
          <w:szCs w:val="18"/>
          <w:color w:val="auto"/>
        </w:rPr>
        <w:t>. Any indemnification under this Article VIII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1 or Section 2 of this Article VIII, as the case may be. Such determination shall be made (i) by the Board of Directors by a majority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him in connection therewith, without the necessity of authorization in the specific case.</w:t>
      </w:r>
    </w:p>
    <w:p>
      <w:pPr>
        <w:spacing w:after="0" w:line="13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Good Faith Defined</w:t>
      </w:r>
      <w:r>
        <w:rPr>
          <w:rFonts w:ascii="Times New Roman" w:cs="Times New Roman" w:eastAsia="Times New Roman" w:hAnsi="Times New Roman"/>
          <w:sz w:val="16"/>
          <w:szCs w:val="16"/>
          <w:color w:val="auto"/>
        </w:rPr>
        <w:t>.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4 of this Article VIII shall mean any other corporation or any partnership, joint venture, trust, employee benefit plan or other enterprise of which such person is or was serving at the request of the Corporation as a director, officer, employee or agent. The provisions of this Section 4 of this Article VIII shall not be deemed to be exclusive or to limit in any way the circumstances in which a person may be deemed to have met the applicable standard of conduct set forth in Section 1 or Section 2 of this Article VIII, as the case may be.</w:t>
      </w:r>
    </w:p>
    <w:p>
      <w:pPr>
        <w:spacing w:after="0" w:line="33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 by a Court</w:t>
      </w:r>
      <w:r>
        <w:rPr>
          <w:rFonts w:ascii="Times New Roman" w:cs="Times New Roman" w:eastAsia="Times New Roman" w:hAnsi="Times New Roman"/>
          <w:sz w:val="18"/>
          <w:szCs w:val="18"/>
          <w:color w:val="auto"/>
        </w:rPr>
        <w:t>. Notwithstanding any contrary determination in the specific case under Section 3 of this Article VIII, and notwithstanding the absence of any determination thereunder, any director or officer may apply to any court of competent jurisdiction in the State of Delaware for indemnification to the extent otherwise permissible under Sections 1 and 2 of this Article VIII. The basis of such indemnification by a court shall be a determination by such court that indemnification of the director or officer is proper in the circumstances because such person has met the applicable standards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of this Article VIII shall be given to the Corporation promptly upon the filing of such application. If successful, in whole or in part, the director or officer seeking indemnification shall also be entitled to be paid the expense of prosecuting such application.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420"/>
          </w:cols>
          <w:pgMar w:left="240" w:top="274" w:right="239" w:bottom="1440" w:gutter="0" w:footer="0" w:header="0"/>
        </w:sectPr>
      </w:pPr>
    </w:p>
    <w:bookmarkStart w:id="42" w:name="page43"/>
    <w:bookmarkEnd w:id="42"/>
    <w:p>
      <w:pPr>
        <w:ind w:right="10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Expenses Payable in Advance</w:t>
      </w:r>
      <w:r>
        <w:rPr>
          <w:rFonts w:ascii="Times New Roman" w:cs="Times New Roman" w:eastAsia="Times New Roman" w:hAnsi="Times New Roman"/>
          <w:sz w:val="18"/>
          <w:szCs w:val="18"/>
          <w:color w:val="auto"/>
        </w:rPr>
        <w:t>. Expenses incurred by a director or officer in defending or investigating a threatened or pending action, suit or proceeding may be required by the Board of Directors to be paid (upon such terms and conditions, if any, as the Board deems appropriate)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Nonexclusivity of Indemnification and Advancement of Expenses</w:t>
      </w:r>
      <w:r>
        <w:rPr>
          <w:rFonts w:ascii="Times New Roman" w:cs="Times New Roman" w:eastAsia="Times New Roman" w:hAnsi="Times New Roman"/>
          <w:sz w:val="16"/>
          <w:szCs w:val="16"/>
          <w:color w:val="auto"/>
        </w:rPr>
        <w:t>. The indemnification and advancement of expenses provided by, or granted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Article VIII shall not be deemed exclusive of any other rights to which those seeking indemnification or advancement of expenses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entitled under any By-Law, agreement, contract, vote of stockholders or disinterested directors or pursuant to the direction (howsoever embodied) of any court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jurisdiction or otherwise, both as to action in a person’s official capacity and as to action in another capacity while holding such office, it being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policy of the Corporation that indemnification of the persons specified in Sections 1 and 2 of this Article VIII shall be made to the fullest extent permitted by law.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Article VIII shall not be deemed to preclude the indemnification of any person who is not specified in Section 1 of Section 2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Article VIII but whom the Corporation has the power or obligation to indemnify under the provisions of the General Corporation Law of the State of Delaware,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 is or was serving at the request of the Corporation as a director, officer, employee or agent of another corporation, partnership, joint venture, trust, employee benefit plan or other enterprise against any liability asserted against such person and incurred by him in any such capacity, or arising out of such person’s status as such, whether or not the Corporation would have the power or the obligation to indemnify such person against such liability under the provisions of this Article VIII.</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 surviving corporation as such indemnification relates to such person’s acts while serving in any of the foregoing capacities, of such constituent corporation, as such person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400"/>
          </w:cols>
          <w:pgMar w:left="240" w:top="274" w:right="259" w:bottom="1440" w:gutter="0" w:footer="0" w:header="0"/>
        </w:sectPr>
      </w:pPr>
    </w:p>
    <w:bookmarkStart w:id="43" w:name="page44"/>
    <w:bookmarkEnd w:id="4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136"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Survival of Indemnification and Advancement of Expenses</w:t>
      </w:r>
      <w:r>
        <w:rPr>
          <w:rFonts w:ascii="Times New Roman" w:cs="Times New Roman" w:eastAsia="Times New Roman" w:hAnsi="Times New Roman"/>
          <w:sz w:val="18"/>
          <w:szCs w:val="18"/>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 on Indemnification</w:t>
      </w:r>
      <w:r>
        <w:rPr>
          <w:rFonts w:ascii="Times New Roman" w:cs="Times New Roman" w:eastAsia="Times New Roman" w:hAnsi="Times New Roman"/>
          <w:sz w:val="18"/>
          <w:szCs w:val="18"/>
          <w:color w:val="auto"/>
        </w:rPr>
        <w:t>. Notwithstanding anything contained in this Article VIII to the contrary, except for proceedings to enforce rights to indemnification (which shall be governed by Section 5 of this Article VIII),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Except as otherwise provided in the Corporation’s Certificate of Incorporation,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Except as otherwise provided in the Corporation’s Certificate of Incorporation, all such amendments must be approved by either the holders of a majority of the outstanding capital stock entitled to vote thereon or by a majority of the entire Board of Directors then in office.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[Letterhead of WM]</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September 28, 2012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 and Waste Management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September 28, 2012)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90"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I am Senior Legal Counsel—Corporate &amp; Securities of Waste Management, Inc., a Delaware corporation (“WMI”) and have acted as counsel to WMI and Waste Management Holdings, Inc., a Delaware corporation (“Holdings”) in connection with the preparation and filing with the Securities and Exchange Commission (the “Commission”) under the Securities Act of 1933, as amended (the “Act”), of a Registration Statement (filed September 28, 2012) on Form S-3 (the “Registration Statement”). The Registration Statement relates to (a) securities of WMI (the “WMI Securities”), including (i) debt securities of WMI (“Debt Securities”); (ii) common stock of WMI, par value $0.01 per share (“Common Stock”); (iii) preferred stock of WMI, par value $0.01 per share (“Preferred Stock”); (iv) warrants of WMI (“Warrants”), representing rights to purchase Debt Securities, Preferred Stock, Common Stock or other securities, property, or assets pursuant to one or more warrant agreements (“Warrant Agreements”); and (v) units of WMI (“Units”) representing rights to, ownership of, or undivided beneficial ownership interests in, Debt Securities, shares of Common Stock, shares of Preferred Stock, debt obligations of third parties or Warrants relating to any of the foregoing; and (b) guarantees Holdings may issue with respect to Debt Securities (“Holdings Guarantees,” and collectively with the WMI Securities, the “Securities”), all of which may be issued and sold from time to time in one or more series. WMI has advised me that the Securities will be offered in amounts, at prices and on terms to be determined in light of market conditions at the time of sale and to be set forth in supplements to the prospectus contained in the Registration Statement to which this opinion is an exhibit.</w:t>
      </w:r>
    </w:p>
    <w:p>
      <w:pPr>
        <w:spacing w:after="0" w:line="14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(i) the Certificate of Incorporation and Bylaws of WMI and Holdings, each as amended to the date hereof; (ii) resolutions adopted by the Board of Directors of WMI and Holdings; (iii) the Registration Statement; (iv) the Senior Debt Indenture between WMI and The Bank of New York Mellon Trust Company, National Association (as successor in interest to Texas Commerce Bank National Association), as trustee, dated September 10, 1997 (the “Senior Indenture”) relating to the senior Debt Securities, in the form incorporated as an exhibit to the Registration Statement; (v) the Subordinated Debt Indenture Company between WMI and The Bank of New York Mellon Trust Company, National Association (as successor in interest to Texas Commerce Bank National Association), as trustee, dated February 1, 1997 (the “Subordinated Indenture”, and together with the Senior Indenture, the “Indentures”) relating to the subordinated Debt Securities, in the form incorporated as an exhibit to the Registration Statement; and (vi) such other certificates, statutes and other instruments and documents as I considered appropriate for purposes of the opinions hereafter expressed.</w:t>
      </w:r>
    </w:p>
    <w:p>
      <w:pPr>
        <w:spacing w:after="0" w:line="143"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As to any facts material to the opinions contained herein, I have made no independent investigation of such facts and have relied, to the extent that I deemed such reliance proper, upon certificates of public officials and officers or other representatives of WMI and Holdings.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2012</w:t>
      </w:r>
    </w:p>
    <w:p>
      <w:pPr>
        <w:spacing w:after="0" w:line="159" w:lineRule="exact"/>
        <w:rPr>
          <w:sz w:val="20"/>
          <w:szCs w:val="20"/>
          <w:color w:val="auto"/>
        </w:rPr>
      </w:pPr>
    </w:p>
    <w:p>
      <w:pPr>
        <w:ind w:right="340" w:firstLine="456"/>
        <w:spacing w:after="0" w:line="285" w:lineRule="auto"/>
        <w:rPr>
          <w:sz w:val="20"/>
          <w:szCs w:val="20"/>
          <w:color w:val="auto"/>
        </w:rPr>
      </w:pPr>
      <w:r>
        <w:rPr>
          <w:rFonts w:ascii="Times New Roman" w:cs="Times New Roman" w:eastAsia="Times New Roman" w:hAnsi="Times New Roman"/>
          <w:sz w:val="16"/>
          <w:szCs w:val="16"/>
          <w:color w:val="auto"/>
        </w:rPr>
        <w:t>In rendering the opinions set forth below, I have assumed that (i) all information contained in all documents reviewed by me is true and correct; (ii) all signatures on all documents examined by me are genuine; (iii) all documents submitted to me as originals are authentic and all documents submitted to me as copies conform to the originals of those documents; (iv) each natural person signing any document reviewed by me had the legal capacity to do so; (v) each person signing in a representative capacity (other than on behalf of WMI or Holdings) any document reviewed by me had authority to sign in such capacity;</w:t>
      </w:r>
    </w:p>
    <w:p>
      <w:pPr>
        <w:spacing w:after="0" w:line="3" w:lineRule="exact"/>
        <w:rPr>
          <w:sz w:val="20"/>
          <w:szCs w:val="20"/>
          <w:color w:val="auto"/>
        </w:rPr>
      </w:pPr>
    </w:p>
    <w:p>
      <w:pPr>
        <w:ind w:right="240" w:firstLine="8"/>
        <w:spacing w:after="0" w:line="281" w:lineRule="auto"/>
        <w:tabs>
          <w:tab w:leader="none" w:pos="29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and any post-effective amendments thereto, will be effective and comply with all applicable laws; (vii) one or more prospectus supplements will have been prepared and filed with the Commission describing the Securities offered thereby; (viii) all Securities will be issued and sold in compliance with applicable federal and state securities laws and in the manner stated in the Registration Statement and an applicable prospectus supplement;</w:t>
      </w:r>
    </w:p>
    <w:p>
      <w:pPr>
        <w:spacing w:after="0" w:line="2" w:lineRule="exact"/>
        <w:rPr>
          <w:rFonts w:ascii="Times New Roman" w:cs="Times New Roman" w:eastAsia="Times New Roman" w:hAnsi="Times New Roman"/>
          <w:sz w:val="16"/>
          <w:szCs w:val="16"/>
          <w:color w:val="auto"/>
        </w:rPr>
      </w:pPr>
    </w:p>
    <w:p>
      <w:pPr>
        <w:ind w:right="60" w:firstLine="8"/>
        <w:spacing w:after="0" w:line="288" w:lineRule="auto"/>
        <w:tabs>
          <w:tab w:leader="none" w:pos="29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Senior Indenture and the Subordinated Indenture, together with any supplemental indenture or other instruments establishing a series of Debt Securities to be issued under either of the Indentures, has been or will be duly authorized, executed and delivered by the parties thereto in substantially the form reviewed by me or with changes that do not affect the opinions given hereunder; (x) at the time of any offering or sale of any shares of Common Stock or Preferred Stock, that WMI will have at least such number of shares of Common Stock or Preferred Stock authorized, created and, if appropriate, reserved for issuance; (xi) a definitive purchase, underwriting or similar agreement with respect to any Securities offered will have been duly authorized and validly executed and delivered by WMI and the other parties thereto; and (xii) any Securities issuable upon conversion, exchange or exercise of any Security being offered or sold will at the time of such offering or sale have been duly authorized, created and, if appropriate, reserved for issuance upon such conversion, exchange or exercise.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the foregoing, and subject to the assumptions, qualifications, limitations and exceptions set forth herein, I am of the opinion that:</w:t>
      </w:r>
    </w:p>
    <w:p>
      <w:pPr>
        <w:spacing w:after="0" w:line="90" w:lineRule="exact"/>
        <w:rPr>
          <w:sz w:val="20"/>
          <w:szCs w:val="20"/>
          <w:color w:val="auto"/>
        </w:rPr>
      </w:pPr>
    </w:p>
    <w:p>
      <w:pPr>
        <w:ind w:right="20" w:firstLine="464"/>
        <w:spacing w:after="0" w:line="253" w:lineRule="auto"/>
        <w:tabs>
          <w:tab w:leader="none" w:pos="6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when (i) the applicable Indenture has been duly qualified under the Trust Indenture Act of 1939 (the “TIA”); (ii) the Board of Directors of WMI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WMI or any of its assets or properties and so as to comply with any requirement or restriction imposed by any court or governmental body having jurisdiction over WMI or any of its assets or properties; and (iv) such Debt Securities have been duly executed, authenticated, issued and delivered in accordance with the provisions of the applicable Indenture and in accordance with the applicable definitive purchase, underwriting or similar agreement approved by the Board or persons duly authorized thereby, then upon payment of the consideration provided for therein, such Debt Securities will be legally issued and will constitute valid and binding obligations of WMI, enforceable against WMI in accordance with their terms and will be entitled to the benefits of the applicable Indenture.</w:t>
      </w:r>
    </w:p>
    <w:p>
      <w:pPr>
        <w:spacing w:after="0" w:line="143" w:lineRule="exact"/>
        <w:rPr>
          <w:rFonts w:ascii="Times New Roman" w:cs="Times New Roman" w:eastAsia="Times New Roman" w:hAnsi="Times New Roman"/>
          <w:sz w:val="18"/>
          <w:szCs w:val="18"/>
          <w:color w:val="auto"/>
        </w:rPr>
      </w:pPr>
    </w:p>
    <w:p>
      <w:pPr>
        <w:jc w:val="both"/>
        <w:ind w:right="40" w:firstLine="464"/>
        <w:spacing w:after="0" w:line="289" w:lineRule="auto"/>
        <w:tabs>
          <w:tab w:leader="none" w:pos="705"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w:t>
      </w:r>
    </w:p>
    <w:p>
      <w:pPr>
        <w:spacing w:after="0" w:line="1" w:lineRule="exact"/>
        <w:rPr>
          <w:rFonts w:ascii="Times New Roman" w:cs="Times New Roman" w:eastAsia="Times New Roman" w:hAnsi="Times New Roman"/>
          <w:sz w:val="16"/>
          <w:szCs w:val="16"/>
          <w:color w:val="auto"/>
        </w:rPr>
      </w:pPr>
    </w:p>
    <w:p>
      <w:pPr>
        <w:ind w:firstLine="8"/>
        <w:spacing w:after="0" w:line="253" w:lineRule="auto"/>
        <w:tabs>
          <w:tab w:leader="none" w:pos="2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definitive purchase, underwriting or similar agreement approved by the Board,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or persons duly authorized thereby, such shares of Common Stock will be validly issued, fully paid and non-assessable.</w:t>
      </w:r>
    </w:p>
    <w:p>
      <w:pPr>
        <w:spacing w:after="0" w:line="139" w:lineRule="exact"/>
        <w:rPr>
          <w:rFonts w:ascii="Times New Roman" w:cs="Times New Roman" w:eastAsia="Times New Roman" w:hAnsi="Times New Roman"/>
          <w:sz w:val="18"/>
          <w:szCs w:val="18"/>
          <w:color w:val="auto"/>
        </w:rPr>
      </w:pPr>
    </w:p>
    <w:p>
      <w:pPr>
        <w:ind w:right="40" w:firstLine="464"/>
        <w:spacing w:after="0" w:line="253" w:lineRule="auto"/>
        <w:tabs>
          <w:tab w:leader="none" w:pos="6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(i) the Board has taken all necessary corporate action to approve the issuance and terms of the shares of the series, the terms 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as required under Section 151 of the General Corporation law of the State of Delaware (the “DGCL”) (the “Certificate of Designation”); and (ii) certificates representing the shares of the series of Preferred Stock have been duly executed, countersigned, registered and delivered either (A) in accordance with the applicable definitive purchase, underwriting or similar agreement approved by the Board,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or persons duly authorized thereby, the shares of the series of Preferred Stock will be validly issued, fully paid and non-assessable.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46" w:name="page47"/>
    <w:bookmarkEnd w:id="46"/>
    <w:p>
      <w:pPr>
        <w:ind w:right="140" w:firstLine="464"/>
        <w:spacing w:after="0" w:line="255" w:lineRule="auto"/>
        <w:tabs>
          <w:tab w:leader="none" w:pos="7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WMI and the warrant agent appointed by WMI;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persons duly authorized thereby, then upon payment of the consideration provided for therein, the Warrants will be legally issued and will constitute valid and binding obligations of WMI.</w:t>
      </w:r>
    </w:p>
    <w:p>
      <w:pPr>
        <w:spacing w:after="0" w:line="139" w:lineRule="exact"/>
        <w:rPr>
          <w:rFonts w:ascii="Times New Roman" w:cs="Times New Roman" w:eastAsia="Times New Roman" w:hAnsi="Times New Roman"/>
          <w:sz w:val="18"/>
          <w:szCs w:val="18"/>
          <w:color w:val="auto"/>
        </w:rPr>
      </w:pPr>
    </w:p>
    <w:p>
      <w:pPr>
        <w:ind w:firstLine="464"/>
        <w:spacing w:after="0" w:line="25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Units, when (i) the purchase agreement for the Units has been duly authorized and validly executed by the parties thereto, (ii) the Board has taken all necessary corporate action to approve and establish the terms of the Units and to authorize and approve the issuance thereof, the terms of the offering and related matters; and (iii) the Units have been duly executed and delivered in accordance with the purchase agreement and the applicable definitive purchase, underwriting or similar agreement approved by or on behalf of the Board or persons duly authorized thereby, then upon payment of the consideration therefor provided therein, the Units will be legally issued and will constitute valid and binding obligations of WMI.</w:t>
      </w:r>
    </w:p>
    <w:p>
      <w:pPr>
        <w:spacing w:after="0" w:line="138" w:lineRule="exact"/>
        <w:rPr>
          <w:rFonts w:ascii="Times New Roman" w:cs="Times New Roman" w:eastAsia="Times New Roman" w:hAnsi="Times New Roman"/>
          <w:sz w:val="18"/>
          <w:szCs w:val="18"/>
          <w:color w:val="auto"/>
        </w:rPr>
      </w:pPr>
    </w:p>
    <w:p>
      <w:pPr>
        <w:ind w:right="60" w:firstLine="464"/>
        <w:spacing w:after="0" w:line="256" w:lineRule="auto"/>
        <w:tabs>
          <w:tab w:leader="none" w:pos="6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Holdings Guarantees, when (i) the terms of the Holdings Guarantees and of their issuance, sale and related matters have been duly authorized and approved by all necessary action of Holdings’ Board of Directors or persons duly authorized thereby; and (ii) the Holdings Guarantees have been duly executed and delivered in accordance with the purchase agreement and the applicable definitive purchase, underwriting or similar agreement approved by or on behalf of the Holdings’ Board of Directors, then upon payment of the consideration therefor provided therein, the Holdings Guarantees will be legally issued and constitute the valid and binding obligation of Holdings.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opinions are qualified to the extent that the enforceability of any document, instrument or Security may be limited by or subject to</w:t>
      </w:r>
    </w:p>
    <w:p>
      <w:pPr>
        <w:spacing w:after="0" w:line="21" w:lineRule="exact"/>
        <w:rPr>
          <w:sz w:val="20"/>
          <w:szCs w:val="20"/>
          <w:color w:val="auto"/>
        </w:rPr>
      </w:pPr>
    </w:p>
    <w:p>
      <w:pPr>
        <w:ind w:right="120" w:firstLine="8"/>
        <w:spacing w:after="0" w:line="253" w:lineRule="auto"/>
        <w:tabs>
          <w:tab w:leader="none" w:pos="2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fraudulent transfer or conveyance, reorganization, moratorium or other similar laws relating to or affecting creditors’ rights generally, and general equitable or public policy principles (regardless of whether enforcement is sought in a proceeding in equity or law),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 express no opinions concerning (i) the validity or enforceability of any provisions contained in either of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My opinions above are limited to the laws of the State of Texas and New York, the DGCL and the federal laws of the United States (except that I express no opinion with respect to any state securities laws or “blue sky” laws), and I do not express any opinion herein concerning any other law. I am licensed to practice law in the State of Texas. I have not examined any laws, regulations or other governmental proceedings other than laws and regulations of general application. 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Registration Statement and to the use of my name in the prospectus forming a part of the Registration Statement under the caption “Legal Matters.” By giving such consent, I do not admit that I am within the category of persons whose consent is required under Section 7 of the Act or the rules and regulations of Commission issued thereunder.</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Courtney A. Tippy</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Legal Counsel — Corporate &amp; Securities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losses in equity investments(a)</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3"/>
              </w:rPr>
              <w:t>1,557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3"/>
              </w:rPr>
              <w:t>1,656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1,792</w:t>
            </w:r>
          </w:p>
        </w:tc>
        <w:tc>
          <w:tcPr>
            <w:tcW w:w="100" w:type="dxa"/>
            <w:vAlign w:val="bottom"/>
            <w:shd w:val="clear" w:color="auto" w:fill="CCEEFF"/>
          </w:tcPr>
          <w:p>
            <w:pPr>
              <w:spacing w:after="0"/>
              <w:rPr>
                <w:sz w:val="18"/>
                <w:szCs w:val="18"/>
                <w:color w:val="auto"/>
              </w:rPr>
            </w:pPr>
          </w:p>
        </w:tc>
      </w:tr>
      <w:tr>
        <w:trPr>
          <w:trHeight w:val="222"/>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charges deducted from income:</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Implicit interest in rents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Earnings available for fixed charges(b)</w:t>
            </w:r>
          </w:p>
        </w:tc>
        <w:tc>
          <w:tcPr>
            <w:tcW w:w="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2,083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2,169</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1,939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2,294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Implicit interest in rents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fixed charges(b)</w:t>
            </w:r>
          </w:p>
        </w:tc>
        <w:tc>
          <w:tcPr>
            <w:tcW w:w="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4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Ratio of earnings to fixed charges(a)</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3.8x</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4.1x</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4.5x</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4.0x</w:t>
            </w: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220" w:hanging="452"/>
        <w:spacing w:after="0" w:line="287"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ind w:left="460" w:right="80" w:hanging="452"/>
        <w:spacing w:after="0" w:line="25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11420"/>
          </w:cols>
          <w:pgMar w:left="240" w:top="123"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Waste Management, Inc. for the registration of debt securities, common stock, preferred stock, warrants, guarantees and units and to the incorporation by reference therein of our reports dated February 16, 2012, with respect to the consolidated financial statements and schedule of Waste Management, Inc. and the effectiveness of internal control over financial reporting of Waste Management, Inc., included in its Annual Report (Form 10-K) for the year ended December 31, 2011, filed with the Securities and Exchange Commission.</w:t>
      </w:r>
    </w:p>
    <w:p>
      <w:pPr>
        <w:spacing w:after="0" w:line="17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2012</w:t>
      </w:r>
    </w:p>
    <w:p>
      <w:pPr>
        <w:sectPr>
          <w:pgSz w:w="11900" w:h="16838" w:orient="portrait"/>
          <w:cols w:equalWidth="0" w:num="1">
            <w:col w:w="11420"/>
          </w:cols>
          <w:pgMar w:left="240" w:top="123"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24, 2012</w:t>
      </w:r>
    </w:p>
    <w:p>
      <w:pPr>
        <w:spacing w:after="0" w:line="171"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Each person whose signature appears below appoints David P. Steiner, James C. Fish, Jr. and Rick L Wittenbraker, and each of them severally, as his true and lawful attorney or attorneys-in-fact and agent or agents, each of whom shall be authorized to act with or without the other, with full power of substitution and resubstitution, for him and in his name, place and stead in his capacity as a director or officer or both, as the case may be, to sign a Registration Statement on Form S-3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30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7"/>
              </w:rPr>
              <w:t>/s/ David P. Steiner</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r>
      <w:tr>
        <w:trPr>
          <w:trHeight w:val="222"/>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4"/>
              </w:rPr>
              <w:t>David P. Steiner</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r>
      <w:tr>
        <w:trPr>
          <w:trHeight w:val="325"/>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6"/>
              </w:rPr>
              <w:t>/s/ James C. Fish, Jr.</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Executive Vice President and Chief Financial Officer</w:t>
            </w:r>
          </w:p>
        </w:tc>
      </w:tr>
      <w:tr>
        <w:trPr>
          <w:trHeight w:val="222"/>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James C. Fish, Jr.</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Financial Officer)</w:t>
            </w:r>
          </w:p>
        </w:tc>
      </w:tr>
      <w:tr>
        <w:trPr>
          <w:trHeight w:val="325"/>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5"/>
              </w:rPr>
              <w:t>/s/ Don P. Carpenter</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Vice President and Chief Accounting Officer</w:t>
            </w:r>
          </w:p>
        </w:tc>
      </w:tr>
      <w:tr>
        <w:trPr>
          <w:trHeight w:val="222"/>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5"/>
              </w:rPr>
              <w:t>Don P. Carpenter</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Accounting Officer)</w:t>
            </w: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6"/>
              </w:rPr>
              <w:t>/s/ Bradbury H. Anderson</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Bradbury H. Anderson</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6"/>
              </w:rPr>
              <w:t>Pastora San Juan Cafferty</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7"/>
              </w:rPr>
              <w:t>/s/ Frank M. Clark, Jr.</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5"/>
              </w:rPr>
              <w:t>Frank M. Clark, Jr.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6"/>
              </w:rPr>
              <w:t>/s/ Patrick W. Gross</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Patrick W. Gross</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8"/>
                <w:szCs w:val="18"/>
                <w:color w:val="auto"/>
                <w:w w:val="97"/>
              </w:rPr>
              <w:t>/s/ John C. Pope</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6"/>
              </w:rPr>
              <w:t>John C. Pope</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8"/>
                <w:szCs w:val="18"/>
                <w:color w:val="auto"/>
                <w:w w:val="96"/>
              </w:rPr>
              <w:t>/S/ W. Robert Reum</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of the Board and 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6"/>
              </w:rPr>
              <w:t>W. Robert Reum</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6"/>
              </w:rPr>
              <w:t>/s/ Thomas H. Weidemeyer</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3"/>
        </w:trPr>
        <w:tc>
          <w:tcPr>
            <w:tcW w:w="220" w:type="dxa"/>
            <w:vAlign w:val="bottom"/>
          </w:tcPr>
          <w:p>
            <w:pPr>
              <w:spacing w:after="0"/>
              <w:rPr>
                <w:sz w:val="19"/>
                <w:szCs w:val="19"/>
                <w:color w:val="auto"/>
              </w:rPr>
            </w:pPr>
          </w:p>
        </w:tc>
        <w:tc>
          <w:tcPr>
            <w:tcW w:w="56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Thomas H. Weidemeyer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ectPr>
          <w:pgSz w:w="11900" w:h="16838" w:orient="portrait"/>
          <w:cols w:equalWidth="0" w:num="1">
            <w:col w:w="11420"/>
          </w:cols>
          <w:pgMar w:left="240" w:top="123"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FORM T-1</w:t>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STATEMENT OF ELIGIBILITY</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UNDER THE TRUST INDENTURE ACT OF 1939 OF A</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CHECK IF AN APPLICATION TO DETERMINE</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ELIGIBILITY OF A TRUSTEE PURSUANT TO</w:t>
      </w:r>
    </w:p>
    <w:p>
      <w:pPr>
        <w:spacing w:after="0" w:line="9" w:lineRule="exact"/>
        <w:rPr>
          <w:sz w:val="20"/>
          <w:szCs w:val="20"/>
          <w:color w:val="auto"/>
        </w:rPr>
      </w:pPr>
    </w:p>
    <w:p>
      <w:pPr>
        <w:jc w:val="center"/>
        <w:ind w:right="12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SECTION 305(b)(2) </w:t>
      </w:r>
      <w:r>
        <w:rPr>
          <w:rFonts w:ascii="MS PGothic" w:cs="MS PGothic" w:eastAsia="MS PGothic" w:hAnsi="MS PGothic"/>
          <w:sz w:val="18"/>
          <w:szCs w:val="18"/>
          <w:color w:val="auto"/>
        </w:rPr>
        <w:t>☐</w:t>
      </w:r>
    </w:p>
    <w:p>
      <w:pPr>
        <w:spacing w:after="0" w:line="31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95-3571558</w:t>
            </w:r>
          </w:p>
        </w:tc>
      </w:tr>
      <w:tr>
        <w:trPr>
          <w:trHeight w:val="216"/>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6"/>
              </w:rPr>
              <w:t>(State of incorporation</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28"/>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if not a U.S. national bank)</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identification no.)</w:t>
            </w:r>
          </w:p>
        </w:tc>
      </w:tr>
      <w:tr>
        <w:trPr>
          <w:trHeight w:val="431"/>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7"/>
              </w:rPr>
              <w:t>400 South Hope Street Suite 400</w:t>
            </w:r>
          </w:p>
        </w:tc>
        <w:tc>
          <w:tcPr>
            <w:tcW w:w="1540" w:type="dxa"/>
            <w:vAlign w:val="bottom"/>
          </w:tcPr>
          <w:p>
            <w:pPr>
              <w:spacing w:after="0"/>
              <w:rPr>
                <w:sz w:val="24"/>
                <w:szCs w:val="24"/>
                <w:color w:val="auto"/>
              </w:rPr>
            </w:pPr>
          </w:p>
        </w:tc>
      </w:tr>
      <w:tr>
        <w:trPr>
          <w:trHeight w:val="232"/>
        </w:trPr>
        <w:tc>
          <w:tcPr>
            <w:tcW w:w="6240" w:type="dxa"/>
            <w:vAlign w:val="bottom"/>
          </w:tcPr>
          <w:p>
            <w:pPr>
              <w:jc w:val="center"/>
              <w:ind w:right="3352"/>
              <w:spacing w:after="0"/>
              <w:rPr>
                <w:sz w:val="20"/>
                <w:szCs w:val="20"/>
                <w:color w:val="auto"/>
              </w:rPr>
            </w:pPr>
            <w:r>
              <w:rPr>
                <w:rFonts w:ascii="Times New Roman" w:cs="Times New Roman" w:eastAsia="Times New Roman" w:hAnsi="Times New Roman"/>
                <w:sz w:val="18"/>
                <w:szCs w:val="18"/>
                <w:b w:val="1"/>
                <w:bCs w:val="1"/>
                <w:color w:val="auto"/>
                <w:w w:val="97"/>
              </w:rPr>
              <w:t>Los Angeles, California</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b w:val="1"/>
                <w:bCs w:val="1"/>
                <w:color w:val="auto"/>
                <w:w w:val="97"/>
              </w:rPr>
              <w:t>90071</w:t>
            </w:r>
          </w:p>
        </w:tc>
      </w:tr>
      <w:tr>
        <w:trPr>
          <w:trHeight w:val="228"/>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4"/>
                <w:szCs w:val="14"/>
                <w:color w:val="auto"/>
                <w:w w:val="98"/>
              </w:rPr>
              <w:t>(Zip code)</w:t>
            </w:r>
          </w:p>
        </w:tc>
      </w:tr>
      <w:tr>
        <w:trPr>
          <w:trHeight w:val="528"/>
        </w:trPr>
        <w:tc>
          <w:tcPr>
            <w:tcW w:w="624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6"/>
              </w:rPr>
              <w:t>WASTE MANAGEMENT, INC.</w:t>
            </w:r>
          </w:p>
        </w:tc>
        <w:tc>
          <w:tcPr>
            <w:tcW w:w="1540" w:type="dxa"/>
            <w:vAlign w:val="bottom"/>
          </w:tcPr>
          <w:p>
            <w:pPr>
              <w:spacing w:after="0"/>
              <w:rPr>
                <w:sz w:val="24"/>
                <w:szCs w:val="24"/>
                <w:color w:val="auto"/>
              </w:rPr>
            </w:pPr>
          </w:p>
        </w:tc>
      </w:tr>
      <w:tr>
        <w:trPr>
          <w:trHeight w:val="228"/>
        </w:trPr>
        <w:tc>
          <w:tcPr>
            <w:tcW w:w="624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7"/>
              </w:rPr>
              <w:t>(Exact name of obligor as specified in its charter)</w:t>
            </w:r>
          </w:p>
        </w:tc>
        <w:tc>
          <w:tcPr>
            <w:tcW w:w="1540" w:type="dxa"/>
            <w:vAlign w:val="bottom"/>
          </w:tcPr>
          <w:p>
            <w:pPr>
              <w:spacing w:after="0"/>
              <w:rPr>
                <w:sz w:val="19"/>
                <w:szCs w:val="19"/>
                <w:color w:val="auto"/>
              </w:rPr>
            </w:pPr>
          </w:p>
        </w:tc>
      </w:tr>
      <w:tr>
        <w:trPr>
          <w:trHeight w:val="406"/>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16"/>
        </w:trPr>
        <w:tc>
          <w:tcPr>
            <w:tcW w:w="6240" w:type="dxa"/>
            <w:vAlign w:val="bottom"/>
          </w:tcPr>
          <w:p>
            <w:pPr>
              <w:jc w:val="center"/>
              <w:ind w:right="335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28"/>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identification no.)</w:t>
            </w:r>
          </w:p>
        </w:tc>
      </w:tr>
      <w:tr>
        <w:trPr>
          <w:trHeight w:val="431"/>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6"/>
              </w:rPr>
              <w:t>1001 Fannin Street,</w:t>
            </w:r>
          </w:p>
        </w:tc>
        <w:tc>
          <w:tcPr>
            <w:tcW w:w="1540" w:type="dxa"/>
            <w:vAlign w:val="bottom"/>
          </w:tcPr>
          <w:p>
            <w:pPr>
              <w:spacing w:after="0"/>
              <w:rPr>
                <w:sz w:val="24"/>
                <w:szCs w:val="24"/>
                <w:color w:val="auto"/>
              </w:rPr>
            </w:pPr>
          </w:p>
        </w:tc>
      </w:tr>
      <w:tr>
        <w:trPr>
          <w:trHeight w:val="216"/>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8"/>
              </w:rPr>
              <w:t>Suite 4000</w:t>
            </w:r>
          </w:p>
        </w:tc>
        <w:tc>
          <w:tcPr>
            <w:tcW w:w="1540" w:type="dxa"/>
            <w:vAlign w:val="bottom"/>
          </w:tcPr>
          <w:p>
            <w:pPr>
              <w:spacing w:after="0"/>
              <w:rPr>
                <w:sz w:val="18"/>
                <w:szCs w:val="18"/>
                <w:color w:val="auto"/>
              </w:rPr>
            </w:pPr>
          </w:p>
        </w:tc>
      </w:tr>
      <w:tr>
        <w:trPr>
          <w:trHeight w:val="232"/>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5"/>
              </w:rPr>
              <w:t>Houston, Texas</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b w:val="1"/>
                <w:bCs w:val="1"/>
                <w:color w:val="auto"/>
                <w:w w:val="97"/>
              </w:rPr>
              <w:t>77002</w:t>
            </w:r>
          </w:p>
        </w:tc>
      </w:tr>
      <w:tr>
        <w:trPr>
          <w:trHeight w:val="228"/>
        </w:trPr>
        <w:tc>
          <w:tcPr>
            <w:tcW w:w="62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5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528"/>
        </w:trPr>
        <w:tc>
          <w:tcPr>
            <w:tcW w:w="624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7"/>
              </w:rPr>
              <w:t>Senior Debt Securities</w:t>
            </w:r>
          </w:p>
        </w:tc>
        <w:tc>
          <w:tcPr>
            <w:tcW w:w="1540" w:type="dxa"/>
            <w:vAlign w:val="bottom"/>
          </w:tcPr>
          <w:p>
            <w:pPr>
              <w:spacing w:after="0"/>
              <w:rPr>
                <w:sz w:val="24"/>
                <w:szCs w:val="24"/>
                <w:color w:val="auto"/>
              </w:rPr>
            </w:pPr>
          </w:p>
        </w:tc>
      </w:tr>
      <w:tr>
        <w:trPr>
          <w:trHeight w:val="228"/>
        </w:trPr>
        <w:tc>
          <w:tcPr>
            <w:tcW w:w="6240" w:type="dxa"/>
            <w:vAlign w:val="bottom"/>
          </w:tcPr>
          <w:p>
            <w:pPr>
              <w:jc w:val="center"/>
              <w:ind w:left="2092"/>
              <w:spacing w:after="0"/>
              <w:rPr>
                <w:sz w:val="20"/>
                <w:szCs w:val="20"/>
                <w:color w:val="auto"/>
              </w:rPr>
            </w:pPr>
            <w:r>
              <w:rPr>
                <w:rFonts w:ascii="Times New Roman" w:cs="Times New Roman" w:eastAsia="Times New Roman" w:hAnsi="Times New Roman"/>
                <w:sz w:val="18"/>
                <w:szCs w:val="18"/>
                <w:color w:val="auto"/>
                <w:w w:val="97"/>
              </w:rPr>
              <w:t>(Title of the Indenture Securities)</w:t>
            </w:r>
          </w:p>
        </w:tc>
        <w:tc>
          <w:tcPr>
            <w:tcW w:w="1540" w:type="dxa"/>
            <w:vAlign w:val="bottom"/>
          </w:tcPr>
          <w:p>
            <w:pPr>
              <w:spacing w:after="0"/>
              <w:rPr>
                <w:sz w:val="19"/>
                <w:szCs w:val="19"/>
                <w:color w:val="auto"/>
              </w:rPr>
            </w:pPr>
          </w:p>
        </w:tc>
      </w:tr>
    </w:tbl>
    <w:p>
      <w:pPr>
        <w:sectPr>
          <w:pgSz w:w="11900" w:h="16838" w:orient="portrait"/>
          <w:cols w:equalWidth="0" w:num="1">
            <w:col w:w="10220"/>
          </w:cols>
          <w:pgMar w:left="1440" w:top="123" w:right="239" w:bottom="1440" w:gutter="0" w:footer="0" w:header="0"/>
        </w:sectPr>
      </w:pPr>
    </w:p>
    <w:bookmarkStart w:id="51" w:name="page52"/>
    <w:bookmarkEnd w:id="51"/>
    <w:p>
      <w:pPr>
        <w:ind w:left="460" w:hanging="452"/>
        <w:spacing w:after="0"/>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90"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gridSpan w:val="2"/>
          </w:tcPr>
          <w:p>
            <w:pPr>
              <w:ind w:left="2740"/>
              <w:spacing w:after="0"/>
              <w:rPr>
                <w:sz w:val="20"/>
                <w:szCs w:val="20"/>
                <w:color w:val="auto"/>
              </w:rPr>
            </w:pPr>
            <w:r>
              <w:rPr>
                <w:rFonts w:ascii="Times New Roman" w:cs="Times New Roman" w:eastAsia="Times New Roman" w:hAnsi="Times New Roman"/>
                <w:sz w:val="14"/>
                <w:szCs w:val="14"/>
                <w:color w:val="auto"/>
              </w:rPr>
              <w:t>Name</w:t>
            </w:r>
          </w:p>
        </w:tc>
        <w:tc>
          <w:tcPr>
            <w:tcW w:w="536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Address</w:t>
            </w:r>
          </w:p>
        </w:tc>
      </w:tr>
      <w:tr>
        <w:trPr>
          <w:trHeight w:val="196"/>
        </w:trPr>
        <w:tc>
          <w:tcPr>
            <w:tcW w:w="20" w:type="dxa"/>
            <w:vAlign w:val="bottom"/>
          </w:tcPr>
          <w:p>
            <w:pPr>
              <w:spacing w:after="0"/>
              <w:rPr>
                <w:sz w:val="17"/>
                <w:szCs w:val="17"/>
                <w:color w:val="auto"/>
              </w:rPr>
            </w:pPr>
          </w:p>
        </w:tc>
        <w:tc>
          <w:tcPr>
            <w:tcW w:w="58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Comptroller of the Currency</w:t>
            </w:r>
          </w:p>
        </w:tc>
        <w:tc>
          <w:tcPr>
            <w:tcW w:w="2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42"/>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Department of the Treasury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20219</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Reserve Bank</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94105</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20429</w:t>
            </w:r>
          </w:p>
        </w:tc>
      </w:tr>
    </w:tbl>
    <w:p>
      <w:pPr>
        <w:spacing w:after="0" w:line="229" w:lineRule="exact"/>
        <w:rPr>
          <w:sz w:val="20"/>
          <w:szCs w:val="20"/>
          <w:color w:val="auto"/>
        </w:rPr>
      </w:pPr>
    </w:p>
    <w:p>
      <w:pPr>
        <w:ind w:left="460" w:right="624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(b) Whether it is authorized to exercise corporate trust powers. </w:t>
      </w:r>
      <w:r>
        <w:rPr>
          <w:rFonts w:ascii="Times New Roman" w:cs="Times New Roman" w:eastAsia="Times New Roman" w:hAnsi="Times New Roman"/>
          <w:sz w:val="18"/>
          <w:szCs w:val="18"/>
          <w:color w:val="auto"/>
        </w:rPr>
        <w:t>Yes.</w:t>
      </w:r>
    </w:p>
    <w:p>
      <w:pPr>
        <w:spacing w:after="0" w:line="156"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171" w:lineRule="exact"/>
        <w:rPr>
          <w:rFonts w:ascii="Times New Roman" w:cs="Times New Roman" w:eastAsia="Times New Roman" w:hAnsi="Times New Roman"/>
          <w:sz w:val="18"/>
          <w:szCs w:val="18"/>
          <w:b w:val="1"/>
          <w:bCs w:val="1"/>
          <w:color w:val="auto"/>
        </w:rPr>
      </w:pPr>
    </w:p>
    <w:p>
      <w:pPr>
        <w:ind w:left="460" w:right="5640"/>
        <w:spacing w:after="0" w:line="3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the obligor is an affiliate of the trustee, describe each such affiliation. </w:t>
      </w: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3-15. Not applicable.</w:t>
      </w:r>
    </w:p>
    <w:p>
      <w:pPr>
        <w:spacing w:after="0" w:line="90"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90" w:lineRule="exact"/>
        <w:rPr>
          <w:rFonts w:ascii="Times New Roman" w:cs="Times New Roman" w:eastAsia="Times New Roman" w:hAnsi="Times New Roman"/>
          <w:sz w:val="18"/>
          <w:szCs w:val="18"/>
          <w:b w:val="1"/>
          <w:bCs w:val="1"/>
          <w:color w:val="auto"/>
        </w:rPr>
      </w:pPr>
    </w:p>
    <w:p>
      <w:pPr>
        <w:ind w:left="460" w:right="5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ectPr>
          <w:pgSz w:w="11900" w:h="16838" w:orient="portrait"/>
          <w:cols w:equalWidth="0" w:num="1">
            <w:col w:w="11420"/>
          </w:cols>
          <w:pgMar w:left="240" w:top="272" w:right="239" w:bottom="1440" w:gutter="0" w:footer="0" w:header="0"/>
        </w:sectPr>
      </w:pPr>
    </w:p>
    <w:bookmarkStart w:id="52" w:name="page53"/>
    <w:bookmarkEnd w:id="52"/>
    <w:p>
      <w:pPr>
        <w:ind w:left="452" w:hanging="452"/>
        <w:spacing w:after="0" w:line="334" w:lineRule="auto"/>
        <w:tabs>
          <w:tab w:leader="none" w:pos="45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articles of association of The Bank of New York Mellon Trust Company, N.A. (Exhibit 1 to Form T-1 filed as Exhibit 25.1 to the Registration Statement on Form S-3 File No. 333-121948 and Exhibit 1 to Form T-1 filed as Exhibit 25.1 to the Registration Statement on Form S-3 No. 333-152875).</w:t>
      </w:r>
    </w:p>
    <w:p>
      <w:pPr>
        <w:spacing w:after="0" w:line="1" w:lineRule="exact"/>
        <w:rPr>
          <w:rFonts w:ascii="Times New Roman" w:cs="Times New Roman" w:eastAsia="Times New Roman" w:hAnsi="Times New Roman"/>
          <w:sz w:val="16"/>
          <w:szCs w:val="16"/>
          <w:color w:val="auto"/>
        </w:rPr>
      </w:pPr>
    </w:p>
    <w:p>
      <w:pPr>
        <w:ind w:left="452" w:right="160" w:hanging="452"/>
        <w:spacing w:after="0" w:line="275" w:lineRule="auto"/>
        <w:tabs>
          <w:tab w:leader="none" w:pos="4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certificate of authority of the trustee to commence business. (Exhibit 2 to Form T-1 filed as Exhibit 25.1 to the Registration Statement on Form S-3 File No. 333-121948).</w:t>
      </w:r>
    </w:p>
    <w:p>
      <w:pPr>
        <w:spacing w:after="0" w:line="38" w:lineRule="exact"/>
        <w:rPr>
          <w:rFonts w:ascii="Times New Roman" w:cs="Times New Roman" w:eastAsia="Times New Roman" w:hAnsi="Times New Roman"/>
          <w:sz w:val="18"/>
          <w:szCs w:val="18"/>
          <w:color w:val="auto"/>
        </w:rPr>
      </w:pPr>
    </w:p>
    <w:p>
      <w:pPr>
        <w:ind w:left="452" w:right="180" w:hanging="452"/>
        <w:spacing w:after="0" w:line="275" w:lineRule="auto"/>
        <w:tabs>
          <w:tab w:leader="none" w:pos="4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(Exhibit 3 to Form T-1 filed as Exhibit 25.1 to the Registration Statement on Form S-3 File No. 333-152875).</w:t>
      </w:r>
    </w:p>
    <w:p>
      <w:pPr>
        <w:spacing w:after="0" w:line="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existing by-laws of the trustee. (Exhibit 4 to Form T-1 filed as Exhibit 25.1 to the Registration Statement on Form S-3 File No. 333-152875).</w:t>
      </w:r>
    </w:p>
    <w:p>
      <w:pPr>
        <w:spacing w:after="0" w:line="113" w:lineRule="exact"/>
        <w:rPr>
          <w:sz w:val="20"/>
          <w:szCs w:val="20"/>
          <w:color w:val="auto"/>
        </w:rPr>
      </w:pPr>
    </w:p>
    <w:p>
      <w:pPr>
        <w:ind w:left="452" w:hanging="452"/>
        <w:spacing w:after="0"/>
        <w:tabs>
          <w:tab w:leader="none" w:pos="4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w:t>
      </w:r>
    </w:p>
    <w:p>
      <w:pPr>
        <w:spacing w:after="0" w:line="9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1392"/>
          </w:cols>
          <w:pgMar w:left="248" w:top="274" w:right="259" w:bottom="1440" w:gutter="0" w:footer="0" w:header="0"/>
        </w:sectPr>
      </w:pPr>
    </w:p>
    <w:bookmarkStart w:id="53" w:name="page54"/>
    <w:bookmarkEnd w:id="53"/>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1"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September, 2012.</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THE BANK OF NEW YORK MELLON TRUST COMPANY,</w:t>
      </w:r>
    </w:p>
    <w:p>
      <w:pPr>
        <w:spacing w:after="0" w:line="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w:t>
      </w:r>
    </w:p>
    <w:p>
      <w:pPr>
        <w:spacing w:after="0" w:line="213"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Julie Hoffman-Ramos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1300"/>
          </w:cols>
          <w:pgMar w:left="240" w:top="27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THE TRUSTEE</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the requirements of Section 321 (b) of the Trust Indenture Act of 1939, and in connection with the proposed issue of Waste Management, Inc.’s senior debt securities, The Bank of New York Mellon Trust Company, N.A. hereby consents that reports of examinations by Federal, State, Territorial or District authorities may be furnished by such authorities to the Securities and Exchange Commission upon request therefore.</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TRUST COMPANY, N.A.</w:t>
      </w:r>
    </w:p>
    <w:p>
      <w:pPr>
        <w:spacing w:after="0" w:line="226"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Julie Hoffman-Ramos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Vice President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2012</w:t>
      </w:r>
    </w:p>
    <w:p>
      <w:pPr>
        <w:sectPr>
          <w:pgSz w:w="11900" w:h="16838" w:orient="portrait"/>
          <w:cols w:equalWidth="0" w:num="1">
            <w:col w:w="11380"/>
          </w:cols>
          <w:pgMar w:left="240" w:top="272" w:right="2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400 South Hope Street, Suite 400, Los Angeles, CA 90071</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close of business June 30, 2012, published in accordance with Federal regulatory authority instructions.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Dollar Amounts</w:t>
            </w: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in Thousands</w:t>
            </w:r>
          </w:p>
        </w:tc>
      </w:tr>
      <w:tr>
        <w:trPr>
          <w:trHeight w:val="156"/>
        </w:trPr>
        <w:tc>
          <w:tcPr>
            <w:tcW w:w="20" w:type="dxa"/>
            <w:vAlign w:val="bottom"/>
          </w:tcPr>
          <w:p>
            <w:pPr>
              <w:spacing w:after="0"/>
              <w:rPr>
                <w:sz w:val="13"/>
                <w:szCs w:val="13"/>
                <w:color w:val="auto"/>
              </w:rPr>
            </w:pPr>
          </w:p>
        </w:tc>
        <w:tc>
          <w:tcPr>
            <w:tcW w:w="1042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23"/>
        </w:trPr>
        <w:tc>
          <w:tcPr>
            <w:tcW w:w="10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Interest-bearing balances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funds sold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and leases, net of unearned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and leases, net of unearned income and allowance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intangible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$ 1,880,471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Deposits: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 domestic offices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Noninterest-bearing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Interest-bearing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Federal funds purchased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EQUITY CAPITAL</w:t>
            </w:r>
          </w:p>
        </w:tc>
        <w:tc>
          <w:tcPr>
            <w:tcW w:w="9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0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bank equity capital 1,650,576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 Karen Bayz, CFO and Managing Director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32" w:lineRule="exact"/>
        <w:rPr>
          <w:sz w:val="20"/>
          <w:szCs w:val="20"/>
          <w:color w:val="auto"/>
        </w:rPr>
      </w:pPr>
    </w:p>
    <w:p>
      <w:pPr>
        <w:ind w:left="460"/>
        <w:spacing w:after="0"/>
        <w:tabs>
          <w:tab w:leader="none" w:pos="1840" w:val="left"/>
          <w:tab w:leader="none" w:pos="2480" w:val="left"/>
        </w:tabs>
        <w:rPr>
          <w:sz w:val="20"/>
          <w:szCs w:val="20"/>
          <w:color w:val="auto"/>
        </w:rPr>
      </w:pPr>
      <w:r>
        <w:rPr>
          <w:rFonts w:ascii="Times New Roman" w:cs="Times New Roman" w:eastAsia="Times New Roman" w:hAnsi="Times New Roman"/>
          <w:sz w:val="18"/>
          <w:szCs w:val="18"/>
          <w:color w:val="auto"/>
        </w:rPr>
        <w:t>Karen Bayz</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CFO and Managing Director</w:t>
      </w:r>
    </w:p>
    <w:p>
      <w:pPr>
        <w:spacing w:after="0" w:line="171"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173" w:lineRule="exact"/>
        <w:rPr>
          <w:sz w:val="20"/>
          <w:szCs w:val="20"/>
          <w:color w:val="auto"/>
        </w:rPr>
      </w:pPr>
    </w:p>
    <w:p>
      <w:pPr>
        <w:ind w:left="660"/>
        <w:spacing w:after="0" w:line="310" w:lineRule="auto"/>
        <w:rPr>
          <w:sz w:val="20"/>
          <w:szCs w:val="20"/>
          <w:color w:val="auto"/>
        </w:rPr>
      </w:pPr>
      <w:r>
        <w:rPr>
          <w:rFonts w:ascii="Times New Roman" w:cs="Times New Roman" w:eastAsia="Times New Roman" w:hAnsi="Times New Roman"/>
          <w:sz w:val="16"/>
          <w:szCs w:val="16"/>
          <w:color w:val="auto"/>
        </w:rPr>
        <w:t>Troy Kilpatrick, President Frank P. Sulzberger, MD William D. Lindelof, MD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Directors (Trustees)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2500" w:space="440"/>
            <w:col w:w="8480"/>
          </w:cols>
          <w:pgMar w:left="240" w:top="257" w:right="2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25.2</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FORM T-1</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STATEMENT OF ELIGIBILITY</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UNDER THE TRUST INDENTURE ACT OF 1939 OF A</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CHECK IF AN APPLICATION TO DETERMINE</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ELIGIBILITY OF A TRUSTEE PURSUANT TO</w:t>
      </w:r>
    </w:p>
    <w:p>
      <w:pPr>
        <w:spacing w:after="0" w:line="9" w:lineRule="exact"/>
        <w:rPr>
          <w:sz w:val="20"/>
          <w:szCs w:val="20"/>
          <w:color w:val="auto"/>
        </w:rPr>
      </w:pPr>
    </w:p>
    <w:p>
      <w:pPr>
        <w:jc w:val="center"/>
        <w:ind w:right="12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SECTION 305(b)(2) </w:t>
      </w:r>
      <w:r>
        <w:rPr>
          <w:rFonts w:ascii="MS PGothic" w:cs="MS PGothic" w:eastAsia="MS PGothic" w:hAnsi="MS PGothic"/>
          <w:sz w:val="18"/>
          <w:szCs w:val="18"/>
          <w:color w:val="auto"/>
        </w:rPr>
        <w:t>☐</w:t>
      </w:r>
    </w:p>
    <w:p>
      <w:pPr>
        <w:spacing w:after="0" w:line="31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6260" w:type="dxa"/>
            <w:vAlign w:val="bottom"/>
          </w:tcPr>
          <w:p>
            <w:pPr>
              <w:spacing w:after="0"/>
              <w:rPr>
                <w:sz w:val="18"/>
                <w:szCs w:val="18"/>
                <w:color w:val="auto"/>
              </w:rPr>
            </w:pP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6"/>
              </w:rPr>
              <w:t>95-3571558</w:t>
            </w:r>
          </w:p>
        </w:tc>
      </w:tr>
      <w:tr>
        <w:trPr>
          <w:trHeight w:val="216"/>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8"/>
              </w:rPr>
              <w:t>(State of incorporation</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6"/>
              </w:rPr>
              <w:t>(I.R.S. employer</w:t>
            </w:r>
          </w:p>
        </w:tc>
      </w:tr>
      <w:tr>
        <w:trPr>
          <w:trHeight w:val="228"/>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8"/>
              </w:rPr>
              <w:t>if not a U.S. national bank)</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31"/>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7"/>
              </w:rPr>
              <w:t>400 South Hope Street</w:t>
            </w:r>
          </w:p>
        </w:tc>
        <w:tc>
          <w:tcPr>
            <w:tcW w:w="1580" w:type="dxa"/>
            <w:vAlign w:val="bottom"/>
          </w:tcPr>
          <w:p>
            <w:pPr>
              <w:spacing w:after="0"/>
              <w:rPr>
                <w:sz w:val="24"/>
                <w:szCs w:val="24"/>
                <w:color w:val="auto"/>
              </w:rPr>
            </w:pPr>
          </w:p>
        </w:tc>
      </w:tr>
      <w:tr>
        <w:trPr>
          <w:trHeight w:val="216"/>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6"/>
              </w:rPr>
              <w:t>Suite 400</w:t>
            </w:r>
          </w:p>
        </w:tc>
        <w:tc>
          <w:tcPr>
            <w:tcW w:w="1580" w:type="dxa"/>
            <w:vAlign w:val="bottom"/>
          </w:tcPr>
          <w:p>
            <w:pPr>
              <w:spacing w:after="0"/>
              <w:rPr>
                <w:sz w:val="18"/>
                <w:szCs w:val="18"/>
                <w:color w:val="auto"/>
              </w:rPr>
            </w:pPr>
          </w:p>
        </w:tc>
      </w:tr>
      <w:tr>
        <w:trPr>
          <w:trHeight w:val="232"/>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7"/>
              </w:rPr>
              <w:t>Los Angeles, California</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90071</w:t>
            </w:r>
          </w:p>
        </w:tc>
      </w:tr>
      <w:tr>
        <w:trPr>
          <w:trHeight w:val="228"/>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5"/>
              </w:rPr>
              <w:t>(Zip code)</w:t>
            </w:r>
          </w:p>
        </w:tc>
      </w:tr>
      <w:tr>
        <w:trPr>
          <w:trHeight w:val="366"/>
        </w:trPr>
        <w:tc>
          <w:tcPr>
            <w:tcW w:w="6260" w:type="dxa"/>
            <w:vAlign w:val="bottom"/>
          </w:tcPr>
          <w:p>
            <w:pPr>
              <w:jc w:val="center"/>
              <w:ind w:left="2032"/>
              <w:spacing w:after="0"/>
              <w:rPr>
                <w:sz w:val="20"/>
                <w:szCs w:val="20"/>
                <w:color w:val="auto"/>
              </w:rPr>
            </w:pPr>
            <w:r>
              <w:rPr>
                <w:rFonts w:ascii="Times New Roman" w:cs="Times New Roman" w:eastAsia="Times New Roman" w:hAnsi="Times New Roman"/>
                <w:sz w:val="18"/>
                <w:szCs w:val="18"/>
                <w:b w:val="1"/>
                <w:bCs w:val="1"/>
                <w:color w:val="auto"/>
                <w:w w:val="96"/>
              </w:rPr>
              <w:t>WASTE MANAGEMENT, INC.</w:t>
            </w:r>
          </w:p>
        </w:tc>
        <w:tc>
          <w:tcPr>
            <w:tcW w:w="1580" w:type="dxa"/>
            <w:vAlign w:val="bottom"/>
          </w:tcPr>
          <w:p>
            <w:pPr>
              <w:spacing w:after="0"/>
              <w:rPr>
                <w:sz w:val="24"/>
                <w:szCs w:val="24"/>
                <w:color w:val="auto"/>
              </w:rPr>
            </w:pPr>
          </w:p>
        </w:tc>
      </w:tr>
      <w:tr>
        <w:trPr>
          <w:trHeight w:val="228"/>
        </w:trPr>
        <w:tc>
          <w:tcPr>
            <w:tcW w:w="6260" w:type="dxa"/>
            <w:vAlign w:val="bottom"/>
          </w:tcPr>
          <w:p>
            <w:pPr>
              <w:jc w:val="center"/>
              <w:ind w:left="2052"/>
              <w:spacing w:after="0"/>
              <w:rPr>
                <w:sz w:val="20"/>
                <w:szCs w:val="20"/>
                <w:color w:val="auto"/>
              </w:rPr>
            </w:pPr>
            <w:r>
              <w:rPr>
                <w:rFonts w:ascii="Times New Roman" w:cs="Times New Roman" w:eastAsia="Times New Roman" w:hAnsi="Times New Roman"/>
                <w:sz w:val="18"/>
                <w:szCs w:val="18"/>
                <w:color w:val="auto"/>
                <w:w w:val="97"/>
              </w:rPr>
              <w:t>(Exact name of obligor as specified in its charter)</w:t>
            </w:r>
          </w:p>
        </w:tc>
        <w:tc>
          <w:tcPr>
            <w:tcW w:w="1580" w:type="dxa"/>
            <w:vAlign w:val="bottom"/>
          </w:tcPr>
          <w:p>
            <w:pPr>
              <w:spacing w:after="0"/>
              <w:rPr>
                <w:sz w:val="19"/>
                <w:szCs w:val="19"/>
                <w:color w:val="auto"/>
              </w:rPr>
            </w:pPr>
          </w:p>
        </w:tc>
      </w:tr>
      <w:tr>
        <w:trPr>
          <w:trHeight w:val="406"/>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6"/>
              </w:rPr>
              <w:t>73-1309529</w:t>
            </w:r>
          </w:p>
        </w:tc>
      </w:tr>
      <w:tr>
        <w:trPr>
          <w:trHeight w:val="216"/>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6"/>
              </w:rPr>
              <w:t>(I.R.S. employer</w:t>
            </w:r>
          </w:p>
        </w:tc>
      </w:tr>
      <w:tr>
        <w:trPr>
          <w:trHeight w:val="228"/>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18"/>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7"/>
              </w:rPr>
              <w:t>1001 Fannin Street, Suite 4000</w:t>
            </w:r>
          </w:p>
        </w:tc>
        <w:tc>
          <w:tcPr>
            <w:tcW w:w="1580" w:type="dxa"/>
            <w:vAlign w:val="bottom"/>
          </w:tcPr>
          <w:p>
            <w:pPr>
              <w:spacing w:after="0"/>
              <w:rPr>
                <w:sz w:val="24"/>
                <w:szCs w:val="24"/>
                <w:color w:val="auto"/>
              </w:rPr>
            </w:pPr>
          </w:p>
        </w:tc>
      </w:tr>
      <w:tr>
        <w:trPr>
          <w:trHeight w:val="232"/>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77002</w:t>
            </w:r>
          </w:p>
        </w:tc>
      </w:tr>
      <w:tr>
        <w:trPr>
          <w:trHeight w:val="228"/>
        </w:trPr>
        <w:tc>
          <w:tcPr>
            <w:tcW w:w="626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58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5"/>
              </w:rPr>
              <w:t>(Zip code)</w:t>
            </w:r>
          </w:p>
        </w:tc>
      </w:tr>
      <w:tr>
        <w:trPr>
          <w:trHeight w:val="366"/>
        </w:trPr>
        <w:tc>
          <w:tcPr>
            <w:tcW w:w="6260" w:type="dxa"/>
            <w:vAlign w:val="bottom"/>
          </w:tcPr>
          <w:p>
            <w:pPr>
              <w:jc w:val="center"/>
              <w:ind w:left="2052"/>
              <w:spacing w:after="0"/>
              <w:rPr>
                <w:sz w:val="20"/>
                <w:szCs w:val="20"/>
                <w:color w:val="auto"/>
              </w:rPr>
            </w:pPr>
            <w:r>
              <w:rPr>
                <w:rFonts w:ascii="Times New Roman" w:cs="Times New Roman" w:eastAsia="Times New Roman" w:hAnsi="Times New Roman"/>
                <w:sz w:val="18"/>
                <w:szCs w:val="18"/>
                <w:b w:val="1"/>
                <w:bCs w:val="1"/>
                <w:color w:val="auto"/>
                <w:w w:val="97"/>
              </w:rPr>
              <w:t>Subordinated Debt Securities</w:t>
            </w:r>
          </w:p>
        </w:tc>
        <w:tc>
          <w:tcPr>
            <w:tcW w:w="1580" w:type="dxa"/>
            <w:vAlign w:val="bottom"/>
          </w:tcPr>
          <w:p>
            <w:pPr>
              <w:spacing w:after="0"/>
              <w:rPr>
                <w:sz w:val="24"/>
                <w:szCs w:val="24"/>
                <w:color w:val="auto"/>
              </w:rPr>
            </w:pPr>
          </w:p>
        </w:tc>
      </w:tr>
      <w:tr>
        <w:trPr>
          <w:trHeight w:val="228"/>
        </w:trPr>
        <w:tc>
          <w:tcPr>
            <w:tcW w:w="6260" w:type="dxa"/>
            <w:vAlign w:val="bottom"/>
          </w:tcPr>
          <w:p>
            <w:pPr>
              <w:jc w:val="center"/>
              <w:ind w:left="2032"/>
              <w:spacing w:after="0"/>
              <w:rPr>
                <w:sz w:val="20"/>
                <w:szCs w:val="20"/>
                <w:color w:val="auto"/>
              </w:rPr>
            </w:pPr>
            <w:r>
              <w:rPr>
                <w:rFonts w:ascii="Times New Roman" w:cs="Times New Roman" w:eastAsia="Times New Roman" w:hAnsi="Times New Roman"/>
                <w:sz w:val="18"/>
                <w:szCs w:val="18"/>
                <w:color w:val="auto"/>
                <w:w w:val="97"/>
              </w:rPr>
              <w:t>(Title of the Indenture Securities)</w:t>
            </w:r>
          </w:p>
        </w:tc>
        <w:tc>
          <w:tcPr>
            <w:tcW w:w="1580" w:type="dxa"/>
            <w:vAlign w:val="bottom"/>
          </w:tcPr>
          <w:p>
            <w:pPr>
              <w:spacing w:after="0"/>
              <w:rPr>
                <w:sz w:val="19"/>
                <w:szCs w:val="19"/>
                <w:color w:val="auto"/>
              </w:rPr>
            </w:pPr>
          </w:p>
        </w:tc>
      </w:tr>
    </w:tbl>
    <w:p>
      <w:pPr>
        <w:sectPr>
          <w:pgSz w:w="11900" w:h="16838" w:orient="portrait"/>
          <w:cols w:equalWidth="0" w:num="1">
            <w:col w:w="10220"/>
          </w:cols>
          <w:pgMar w:left="1440" w:top="123" w:right="239" w:bottom="1440" w:gutter="0" w:footer="0" w:header="0"/>
        </w:sectPr>
      </w:pPr>
    </w:p>
    <w:bookmarkStart w:id="58" w:name="page59"/>
    <w:bookmarkEnd w:id="58"/>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90"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gridSpan w:val="2"/>
          </w:tcPr>
          <w:p>
            <w:pPr>
              <w:ind w:left="2740"/>
              <w:spacing w:after="0"/>
              <w:rPr>
                <w:sz w:val="20"/>
                <w:szCs w:val="20"/>
                <w:color w:val="auto"/>
              </w:rPr>
            </w:pPr>
            <w:r>
              <w:rPr>
                <w:rFonts w:ascii="Times New Roman" w:cs="Times New Roman" w:eastAsia="Times New Roman" w:hAnsi="Times New Roman"/>
                <w:sz w:val="14"/>
                <w:szCs w:val="14"/>
                <w:color w:val="auto"/>
              </w:rPr>
              <w:t>Name</w:t>
            </w:r>
          </w:p>
        </w:tc>
        <w:tc>
          <w:tcPr>
            <w:tcW w:w="536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Address</w:t>
            </w:r>
          </w:p>
        </w:tc>
      </w:tr>
      <w:tr>
        <w:trPr>
          <w:trHeight w:val="196"/>
        </w:trPr>
        <w:tc>
          <w:tcPr>
            <w:tcW w:w="20" w:type="dxa"/>
            <w:vAlign w:val="bottom"/>
          </w:tcPr>
          <w:p>
            <w:pPr>
              <w:spacing w:after="0"/>
              <w:rPr>
                <w:sz w:val="17"/>
                <w:szCs w:val="17"/>
                <w:color w:val="auto"/>
              </w:rPr>
            </w:pPr>
          </w:p>
        </w:tc>
        <w:tc>
          <w:tcPr>
            <w:tcW w:w="58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Comptroller of the Currency</w:t>
            </w:r>
          </w:p>
        </w:tc>
        <w:tc>
          <w:tcPr>
            <w:tcW w:w="2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42"/>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Department of the Treasury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20219</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Reserve Bank</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94105</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20429</w:t>
            </w:r>
          </w:p>
        </w:tc>
      </w:tr>
    </w:tbl>
    <w:p>
      <w:pPr>
        <w:spacing w:after="0" w:line="148" w:lineRule="exact"/>
        <w:rPr>
          <w:sz w:val="20"/>
          <w:szCs w:val="20"/>
          <w:color w:val="auto"/>
        </w:rPr>
      </w:pPr>
    </w:p>
    <w:p>
      <w:pPr>
        <w:ind w:left="460" w:right="624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(b) Whether it is authorized to exercise corporate trust powers. </w:t>
      </w:r>
      <w:r>
        <w:rPr>
          <w:rFonts w:ascii="Times New Roman" w:cs="Times New Roman" w:eastAsia="Times New Roman" w:hAnsi="Times New Roman"/>
          <w:sz w:val="18"/>
          <w:szCs w:val="18"/>
          <w:color w:val="auto"/>
        </w:rPr>
        <w:t>Yes.</w:t>
      </w:r>
    </w:p>
    <w:p>
      <w:pPr>
        <w:spacing w:after="0" w:line="156"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90" w:lineRule="exact"/>
        <w:rPr>
          <w:rFonts w:ascii="Times New Roman" w:cs="Times New Roman" w:eastAsia="Times New Roman" w:hAnsi="Times New Roman"/>
          <w:sz w:val="18"/>
          <w:szCs w:val="18"/>
          <w:b w:val="1"/>
          <w:bCs w:val="1"/>
          <w:color w:val="auto"/>
        </w:rPr>
      </w:pPr>
    </w:p>
    <w:p>
      <w:pPr>
        <w:ind w:left="460" w:right="5640"/>
        <w:spacing w:after="0" w:line="3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the obligor is an affiliate of the trustee, describe each such affiliation. </w:t>
      </w:r>
      <w:r>
        <w:rPr>
          <w:rFonts w:ascii="Times New Roman" w:cs="Times New Roman" w:eastAsia="Times New Roman" w:hAnsi="Times New Roman"/>
          <w:sz w:val="18"/>
          <w:szCs w:val="18"/>
          <w:color w:val="auto"/>
        </w:rPr>
        <w:t>None.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3-15. Not applicable.</w:t>
      </w:r>
    </w:p>
    <w:p>
      <w:pPr>
        <w:spacing w:after="0" w:line="90"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90" w:lineRule="exact"/>
        <w:rPr>
          <w:rFonts w:ascii="Times New Roman" w:cs="Times New Roman" w:eastAsia="Times New Roman" w:hAnsi="Times New Roman"/>
          <w:sz w:val="18"/>
          <w:szCs w:val="18"/>
          <w:b w:val="1"/>
          <w:bCs w:val="1"/>
          <w:color w:val="auto"/>
        </w:rPr>
      </w:pPr>
    </w:p>
    <w:p>
      <w:pPr>
        <w:ind w:left="460" w:right="5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ectPr>
          <w:pgSz w:w="11900" w:h="16838" w:orient="portrait"/>
          <w:cols w:equalWidth="0" w:num="1">
            <w:col w:w="11420"/>
          </w:cols>
          <w:pgMar w:left="240" w:top="272" w:right="239" w:bottom="1440" w:gutter="0" w:footer="0" w:header="0"/>
        </w:sectPr>
      </w:pPr>
    </w:p>
    <w:bookmarkStart w:id="59" w:name="page60"/>
    <w:bookmarkEnd w:id="59"/>
    <w:p>
      <w:pPr>
        <w:ind w:left="452" w:hanging="452"/>
        <w:spacing w:after="0" w:line="334" w:lineRule="auto"/>
        <w:tabs>
          <w:tab w:leader="none" w:pos="45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articles of association of The Bank of New York Mellon Trust Company, N.A. (Exhibit 1 to Form T-1 filed as Exhibit 25.1 to the Registration Statement on Form S-3 File No. 333-121948 and Exhibit 1 to Form T-1 filed as Exhibit 25.1 to the Registration Statement on Form S-3 No. 333-152875).</w:t>
      </w:r>
    </w:p>
    <w:p>
      <w:pPr>
        <w:spacing w:after="0" w:line="1" w:lineRule="exact"/>
        <w:rPr>
          <w:rFonts w:ascii="Times New Roman" w:cs="Times New Roman" w:eastAsia="Times New Roman" w:hAnsi="Times New Roman"/>
          <w:sz w:val="16"/>
          <w:szCs w:val="16"/>
          <w:color w:val="auto"/>
        </w:rPr>
      </w:pPr>
    </w:p>
    <w:p>
      <w:pPr>
        <w:ind w:left="452" w:right="160" w:hanging="452"/>
        <w:spacing w:after="0" w:line="275"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certificate of authority of the trustee to commence business. (Exhibit 2 to Form T-1 filed as Exhibit 25.1 to the Registration Statement on Form S-3 File No. 333-121948).</w:t>
      </w:r>
    </w:p>
    <w:p>
      <w:pPr>
        <w:spacing w:after="0" w:line="38" w:lineRule="exact"/>
        <w:rPr>
          <w:rFonts w:ascii="Times New Roman" w:cs="Times New Roman" w:eastAsia="Times New Roman" w:hAnsi="Times New Roman"/>
          <w:sz w:val="18"/>
          <w:szCs w:val="18"/>
          <w:color w:val="auto"/>
        </w:rPr>
      </w:pPr>
    </w:p>
    <w:p>
      <w:pPr>
        <w:ind w:left="452" w:right="180" w:hanging="452"/>
        <w:spacing w:after="0" w:line="275"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(Exhibit 3 to Form T-1 filed as Exhibit 25.1 to the Registration Statement on Form S-3 File No. 333-152875).</w:t>
      </w:r>
    </w:p>
    <w:p>
      <w:pPr>
        <w:spacing w:after="0" w:line="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existing by-laws of the trustee. (Exhibit 4 to Form T-1 filed as Exhibit 25.1 to the Registration Statement on Form S-3 File No. 333-152875).</w:t>
      </w:r>
    </w:p>
    <w:p>
      <w:pPr>
        <w:spacing w:after="0" w:line="113" w:lineRule="exact"/>
        <w:rPr>
          <w:sz w:val="20"/>
          <w:szCs w:val="20"/>
          <w:color w:val="auto"/>
        </w:rPr>
      </w:pPr>
    </w:p>
    <w:p>
      <w:pPr>
        <w:ind w:left="452" w:hanging="452"/>
        <w:spacing w:after="0"/>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w:t>
      </w:r>
    </w:p>
    <w:p>
      <w:pPr>
        <w:spacing w:after="0" w:line="9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1392"/>
          </w:cols>
          <w:pgMar w:left="248" w:top="274" w:right="259" w:bottom="1440" w:gutter="0" w:footer="0" w:header="0"/>
        </w:sectPr>
      </w:pPr>
    </w:p>
    <w:bookmarkStart w:id="60" w:name="page61"/>
    <w:bookmarkEnd w:id="60"/>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September, 2012.</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THE BANK OF NEW YORK MELLON TRUST COMPANY,</w:t>
      </w:r>
    </w:p>
    <w:p>
      <w:pPr>
        <w:spacing w:after="0" w:line="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w:t>
      </w:r>
    </w:p>
    <w:p>
      <w:pPr>
        <w:spacing w:after="0" w:line="213"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Julie Hoffman-Ramos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1300"/>
          </w:cols>
          <w:pgMar w:left="240" w:top="27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CONSENT OF THE TRUSTEE</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the requirements of Section 321 (b) of the Trust Indenture Act of 1939, and in connection with the proposed issue of Waste Management, Inc.’s subordinated debt securities, The Bank of New York Mellon Trust Company, N.A. hereby consents that reports of examinations by Federal, State, Territorial or District authorities may be furnished by such authorities to the Securities and Exchange Commission upon request therefore.</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TRUST COMPANY, N.A.</w:t>
      </w:r>
    </w:p>
    <w:p>
      <w:pPr>
        <w:spacing w:after="0" w:line="226"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Julie Hoffman-Ramos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Vice President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2012</w:t>
      </w:r>
    </w:p>
    <w:p>
      <w:pPr>
        <w:sectPr>
          <w:pgSz w:w="11900" w:h="16838" w:orient="portrait"/>
          <w:cols w:equalWidth="0" w:num="1">
            <w:col w:w="11200"/>
          </w:cols>
          <w:pgMar w:left="240" w:top="272" w:right="4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400 South Hope Street, Suite 400, Los Angeles, CA 90071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the close of business June 30, 2012, published in accordance with Federal regulatory authority instructions.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Dollar Amounts</w:t>
            </w: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in Thousands</w:t>
            </w:r>
          </w:p>
        </w:tc>
      </w:tr>
      <w:tr>
        <w:trPr>
          <w:trHeight w:val="156"/>
        </w:trPr>
        <w:tc>
          <w:tcPr>
            <w:tcW w:w="20" w:type="dxa"/>
            <w:vAlign w:val="bottom"/>
          </w:tcPr>
          <w:p>
            <w:pPr>
              <w:spacing w:after="0"/>
              <w:rPr>
                <w:sz w:val="13"/>
                <w:szCs w:val="13"/>
                <w:color w:val="auto"/>
              </w:rPr>
            </w:pPr>
          </w:p>
        </w:tc>
        <w:tc>
          <w:tcPr>
            <w:tcW w:w="1042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23"/>
        </w:trPr>
        <w:tc>
          <w:tcPr>
            <w:tcW w:w="10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balances due fromdepository institutions: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Interest-bearing balances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funds sold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and leases, net of unearned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and leases, net of unearned income and allowance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intangible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$ 1,880,471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Deposits: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 domestic offices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Noninterest-bearing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Interest-bearing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Federal funds purchased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EQUITY CAPITAL</w:t>
            </w:r>
          </w:p>
        </w:tc>
        <w:tc>
          <w:tcPr>
            <w:tcW w:w="9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0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bank equity capital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 Karen Bayz, CFO and Managing Director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32" w:lineRule="exact"/>
        <w:rPr>
          <w:sz w:val="20"/>
          <w:szCs w:val="20"/>
          <w:color w:val="auto"/>
        </w:rPr>
      </w:pPr>
    </w:p>
    <w:p>
      <w:pPr>
        <w:ind w:left="460"/>
        <w:spacing w:after="0"/>
        <w:tabs>
          <w:tab w:leader="none" w:pos="1840" w:val="left"/>
          <w:tab w:leader="none" w:pos="2480" w:val="left"/>
        </w:tabs>
        <w:rPr>
          <w:sz w:val="20"/>
          <w:szCs w:val="20"/>
          <w:color w:val="auto"/>
        </w:rPr>
      </w:pPr>
      <w:r>
        <w:rPr>
          <w:rFonts w:ascii="Times New Roman" w:cs="Times New Roman" w:eastAsia="Times New Roman" w:hAnsi="Times New Roman"/>
          <w:sz w:val="18"/>
          <w:szCs w:val="18"/>
          <w:color w:val="auto"/>
        </w:rPr>
        <w:t>Karen Bayz</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CFO and Managing Director</w:t>
      </w:r>
    </w:p>
    <w:p>
      <w:pPr>
        <w:spacing w:after="0" w:line="171"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824" w:right="239" w:bottom="1440" w:gutter="0" w:footer="0" w:header="0"/>
        </w:sectPr>
      </w:pPr>
    </w:p>
    <w:p>
      <w:pPr>
        <w:spacing w:after="0" w:line="173" w:lineRule="exact"/>
        <w:rPr>
          <w:sz w:val="20"/>
          <w:szCs w:val="20"/>
          <w:color w:val="auto"/>
        </w:rPr>
      </w:pPr>
    </w:p>
    <w:p>
      <w:pPr>
        <w:ind w:left="460"/>
        <w:spacing w:after="0" w:line="310" w:lineRule="auto"/>
        <w:rPr>
          <w:sz w:val="20"/>
          <w:szCs w:val="20"/>
          <w:color w:val="auto"/>
        </w:rPr>
      </w:pPr>
      <w:r>
        <w:rPr>
          <w:rFonts w:ascii="Times New Roman" w:cs="Times New Roman" w:eastAsia="Times New Roman" w:hAnsi="Times New Roman"/>
          <w:sz w:val="16"/>
          <w:szCs w:val="16"/>
          <w:color w:val="auto"/>
        </w:rPr>
        <w:t>Troy Kilpatrick, President Frank P. Sulzberger, MD William D. Lindelof, MD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Directors (Trustees)</w:t>
      </w:r>
    </w:p>
    <w:sectPr>
      <w:pgSz w:w="11900" w:h="16838" w:orient="portrait"/>
      <w:cols w:equalWidth="0" w:num="3">
        <w:col w:w="2300" w:space="440"/>
        <w:col w:w="60" w:space="240"/>
        <w:col w:w="8380"/>
      </w:cols>
      <w:pgMar w:left="240" w:top="82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713"/>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6"/>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lvl w:ilvl="1">
      <w:lvlJc w:val="left"/>
      <w:lvlText w:val="(%2)"/>
      <w:numFmt w:val="lowerRoman"/>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4"/>
    </w:lvl>
    <w:lvl w:ilvl="1">
      <w:lvlJc w:val="left"/>
      <w:lvlText w:val="(%2)"/>
      <w:numFmt w:val="lowerRoman"/>
      <w:start w:val="1"/>
    </w:lvl>
  </w:abstractNum>
  <w:abstractNum w:abstractNumId="32">
    <w:nsid w:val="2CD89A32"/>
    <w:multiLevelType w:val="hybridMultilevel"/>
    <w:lvl w:ilvl="0">
      <w:lvlJc w:val="left"/>
      <w:lvlText w:val="(%1)"/>
      <w:numFmt w:val="decimal"/>
      <w:start w:val="7"/>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4"/>
    </w:lvl>
  </w:abstractNum>
  <w:abstractNum w:abstractNumId="39">
    <w:nsid w:val="7644A45C"/>
    <w:multiLevelType w:val="hybridMultilevel"/>
    <w:lvl w:ilvl="0">
      <w:lvlJc w:val="left"/>
      <w:lvlText w:val="(%1)"/>
      <w:numFmt w:val="lowerRoman"/>
      <w:start w:val="6"/>
    </w:lvl>
  </w:abstractNum>
  <w:abstractNum w:abstractNumId="40">
    <w:nsid w:val="32FFF902"/>
    <w:multiLevelType w:val="hybridMultilevel"/>
    <w:lvl w:ilvl="0">
      <w:lvlJc w:val="left"/>
      <w:lvlText w:val="(%1)"/>
      <w:numFmt w:val="lowerRoman"/>
      <w:start w:val="9"/>
    </w:lvl>
  </w:abstractNum>
  <w:abstractNum w:abstractNumId="41">
    <w:nsid w:val="684A481A"/>
    <w:multiLevelType w:val="hybridMultilevel"/>
    <w:lvl w:ilvl="0">
      <w:lvlJc w:val="left"/>
      <w:lvlText w:val="%1"/>
      <w:numFmt w:val="upperLetter"/>
      <w:start w:val="1"/>
    </w:lvl>
    <w:lvl w:ilvl="1">
      <w:lvlJc w:val="left"/>
      <w:lvlText w:val="(%2)"/>
      <w:numFmt w:val="lowerLetter"/>
      <w:start w:val="1"/>
    </w:lvl>
  </w:abstractNum>
  <w:abstractNum w:abstractNumId="42">
    <w:nsid w:val="579478FE"/>
    <w:multiLevelType w:val="hybridMultilevel"/>
    <w:lvl w:ilvl="0">
      <w:lvlJc w:val="left"/>
      <w:lvlText w:val="(%1)"/>
      <w:numFmt w:val="upperLetter"/>
      <w:start w:val="1"/>
    </w:lvl>
    <w:lvl w:ilvl="1">
      <w:lvlJc w:val="left"/>
      <w:lvlText w:val="(%2)"/>
      <w:numFmt w:val="lowerLetter"/>
      <w:start w:val="3"/>
    </w:lvl>
  </w:abstractNum>
  <w:abstractNum w:abstractNumId="43">
    <w:nsid w:val="749ABB43"/>
    <w:multiLevelType w:val="hybridMultilevel"/>
    <w:lvl w:ilvl="0">
      <w:lvlJc w:val="left"/>
      <w:lvlText w:val="(%1)"/>
      <w:numFmt w:val="lowerLetter"/>
      <w:start w:val="4"/>
    </w:lvl>
  </w:abstractNum>
  <w:abstractNum w:abstractNumId="44">
    <w:nsid w:val="3DC240FB"/>
    <w:multiLevelType w:val="hybridMultilevel"/>
    <w:lvl w:ilvl="0">
      <w:lvlJc w:val="left"/>
      <w:lvlText w:val="(%1)"/>
      <w:numFmt w:val="lowerRoman"/>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lvl w:ilvl="1">
      <w:lvlJc w:val="left"/>
      <w:lvlText w:val="(%2)"/>
      <w:numFmt w:val="lowerLetter"/>
      <w:start w:val="1"/>
    </w:lvl>
  </w:abstractNum>
  <w:abstractNum w:abstractNumId="47">
    <w:nsid w:val="75C6C33A"/>
    <w:multiLevelType w:val="hybridMultilevel"/>
    <w:lvl w:ilvl="0">
      <w:lvlJc w:val="left"/>
      <w:lvlText w:val="%1."/>
      <w:numFmt w:val="decimal"/>
      <w:start w:val="2"/>
    </w:lvl>
  </w:abstractNum>
  <w:abstractNum w:abstractNumId="48">
    <w:nsid w:val="12E685FB"/>
    <w:multiLevelType w:val="hybridMultilevel"/>
    <w:lvl w:ilvl="0">
      <w:lvlJc w:val="left"/>
      <w:lvlText w:val="%1."/>
      <w:numFmt w:val="decimal"/>
      <w:start w:val="16"/>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6"/>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1."/>
      <w:numFmt w:val="decimal"/>
      <w:start w:val="16"/>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2019-12-20T21:51:28Z</dcterms:created>
  <dcterms:modified xsi:type="dcterms:W3CDTF">2019-12-20T21:51:28Z</dcterms:modified>
</cp:coreProperties>
</file>