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28, 2022</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40" w:space="720"/>
            <w:col w:w="3300" w:space="720"/>
            <w:col w:w="2460"/>
          </w:cols>
          <w:pgMar w:left="320" w:top="760" w:right="339" w:bottom="1440" w:gutter="0" w:footer="0" w:header="0"/>
          <w:type w:val="continuous"/>
        </w:sectPr>
      </w:pPr>
    </w:p>
    <w:p>
      <w:pPr>
        <w:spacing w:after="0" w:line="7" w:lineRule="exact"/>
        <w:rPr>
          <w:sz w:val="24"/>
          <w:szCs w:val="24"/>
          <w:color w:val="auto"/>
        </w:rPr>
      </w:pPr>
    </w:p>
    <w:p>
      <w:pPr>
        <w:ind w:left="1060"/>
        <w:spacing w:after="0"/>
        <w:rPr>
          <w:sz w:val="20"/>
          <w:szCs w:val="20"/>
          <w:color w:val="auto"/>
        </w:rPr>
      </w:pPr>
      <w:r>
        <w:rPr>
          <w:rFonts w:ascii="Arial" w:cs="Arial" w:eastAsia="Arial" w:hAnsi="Arial"/>
          <w:sz w:val="16"/>
          <w:szCs w:val="16"/>
          <w:b w:val="1"/>
          <w:bCs w:val="1"/>
          <w:color w:val="auto"/>
        </w:rPr>
        <w:t>800 Capitol Street, Suite 3000, Houston, Texas</w:t>
      </w:r>
    </w:p>
    <w:p>
      <w:pPr>
        <w:spacing w:after="0" w:line="50" w:lineRule="exact"/>
        <w:rPr>
          <w:sz w:val="24"/>
          <w:szCs w:val="24"/>
          <w:color w:val="auto"/>
        </w:rPr>
      </w:pPr>
    </w:p>
    <w:p>
      <w:pPr>
        <w:ind w:left="136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325755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84"/>
        </w:trPr>
        <w:tc>
          <w:tcPr>
            <w:tcW w:w="396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Title of each class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58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Name of each exchange on which registered</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r>
        <w:trPr>
          <w:trHeight w:val="264"/>
        </w:trPr>
        <w:tc>
          <w:tcPr>
            <w:tcW w:w="3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Common Stock, $0.01 par value</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WM</w:t>
            </w:r>
          </w:p>
        </w:tc>
        <w:tc>
          <w:tcPr>
            <w:tcW w:w="3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New York Stock Exchange</w:t>
            </w:r>
          </w:p>
        </w:tc>
      </w:tr>
      <w:tr>
        <w:trPr>
          <w:trHeight w:val="54"/>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description in Item 8.01 of this Current Report on Form 8-K under the heading “Issuance and Sale of Notes” is incorporated into this Item 1.01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April 28, 2022, Waste Management, Inc. (the “Company”) commenced and priced an underwritten public offering of $1,000,000,000 aggregate principal amount of its 4.15% Senior Notes due 2032 (the “Notes”) under the Company’s Registration Statement on Form S-3 (No. 333-264493). The Notes, which will be fully and unconditionally guaranteed by the Company’s wholly-owned subsidiary Waste Management Holdings, Inc. (“WM Holdings”), will be sold pursuant to an underwriting agreement (the “Underwriting Agreement”) entered into on April 28, 2022 among the Company, WM Holdings and Barclays Capital Inc., BofA Securities, Inc., Deutsche Bank Securities Inc., MUFG Securities Americas Inc. and Scotia Capital (USA) Inc., as representatives of the several underwriters named therein.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or one of their respective affiliates are lenders under the Company’s $3.5 billion revolving credit facility. Also, because certain of the underwriters or their respective affiliates serve as dealers under the Company’s commercial paper program, they may receive a portion of the net proceeds of the offering of the Notes as customary dealer fees. Certain of the underwriters or one of their respective affiliates have, from time to time, performed, and may in the future perform, various financial advisory, investment banking, commercial services and brokerage services for the Company, for which they have received or will receive customary fees and expense reimbursements.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copy of the Underwriting Agreement is being filed as Exhibit 1.1 to this Current Report on Form 8-K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and Sale of Notes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Closing of the issuance and sale of the Notes is expected to occur on May 12, 2022,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 by WM Holdings will be set forth in an officers’ certificate (the “Officers’ Certificate”) of the Company delivered pursuant to the Indenture on the closing date and a guarantee agreement (the “Guarantee Agreement”) by WM Holdings delivered on the closing date.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Copies of the Indenture and the forms of the Officers’ Certificate and the Guarantee Agreement are being filed as Exhibits 4.1, 4.2 and 4.4,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6"/>
          </w:tcPr>
          <w:p>
            <w:pPr>
              <w:ind w:left="1460"/>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hyperlink>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Underwriting Agreement dated April 28, 2022 by and among the Company, WM Holdings and Barclays Capital Inc., BofA Securities,</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Inc., Deutsche Bank Securities Inc., MUFG Securities Americas Inc. and Scotia Capital (USA) Inc., as representatives of the several</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underwriters named therein.</w:t>
              </w:r>
            </w:hyperlink>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r:id="rId1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94"/>
              </w:rPr>
            </w:pPr>
            <w:hyperlink r:id="rId15">
              <w:r>
                <w:rPr>
                  <w:rFonts w:ascii="Arial" w:cs="Arial" w:eastAsia="Arial" w:hAnsi="Arial"/>
                  <w:sz w:val="18"/>
                  <w:szCs w:val="18"/>
                  <w:color w:val="0000EE"/>
                  <w:w w:val="94"/>
                </w:rPr>
                <w:t>Indenture dated September 10, 1997 by and between the Company and The Bank of New York Mellon Trust Company, N.A. (the</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r:id="rId15">
              <w:r>
                <w:rPr>
                  <w:rFonts w:ascii="Arial" w:cs="Arial" w:eastAsia="Arial" w:hAnsi="Arial"/>
                  <w:sz w:val="18"/>
                  <w:szCs w:val="18"/>
                  <w:color w:val="0000EE"/>
                  <w:w w:val="96"/>
                </w:rPr>
                <w:t>current successor to Texas Commerce Bank National Association), as trustee, relating to senior debt securities of the Company</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9"/>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(incorporated by reference to Exhibit 4.1 to Current Report on Form 8-K filed September 24, 1997).</w:t>
              </w:r>
            </w:hyperlink>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Form of Officers’ Certificate delivered pursuant to Section 3.01 of the Indenture establishing the terms and form of the 4.15% Senior</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Notes due 2032.</w:t>
              </w:r>
            </w:hyperlink>
          </w:p>
        </w:tc>
        <w:tc>
          <w:tcPr>
            <w:tcW w:w="8580" w:type="dxa"/>
            <w:vAlign w:val="bottom"/>
            <w:gridSpan w:val="8"/>
          </w:tcPr>
          <w:p>
            <w:pPr>
              <w:spacing w:after="0"/>
              <w:rPr>
                <w:sz w:val="17"/>
                <w:szCs w:val="17"/>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4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Form of 4.15% Senior Note due 2032 (included in Exhibit 4.2 above).</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Arial" w:cs="Arial" w:eastAsia="Arial" w:hAnsi="Arial"/>
                <w:sz w:val="18"/>
                <w:szCs w:val="18"/>
                <w:color w:val="0000EE"/>
                <w:w w:val="87"/>
              </w:rPr>
            </w:pPr>
            <w:hyperlink w:anchor="page6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Form of Guarantee Agreement by WM Holdings in favor of the holders of the Company’s 4.15% Senior Notes due 2032.</w:t>
              </w:r>
            </w:hyperlink>
          </w:p>
        </w:tc>
      </w:tr>
      <w:tr>
        <w:trPr>
          <w:trHeight w:val="412"/>
        </w:trPr>
        <w:tc>
          <w:tcPr>
            <w:tcW w:w="240" w:type="dxa"/>
            <w:vAlign w:val="bottom"/>
            <w:tcBorders>
              <w:top w:val="single" w:sz="8" w:color="0000EE"/>
            </w:tcBorders>
          </w:tcPr>
          <w:p>
            <w:pPr>
              <w:spacing w:after="0"/>
              <w:rPr>
                <w:rFonts w:ascii="Arial" w:cs="Arial" w:eastAsia="Arial" w:hAnsi="Arial"/>
                <w:sz w:val="18"/>
                <w:szCs w:val="18"/>
                <w:color w:val="0000EE"/>
                <w:w w:val="87"/>
              </w:rPr>
            </w:pPr>
            <w:hyperlink w:anchor="page6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20" w:type="dxa"/>
            <w:vAlign w:val="bottom"/>
            <w:tcBorders>
              <w:top w:val="single" w:sz="8" w:color="0000EE"/>
            </w:tcBorders>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Opinion of Baker Botts L.L.P.</w:t>
              </w:r>
            </w:hyperlink>
          </w:p>
        </w:tc>
        <w:tc>
          <w:tcPr>
            <w:tcW w:w="1040" w:type="dxa"/>
            <w:vAlign w:val="bottom"/>
          </w:tcPr>
          <w:p>
            <w:pPr>
              <w:spacing w:after="0"/>
              <w:rPr>
                <w:sz w:val="24"/>
                <w:szCs w:val="24"/>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7600" w:type="dxa"/>
            <w:vAlign w:val="bottom"/>
            <w:gridSpan w:val="6"/>
          </w:tcPr>
          <w:p>
            <w:pPr>
              <w:spacing w:after="0" w:line="20" w:lineRule="exact"/>
              <w:rPr>
                <w:sz w:val="1"/>
                <w:szCs w:val="1"/>
                <w:color w:val="auto"/>
              </w:rPr>
            </w:pP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7740" w:type="dxa"/>
            <w:vAlign w:val="bottom"/>
            <w:gridSpan w:val="2"/>
          </w:tcPr>
          <w:p>
            <w:pPr>
              <w:ind w:left="2120"/>
              <w:spacing w:after="0"/>
              <w:rPr>
                <w:sz w:val="20"/>
                <w:szCs w:val="20"/>
                <w:color w:val="auto"/>
              </w:rPr>
            </w:pPr>
            <w:r>
              <w:rPr>
                <w:rFonts w:ascii="Arial" w:cs="Arial" w:eastAsia="Arial" w:hAnsi="Arial"/>
                <w:sz w:val="18"/>
                <w:szCs w:val="18"/>
                <w:color w:val="auto"/>
              </w:rPr>
              <w:t>WASTE MANAGEMENT, INC.</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3, 2022</w:t>
            </w:r>
          </w:p>
        </w:tc>
        <w:tc>
          <w:tcPr>
            <w:tcW w:w="7740" w:type="dxa"/>
            <w:vAlign w:val="bottom"/>
            <w:gridSpan w:val="2"/>
          </w:tcPr>
          <w:p>
            <w:pPr>
              <w:ind w:left="2140"/>
              <w:spacing w:after="0"/>
              <w:rPr>
                <w:sz w:val="20"/>
                <w:szCs w:val="20"/>
                <w:color w:val="auto"/>
              </w:rPr>
            </w:pPr>
            <w:r>
              <w:rPr>
                <w:rFonts w:ascii="Arial" w:cs="Arial" w:eastAsia="Arial" w:hAnsi="Arial"/>
                <w:sz w:val="18"/>
                <w:szCs w:val="18"/>
                <w:color w:val="auto"/>
              </w:rPr>
              <w:t>By:  /s/ Charles C. Boettcher</w:t>
            </w:r>
          </w:p>
        </w:tc>
      </w:tr>
      <w:tr>
        <w:trPr>
          <w:trHeight w:val="195"/>
        </w:trPr>
        <w:tc>
          <w:tcPr>
            <w:tcW w:w="35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rPr>
              <w:t>Charles C. Boettcher</w:t>
            </w:r>
          </w:p>
        </w:tc>
      </w:tr>
      <w:tr>
        <w:trPr>
          <w:trHeight w:val="216"/>
        </w:trPr>
        <w:tc>
          <w:tcPr>
            <w:tcW w:w="35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w w:val="93"/>
              </w:rPr>
              <w:t>Executive  Vice  President,  Corporate  Development  and  Chief</w:t>
            </w:r>
          </w:p>
        </w:tc>
      </w:tr>
      <w:tr>
        <w:trPr>
          <w:trHeight w:val="230"/>
        </w:trPr>
        <w:tc>
          <w:tcPr>
            <w:tcW w:w="35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Legal Officer</w:t>
            </w:r>
          </w:p>
        </w:tc>
      </w:tr>
      <w:tr>
        <w:trPr>
          <w:trHeight w:val="432"/>
        </w:trPr>
        <w:tc>
          <w:tcPr>
            <w:tcW w:w="35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$1,000,000,000 4.15% Senior Notes due 2032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28,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 in Schedule II hereto of the Underwriters named in Schedule II hereto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Columbus Circle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MUFG Securities Americas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1221 Avenue of the Americas,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Scotia Capital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 Vesey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Waste Management, Inc., a corporation organized under the laws of Delaware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named in Schedule II hereto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$1,000,000,000 aggregate principal amount of 4.15% Senior Notes due 2032 (the “</w:t>
      </w:r>
      <w:r>
        <w:rPr>
          <w:rFonts w:ascii="Arial" w:cs="Arial" w:eastAsia="Arial" w:hAnsi="Arial"/>
          <w:sz w:val="16"/>
          <w:szCs w:val="16"/>
          <w:u w:val="single" w:color="auto"/>
          <w:color w:val="auto"/>
        </w:rPr>
        <w:t>Notes</w:t>
      </w:r>
      <w:r>
        <w:rPr>
          <w:rFonts w:ascii="Arial" w:cs="Arial" w:eastAsia="Arial" w:hAnsi="Arial"/>
          <w:sz w:val="16"/>
          <w:szCs w:val="16"/>
          <w:color w:val="auto"/>
        </w:rPr>
        <w:t>”), to be issued under an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September 10, 1997, between the Company and The Bank of New York Mellon Trust Company, N.A. (as the current successor to the initial trustee, Texas Commerce Bank National Association),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and to be guaranteed on a senior unsecured basis (the “</w:t>
      </w:r>
      <w:r>
        <w:rPr>
          <w:rFonts w:ascii="Arial" w:cs="Arial" w:eastAsia="Arial" w:hAnsi="Arial"/>
          <w:sz w:val="16"/>
          <w:szCs w:val="16"/>
          <w:u w:val="single" w:color="auto"/>
          <w:color w:val="auto"/>
        </w:rPr>
        <w:t>Guarantee</w:t>
      </w:r>
      <w:r>
        <w:rPr>
          <w:rFonts w:ascii="Arial" w:cs="Arial" w:eastAsia="Arial" w:hAnsi="Arial"/>
          <w:sz w:val="16"/>
          <w:szCs w:val="16"/>
          <w:color w:val="auto"/>
        </w:rPr>
        <w:t>”) by Waste Management Holdings, Inc. (“</w:t>
      </w:r>
      <w:r>
        <w:rPr>
          <w:rFonts w:ascii="Arial" w:cs="Arial" w:eastAsia="Arial" w:hAnsi="Arial"/>
          <w:sz w:val="16"/>
          <w:szCs w:val="16"/>
          <w:u w:val="single" w:color="auto"/>
          <w:color w:val="auto"/>
        </w:rPr>
        <w:t>Holdings</w:t>
      </w:r>
      <w:r>
        <w:rPr>
          <w:rFonts w:ascii="Arial" w:cs="Arial" w:eastAsia="Arial" w:hAnsi="Arial"/>
          <w:sz w:val="16"/>
          <w:szCs w:val="16"/>
          <w:color w:val="auto"/>
        </w:rPr>
        <w:t>”) pursuant to a guarantee (the “</w:t>
      </w:r>
      <w:r>
        <w:rPr>
          <w:rFonts w:ascii="Arial" w:cs="Arial" w:eastAsia="Arial" w:hAnsi="Arial"/>
          <w:sz w:val="16"/>
          <w:szCs w:val="16"/>
          <w:u w:val="single" w:color="auto"/>
          <w:color w:val="auto"/>
        </w:rPr>
        <w:t>Guarantee Agreement</w:t>
      </w:r>
      <w:r>
        <w:rPr>
          <w:rFonts w:ascii="Arial" w:cs="Arial" w:eastAsia="Arial" w:hAnsi="Arial"/>
          <w:sz w:val="16"/>
          <w:szCs w:val="16"/>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6"/>
          <w:szCs w:val="16"/>
          <w:u w:val="single" w:color="auto"/>
          <w:color w:val="auto"/>
        </w:rPr>
        <w:t>Securities</w:t>
      </w:r>
      <w:r>
        <w:rPr>
          <w:rFonts w:ascii="Arial" w:cs="Arial" w:eastAsia="Arial" w:hAnsi="Arial"/>
          <w:sz w:val="16"/>
          <w:szCs w:val="16"/>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firstLine="648"/>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170" w:lineRule="exact"/>
        <w:rPr>
          <w:sz w:val="20"/>
          <w:szCs w:val="20"/>
          <w:color w:val="auto"/>
        </w:rPr>
      </w:pPr>
    </w:p>
    <w:p>
      <w:pPr>
        <w:ind w:firstLine="656"/>
        <w:spacing w:after="0" w:line="277" w:lineRule="auto"/>
        <w:tabs>
          <w:tab w:leader="none" w:pos="1336"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170" w:lineRule="exact"/>
        <w:rPr>
          <w:rFonts w:ascii="Arial" w:cs="Arial" w:eastAsia="Arial" w:hAnsi="Arial"/>
          <w:sz w:val="18"/>
          <w:szCs w:val="18"/>
          <w:color w:val="auto"/>
        </w:rPr>
      </w:pPr>
    </w:p>
    <w:p>
      <w:pPr>
        <w:jc w:val="both"/>
        <w:ind w:left="660" w:firstLine="644"/>
        <w:spacing w:after="0" w:line="269" w:lineRule="auto"/>
        <w:tabs>
          <w:tab w:leader="none" w:pos="2155"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 meets the requirements for use of Form S-3 under the Act and has prepared and filed with the Commission a registration statement (File Number 333-264493)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185" w:lineRule="exact"/>
        <w:rPr>
          <w:rFonts w:ascii="Arial" w:cs="Arial" w:eastAsia="Arial" w:hAnsi="Arial"/>
          <w:sz w:val="17"/>
          <w:szCs w:val="17"/>
          <w:color w:val="auto"/>
        </w:rPr>
      </w:pPr>
    </w:p>
    <w:p>
      <w:pPr>
        <w:jc w:val="both"/>
        <w:ind w:left="660" w:firstLine="644"/>
        <w:spacing w:after="0" w:line="286" w:lineRule="auto"/>
        <w:tabs>
          <w:tab w:leader="none" w:pos="2381"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4" w:firstLine="644"/>
        <w:spacing w:after="0" w:line="272" w:lineRule="auto"/>
        <w:tabs>
          <w:tab w:leader="none" w:pos="1459" w:val="left"/>
        </w:tabs>
        <w:numPr>
          <w:ilvl w:val="1"/>
          <w:numId w:val="4"/>
        </w:numPr>
        <w:rPr>
          <w:rFonts w:ascii="Arial" w:cs="Arial" w:eastAsia="Arial" w:hAnsi="Arial"/>
          <w:sz w:val="17"/>
          <w:szCs w:val="17"/>
          <w:color w:val="auto"/>
        </w:rPr>
      </w:pPr>
      <w:r>
        <w:rPr>
          <w:rFonts w:ascii="Arial" w:cs="Arial" w:eastAsia="Arial" w:hAnsi="Arial"/>
          <w:sz w:val="17"/>
          <w:szCs w:val="17"/>
          <w:color w:val="auto"/>
        </w:rPr>
        <w:t xml:space="preserve">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177" w:lineRule="exact"/>
        <w:rPr>
          <w:rFonts w:ascii="Arial" w:cs="Arial" w:eastAsia="Arial" w:hAnsi="Arial"/>
          <w:sz w:val="17"/>
          <w:szCs w:val="17"/>
          <w:color w:val="auto"/>
        </w:rPr>
      </w:pPr>
    </w:p>
    <w:p>
      <w:pPr>
        <w:jc w:val="both"/>
        <w:ind w:left="4" w:firstLine="644"/>
        <w:spacing w:after="0" w:line="285" w:lineRule="auto"/>
        <w:tabs>
          <w:tab w:leader="none" w:pos="1415"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Arial" w:cs="Arial" w:eastAsia="Arial" w:hAnsi="Arial"/>
          <w:sz w:val="16"/>
          <w:szCs w:val="16"/>
          <w:u w:val="single" w:color="auto"/>
          <w:color w:val="auto"/>
        </w:rPr>
        <w:t>Issuer Free Writing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other than (i) any document not constituting a prospectus pursuant to Section 2(a)(10)(a) of the Act or Rule 134 under the Act,</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27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397"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jc w:val="both"/>
        <w:ind w:left="-460" w:firstLine="644"/>
        <w:spacing w:after="0" w:line="290" w:lineRule="auto"/>
        <w:tabs>
          <w:tab w:leader="none" w:pos="92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65" w:lineRule="exact"/>
        <w:rPr>
          <w:rFonts w:ascii="Arial" w:cs="Arial" w:eastAsia="Arial" w:hAnsi="Arial"/>
          <w:sz w:val="16"/>
          <w:szCs w:val="16"/>
          <w:color w:val="auto"/>
        </w:rPr>
      </w:pPr>
    </w:p>
    <w:p>
      <w:pPr>
        <w:jc w:val="both"/>
        <w:ind w:left="-460" w:firstLine="644"/>
        <w:spacing w:after="0" w:line="293" w:lineRule="auto"/>
        <w:tabs>
          <w:tab w:leader="none" w:pos="1097"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164" w:lineRule="exact"/>
        <w:rPr>
          <w:rFonts w:ascii="Arial" w:cs="Arial" w:eastAsia="Arial" w:hAnsi="Arial"/>
          <w:sz w:val="16"/>
          <w:szCs w:val="16"/>
          <w:color w:val="auto"/>
        </w:rPr>
      </w:pPr>
    </w:p>
    <w:p>
      <w:pPr>
        <w:jc w:val="both"/>
        <w:ind w:left="-460" w:firstLine="644"/>
        <w:spacing w:after="0" w:line="272" w:lineRule="auto"/>
        <w:tabs>
          <w:tab w:leader="none" w:pos="93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177" w:lineRule="exact"/>
        <w:rPr>
          <w:rFonts w:ascii="Arial" w:cs="Arial" w:eastAsia="Arial" w:hAnsi="Arial"/>
          <w:sz w:val="17"/>
          <w:szCs w:val="17"/>
          <w:color w:val="auto"/>
        </w:rPr>
      </w:pPr>
    </w:p>
    <w:p>
      <w:pPr>
        <w:jc w:val="both"/>
        <w:ind w:left="-460" w:firstLine="644"/>
        <w:spacing w:after="0" w:line="293" w:lineRule="auto"/>
        <w:tabs>
          <w:tab w:leader="none" w:pos="104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38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left="-460" w:firstLine="644"/>
        <w:spacing w:after="0" w:line="254" w:lineRule="auto"/>
        <w:tabs>
          <w:tab w:leader="none" w:pos="101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460" w:firstLine="644"/>
        <w:spacing w:after="0" w:line="257" w:lineRule="auto"/>
        <w:tabs>
          <w:tab w:leader="none" w:pos="898" w:val="left"/>
        </w:tabs>
        <w:numPr>
          <w:ilvl w:val="0"/>
          <w:numId w:val="7"/>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187" w:lineRule="exact"/>
        <w:rPr>
          <w:rFonts w:ascii="Arial" w:cs="Arial" w:eastAsia="Arial" w:hAnsi="Arial"/>
          <w:sz w:val="18"/>
          <w:szCs w:val="18"/>
          <w:color w:val="auto"/>
        </w:rPr>
      </w:pPr>
    </w:p>
    <w:p>
      <w:pPr>
        <w:jc w:val="both"/>
        <w:ind w:left="-460" w:firstLine="644"/>
        <w:spacing w:after="0" w:line="291" w:lineRule="auto"/>
        <w:tabs>
          <w:tab w:leader="none" w:pos="1086" w:val="left"/>
        </w:tabs>
        <w:numPr>
          <w:ilvl w:val="0"/>
          <w:numId w:val="7"/>
        </w:numPr>
        <w:rPr>
          <w:rFonts w:ascii="Arial" w:cs="Arial" w:eastAsia="Arial" w:hAnsi="Arial"/>
          <w:sz w:val="16"/>
          <w:szCs w:val="16"/>
          <w:color w:val="auto"/>
        </w:rPr>
      </w:pPr>
      <w:r>
        <w:rPr>
          <w:rFonts w:ascii="Arial" w:cs="Arial" w:eastAsia="Arial" w:hAnsi="Arial"/>
          <w:sz w:val="16"/>
          <w:szCs w:val="16"/>
          <w:color w:val="auto"/>
        </w:rPr>
        <w:t>Each of the Company’s “significant subsidiaries” (as such term is defined in Regulation S-X under the Exchange Act) (the “</w:t>
      </w:r>
      <w:r>
        <w:rPr>
          <w:rFonts w:ascii="Arial" w:cs="Arial" w:eastAsia="Arial" w:hAnsi="Arial"/>
          <w:sz w:val="16"/>
          <w:szCs w:val="16"/>
          <w:u w:val="single" w:color="auto"/>
          <w:color w:val="auto"/>
        </w:rPr>
        <w:t>Subsidiaries</w:t>
      </w:r>
      <w:r>
        <w:rPr>
          <w:rFonts w:ascii="Arial" w:cs="Arial" w:eastAsia="Arial" w:hAnsi="Arial"/>
          <w:sz w:val="16"/>
          <w:szCs w:val="16"/>
          <w:color w:val="auto"/>
        </w:rPr>
        <w:t>”) is included in the list of subsidiaries on Exhibit 21.1 of the Annual Report on Form 10-K for the year ended December 31, 2021,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166" w:lineRule="exact"/>
        <w:rPr>
          <w:rFonts w:ascii="Arial" w:cs="Arial" w:eastAsia="Arial" w:hAnsi="Arial"/>
          <w:sz w:val="16"/>
          <w:szCs w:val="16"/>
          <w:color w:val="auto"/>
        </w:rPr>
      </w:pPr>
    </w:p>
    <w:p>
      <w:pPr>
        <w:jc w:val="both"/>
        <w:ind w:left="-460" w:firstLine="644"/>
        <w:spacing w:after="0" w:line="272" w:lineRule="auto"/>
        <w:tabs>
          <w:tab w:leader="none" w:pos="1073"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7"/>
          <w:szCs w:val="17"/>
          <w:u w:val="single" w:color="auto"/>
          <w:color w:val="auto"/>
        </w:rPr>
        <w:t>Lien</w:t>
      </w:r>
      <w:r>
        <w:rPr>
          <w:rFonts w:ascii="Arial" w:cs="Arial" w:eastAsia="Arial" w:hAnsi="Arial"/>
          <w:sz w:val="17"/>
          <w:szCs w:val="17"/>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177" w:lineRule="exact"/>
        <w:rPr>
          <w:rFonts w:ascii="Arial" w:cs="Arial" w:eastAsia="Arial" w:hAnsi="Arial"/>
          <w:sz w:val="17"/>
          <w:szCs w:val="17"/>
          <w:color w:val="auto"/>
        </w:rPr>
      </w:pPr>
    </w:p>
    <w:p>
      <w:pPr>
        <w:ind w:left="980" w:hanging="79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left="-460" w:firstLine="644"/>
        <w:spacing w:after="0" w:line="287" w:lineRule="auto"/>
        <w:tabs>
          <w:tab w:leader="none" w:pos="1032"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171" w:lineRule="exact"/>
        <w:rPr>
          <w:rFonts w:ascii="Arial" w:cs="Arial" w:eastAsia="Arial" w:hAnsi="Arial"/>
          <w:sz w:val="16"/>
          <w:szCs w:val="16"/>
          <w:color w:val="auto"/>
        </w:rPr>
      </w:pPr>
    </w:p>
    <w:p>
      <w:pPr>
        <w:jc w:val="both"/>
        <w:ind w:left="-460" w:firstLine="644"/>
        <w:spacing w:after="0" w:line="271" w:lineRule="auto"/>
        <w:tabs>
          <w:tab w:leader="none" w:pos="937"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178" w:lineRule="exact"/>
        <w:rPr>
          <w:rFonts w:ascii="Arial" w:cs="Arial" w:eastAsia="Arial" w:hAnsi="Arial"/>
          <w:sz w:val="17"/>
          <w:szCs w:val="17"/>
          <w:color w:val="auto"/>
        </w:rPr>
      </w:pPr>
    </w:p>
    <w:p>
      <w:pPr>
        <w:jc w:val="both"/>
        <w:ind w:left="-460" w:firstLine="644"/>
        <w:spacing w:after="0" w:line="272" w:lineRule="auto"/>
        <w:tabs>
          <w:tab w:leader="none" w:pos="1005"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177" w:lineRule="exact"/>
        <w:rPr>
          <w:rFonts w:ascii="Arial" w:cs="Arial" w:eastAsia="Arial" w:hAnsi="Arial"/>
          <w:sz w:val="17"/>
          <w:szCs w:val="17"/>
          <w:color w:val="auto"/>
        </w:rPr>
      </w:pPr>
    </w:p>
    <w:p>
      <w:pPr>
        <w:jc w:val="both"/>
        <w:ind w:left="-460" w:firstLine="644"/>
        <w:spacing w:after="0" w:line="255"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460" w:firstLine="644"/>
        <w:spacing w:after="0" w:line="286" w:lineRule="auto"/>
        <w:tabs>
          <w:tab w:leader="none" w:pos="935"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65" w:lineRule="exact"/>
        <w:rPr>
          <w:rFonts w:ascii="Arial" w:cs="Arial" w:eastAsia="Arial" w:hAnsi="Arial"/>
          <w:sz w:val="17"/>
          <w:szCs w:val="17"/>
          <w:color w:val="auto"/>
        </w:rPr>
      </w:pPr>
    </w:p>
    <w:p>
      <w:pPr>
        <w:jc w:val="both"/>
        <w:ind w:left="-460" w:firstLine="644"/>
        <w:spacing w:after="0" w:line="275" w:lineRule="auto"/>
        <w:tabs>
          <w:tab w:leader="none" w:pos="972"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176" w:lineRule="exact"/>
        <w:rPr>
          <w:rFonts w:ascii="Arial" w:cs="Arial" w:eastAsia="Arial" w:hAnsi="Arial"/>
          <w:sz w:val="17"/>
          <w:szCs w:val="17"/>
          <w:color w:val="auto"/>
        </w:rPr>
      </w:pPr>
    </w:p>
    <w:p>
      <w:pPr>
        <w:jc w:val="both"/>
        <w:ind w:left="-460" w:firstLine="644"/>
        <w:spacing w:after="0" w:line="263" w:lineRule="auto"/>
        <w:tabs>
          <w:tab w:leader="none" w:pos="911" w:val="left"/>
        </w:tabs>
        <w:numPr>
          <w:ilvl w:val="0"/>
          <w:numId w:val="9"/>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83" w:lineRule="exact"/>
        <w:rPr>
          <w:rFonts w:ascii="Arial" w:cs="Arial" w:eastAsia="Arial" w:hAnsi="Arial"/>
          <w:sz w:val="18"/>
          <w:szCs w:val="18"/>
          <w:color w:val="auto"/>
        </w:rPr>
      </w:pPr>
    </w:p>
    <w:p>
      <w:pPr>
        <w:jc w:val="both"/>
        <w:ind w:left="-460" w:firstLine="644"/>
        <w:spacing w:after="0" w:line="279" w:lineRule="auto"/>
        <w:tabs>
          <w:tab w:leader="none" w:pos="937"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171" w:lineRule="exact"/>
        <w:rPr>
          <w:rFonts w:ascii="Arial" w:cs="Arial" w:eastAsia="Arial" w:hAnsi="Arial"/>
          <w:sz w:val="17"/>
          <w:szCs w:val="17"/>
          <w:color w:val="auto"/>
        </w:rPr>
      </w:pPr>
    </w:p>
    <w:p>
      <w:pPr>
        <w:jc w:val="both"/>
        <w:ind w:left="-460" w:firstLine="644"/>
        <w:spacing w:after="0" w:line="271" w:lineRule="auto"/>
        <w:tabs>
          <w:tab w:leader="none" w:pos="978" w:val="left"/>
        </w:tabs>
        <w:numPr>
          <w:ilvl w:val="0"/>
          <w:numId w:val="9"/>
        </w:numPr>
        <w:rPr>
          <w:rFonts w:ascii="Arial" w:cs="Arial" w:eastAsia="Arial" w:hAnsi="Arial"/>
          <w:sz w:val="17"/>
          <w:szCs w:val="17"/>
          <w:color w:val="auto"/>
        </w:rPr>
      </w:pPr>
      <w:r>
        <w:rPr>
          <w:rFonts w:ascii="Arial" w:cs="Arial" w:eastAsia="Arial" w:hAnsi="Arial"/>
          <w:sz w:val="17"/>
          <w:szCs w:val="17"/>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39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4" w:firstLine="644"/>
        <w:spacing w:after="0" w:line="275" w:lineRule="auto"/>
        <w:tabs>
          <w:tab w:leader="none" w:pos="148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176" w:lineRule="exact"/>
        <w:rPr>
          <w:rFonts w:ascii="Arial" w:cs="Arial" w:eastAsia="Arial" w:hAnsi="Arial"/>
          <w:sz w:val="17"/>
          <w:szCs w:val="17"/>
          <w:color w:val="auto"/>
        </w:rPr>
      </w:pPr>
    </w:p>
    <w:p>
      <w:pPr>
        <w:jc w:val="both"/>
        <w:ind w:left="4" w:firstLine="644"/>
        <w:spacing w:after="0" w:line="257" w:lineRule="auto"/>
        <w:tabs>
          <w:tab w:leader="none" w:pos="160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87" w:lineRule="exact"/>
        <w:rPr>
          <w:rFonts w:ascii="Arial" w:cs="Arial" w:eastAsia="Arial" w:hAnsi="Arial"/>
          <w:sz w:val="18"/>
          <w:szCs w:val="18"/>
          <w:color w:val="auto"/>
        </w:rPr>
      </w:pPr>
    </w:p>
    <w:p>
      <w:pPr>
        <w:jc w:val="both"/>
        <w:ind w:left="4" w:firstLine="644"/>
        <w:spacing w:after="0" w:line="272" w:lineRule="auto"/>
        <w:tabs>
          <w:tab w:leader="none" w:pos="14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jc w:val="both"/>
        <w:ind w:left="4" w:firstLine="644"/>
        <w:spacing w:after="0" w:line="279" w:lineRule="auto"/>
        <w:tabs>
          <w:tab w:leader="none" w:pos="1432"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171" w:lineRule="exact"/>
        <w:rPr>
          <w:sz w:val="20"/>
          <w:szCs w:val="20"/>
          <w:color w:val="auto"/>
        </w:rPr>
      </w:pPr>
    </w:p>
    <w:p>
      <w:pPr>
        <w:jc w:val="both"/>
        <w:ind w:left="4" w:firstLine="644"/>
        <w:spacing w:after="0" w:line="286" w:lineRule="auto"/>
        <w:tabs>
          <w:tab w:leader="none" w:pos="1296"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200" w:lineRule="exact"/>
        <w:rPr>
          <w:sz w:val="20"/>
          <w:szCs w:val="20"/>
          <w:color w:val="auto"/>
        </w:rPr>
      </w:pPr>
    </w:p>
    <w:p>
      <w:pPr>
        <w:spacing w:after="0" w:line="21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2" w:name="page13"/>
    <w:bookmarkEnd w:id="12"/>
    <w:p>
      <w:pPr>
        <w:jc w:val="both"/>
        <w:ind w:left="4" w:firstLine="644"/>
        <w:spacing w:after="0" w:line="257" w:lineRule="auto"/>
        <w:tabs>
          <w:tab w:leader="none" w:pos="1262"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187" w:lineRule="exact"/>
        <w:rPr>
          <w:rFonts w:ascii="Arial" w:cs="Arial" w:eastAsia="Arial" w:hAnsi="Arial"/>
          <w:sz w:val="18"/>
          <w:szCs w:val="18"/>
          <w:color w:val="auto"/>
        </w:rPr>
      </w:pPr>
    </w:p>
    <w:p>
      <w:pPr>
        <w:jc w:val="both"/>
        <w:ind w:left="4" w:firstLine="644"/>
        <w:spacing w:after="0" w:line="273" w:lineRule="auto"/>
        <w:tabs>
          <w:tab w:leader="none" w:pos="1282"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jc w:val="both"/>
        <w:ind w:left="4" w:firstLine="644"/>
        <w:spacing w:after="0" w:line="286" w:lineRule="auto"/>
        <w:tabs>
          <w:tab w:leader="none" w:pos="133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w:t>
      </w:r>
    </w:p>
    <w:p>
      <w:pPr>
        <w:spacing w:after="0" w:line="1" w:lineRule="exact"/>
        <w:rPr>
          <w:rFonts w:ascii="Arial" w:cs="Arial" w:eastAsia="Arial" w:hAnsi="Arial"/>
          <w:sz w:val="16"/>
          <w:szCs w:val="16"/>
          <w:color w:val="auto"/>
        </w:rPr>
      </w:pPr>
    </w:p>
    <w:p>
      <w:pPr>
        <w:ind w:left="4" w:right="20" w:hanging="4"/>
        <w:spacing w:after="0" w:line="260"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the existing assets at reasonable intervals and appropriate action is taken with respect to any differences.</w:t>
      </w:r>
    </w:p>
    <w:p>
      <w:pPr>
        <w:spacing w:after="0" w:line="185" w:lineRule="exact"/>
        <w:rPr>
          <w:rFonts w:ascii="Arial" w:cs="Arial" w:eastAsia="Arial" w:hAnsi="Arial"/>
          <w:sz w:val="18"/>
          <w:szCs w:val="18"/>
          <w:color w:val="auto"/>
        </w:rPr>
      </w:pPr>
    </w:p>
    <w:p>
      <w:pPr>
        <w:jc w:val="both"/>
        <w:ind w:left="4" w:firstLine="644"/>
        <w:spacing w:after="0" w:line="263" w:lineRule="auto"/>
        <w:tabs>
          <w:tab w:leader="none" w:pos="1228" w:val="left"/>
        </w:tabs>
        <w:numPr>
          <w:ilvl w:val="1"/>
          <w:numId w:val="14"/>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40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3" w:name="page14"/>
    <w:bookmarkEnd w:id="13"/>
    <w:p>
      <w:pPr>
        <w:jc w:val="both"/>
        <w:ind w:left="-460" w:firstLine="644"/>
        <w:spacing w:after="0" w:line="269" w:lineRule="auto"/>
        <w:tabs>
          <w:tab w:leader="none" w:pos="87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178" w:lineRule="exact"/>
        <w:rPr>
          <w:rFonts w:ascii="Arial" w:cs="Arial" w:eastAsia="Arial" w:hAnsi="Arial"/>
          <w:sz w:val="17"/>
          <w:szCs w:val="17"/>
          <w:color w:val="auto"/>
        </w:rPr>
      </w:pPr>
    </w:p>
    <w:p>
      <w:pPr>
        <w:jc w:val="both"/>
        <w:ind w:left="-460" w:firstLine="644"/>
        <w:spacing w:after="0" w:line="272" w:lineRule="auto"/>
        <w:tabs>
          <w:tab w:leader="none" w:pos="879"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177" w:lineRule="exact"/>
        <w:rPr>
          <w:rFonts w:ascii="Arial" w:cs="Arial" w:eastAsia="Arial" w:hAnsi="Arial"/>
          <w:sz w:val="17"/>
          <w:szCs w:val="17"/>
          <w:color w:val="auto"/>
        </w:rPr>
      </w:pPr>
    </w:p>
    <w:p>
      <w:pPr>
        <w:jc w:val="both"/>
        <w:ind w:left="-460" w:firstLine="644"/>
        <w:spacing w:after="0" w:line="271" w:lineRule="auto"/>
        <w:tabs>
          <w:tab w:leader="none" w:pos="771"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7"/>
          <w:szCs w:val="17"/>
          <w:u w:val="single" w:color="auto"/>
          <w:color w:val="auto"/>
        </w:rPr>
        <w:t>ERISA</w:t>
      </w:r>
      <w:r>
        <w:rPr>
          <w:rFonts w:ascii="Arial" w:cs="Arial" w:eastAsia="Arial" w:hAnsi="Arial"/>
          <w:sz w:val="17"/>
          <w:szCs w:val="17"/>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4" w:name="page15"/>
    <w:bookmarkEnd w:id="14"/>
    <w:p>
      <w:pPr>
        <w:ind w:left="1260" w:hanging="616"/>
        <w:spacing w:after="0"/>
        <w:tabs>
          <w:tab w:leader="none" w:pos="1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210" w:lineRule="exact"/>
        <w:rPr>
          <w:rFonts w:ascii="Arial" w:cs="Arial" w:eastAsia="Arial" w:hAnsi="Arial"/>
          <w:sz w:val="17"/>
          <w:szCs w:val="17"/>
          <w:color w:val="auto"/>
        </w:rPr>
      </w:pPr>
    </w:p>
    <w:p>
      <w:pPr>
        <w:jc w:val="both"/>
        <w:ind w:firstLine="644"/>
        <w:spacing w:after="0" w:line="257" w:lineRule="auto"/>
        <w:tabs>
          <w:tab w:leader="none" w:pos="131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87" w:lineRule="exact"/>
        <w:rPr>
          <w:rFonts w:ascii="Arial" w:cs="Arial" w:eastAsia="Arial" w:hAnsi="Arial"/>
          <w:sz w:val="18"/>
          <w:szCs w:val="18"/>
          <w:color w:val="auto"/>
        </w:rPr>
      </w:pPr>
    </w:p>
    <w:p>
      <w:pPr>
        <w:jc w:val="both"/>
        <w:ind w:firstLine="644"/>
        <w:spacing w:after="0" w:line="290" w:lineRule="auto"/>
        <w:tabs>
          <w:tab w:leader="none" w:pos="12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in which the Company’s Annual Report on Form 10-K for the year ended December 31, 2021 and the Company’s Quarterly Report on Form 10-Q for the quarterly period ended March 31, 2022; (ii) have been evaluated for effectiveness as of the end of the periods covered by the Company’s Annual Report on Form 10-K for the year ended December 31, 2021 and the Company’s Quarterly Report on Form 10-Q for the quarterly period ended March 31, 2022 pursuant to Rule 13a-15 of the Exchange Act; and (iii) are effective to ensure that the Company is able to collect, process and disclose the information required to be disclosed in reports filed with the Commission within required time periods.</w:t>
      </w:r>
    </w:p>
    <w:p>
      <w:pPr>
        <w:spacing w:after="0" w:line="165" w:lineRule="exact"/>
        <w:rPr>
          <w:rFonts w:ascii="Arial" w:cs="Arial" w:eastAsia="Arial" w:hAnsi="Arial"/>
          <w:sz w:val="16"/>
          <w:szCs w:val="16"/>
          <w:color w:val="auto"/>
        </w:rPr>
      </w:pPr>
    </w:p>
    <w:p>
      <w:pPr>
        <w:jc w:val="both"/>
        <w:ind w:firstLine="644"/>
        <w:spacing w:after="0" w:line="293" w:lineRule="auto"/>
        <w:tabs>
          <w:tab w:leader="none" w:pos="11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the evaluation of its disclosure controls and procedures as of the end of the periods covered by the Company’s Annual Report on Form 10-K for the year ended December 31, 2021 and the Company’s Quarterly Report on Form 10-Q for the quarterly period ended March 31, 2022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164" w:lineRule="exact"/>
        <w:rPr>
          <w:rFonts w:ascii="Arial" w:cs="Arial" w:eastAsia="Arial" w:hAnsi="Arial"/>
          <w:sz w:val="16"/>
          <w:szCs w:val="16"/>
          <w:color w:val="auto"/>
        </w:rPr>
      </w:pPr>
    </w:p>
    <w:p>
      <w:pPr>
        <w:jc w:val="both"/>
        <w:ind w:firstLine="644"/>
        <w:spacing w:after="0" w:line="255" w:lineRule="auto"/>
        <w:tabs>
          <w:tab w:leader="none" w:pos="13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 w:name="page16"/>
    <w:bookmarkEnd w:id="15"/>
    <w:p>
      <w:pPr>
        <w:ind w:left="-460" w:firstLine="644"/>
        <w:spacing w:after="0" w:line="277" w:lineRule="auto"/>
        <w:tabs>
          <w:tab w:leader="none" w:pos="7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Since March 31, 2022, there have been no significant changes in internal controls or in other factors that could significantly affect the Company’s internal controls over financial reporting.</w:t>
      </w:r>
    </w:p>
    <w:p>
      <w:pPr>
        <w:spacing w:after="0" w:line="170" w:lineRule="exact"/>
        <w:rPr>
          <w:rFonts w:ascii="Arial" w:cs="Arial" w:eastAsia="Arial" w:hAnsi="Arial"/>
          <w:sz w:val="18"/>
          <w:szCs w:val="18"/>
          <w:color w:val="auto"/>
        </w:rPr>
      </w:pPr>
    </w:p>
    <w:p>
      <w:pPr>
        <w:ind w:left="-460" w:firstLine="644"/>
        <w:spacing w:after="0" w:line="277" w:lineRule="auto"/>
        <w:tabs>
          <w:tab w:leader="none" w:pos="753"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170" w:lineRule="exact"/>
        <w:rPr>
          <w:rFonts w:ascii="Arial" w:cs="Arial" w:eastAsia="Arial" w:hAnsi="Arial"/>
          <w:sz w:val="18"/>
          <w:szCs w:val="18"/>
          <w:color w:val="auto"/>
        </w:rPr>
      </w:pPr>
    </w:p>
    <w:p>
      <w:pPr>
        <w:ind w:left="-460" w:firstLine="644"/>
        <w:spacing w:after="0" w:line="277" w:lineRule="auto"/>
        <w:tabs>
          <w:tab w:leader="none" w:pos="77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w:t>
      </w:r>
    </w:p>
    <w:p>
      <w:pPr>
        <w:spacing w:after="0" w:line="170" w:lineRule="exact"/>
        <w:rPr>
          <w:rFonts w:ascii="Arial" w:cs="Arial" w:eastAsia="Arial" w:hAnsi="Arial"/>
          <w:sz w:val="18"/>
          <w:szCs w:val="18"/>
          <w:color w:val="auto"/>
        </w:rPr>
      </w:pPr>
    </w:p>
    <w:p>
      <w:pPr>
        <w:jc w:val="both"/>
        <w:ind w:left="-460" w:firstLine="644"/>
        <w:spacing w:after="0" w:line="269" w:lineRule="auto"/>
        <w:tabs>
          <w:tab w:leader="none" w:pos="8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Arial" w:cs="Arial" w:eastAsia="Arial" w:hAnsi="Arial"/>
          <w:sz w:val="17"/>
          <w:szCs w:val="17"/>
          <w:u w:val="single" w:color="auto"/>
          <w:color w:val="auto"/>
        </w:rPr>
        <w:t>Anti-Corruption Laws</w:t>
      </w:r>
      <w:r>
        <w:rPr>
          <w:rFonts w:ascii="Arial" w:cs="Arial" w:eastAsia="Arial" w:hAnsi="Arial"/>
          <w:sz w:val="17"/>
          <w:szCs w:val="17"/>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181" w:lineRule="exact"/>
        <w:rPr>
          <w:rFonts w:ascii="Arial" w:cs="Arial" w:eastAsia="Arial" w:hAnsi="Arial"/>
          <w:sz w:val="17"/>
          <w:szCs w:val="17"/>
          <w:color w:val="auto"/>
        </w:rPr>
      </w:pPr>
    </w:p>
    <w:p>
      <w:pPr>
        <w:jc w:val="both"/>
        <w:ind w:left="-460" w:firstLine="644"/>
        <w:spacing w:after="0" w:line="253" w:lineRule="auto"/>
        <w:tabs>
          <w:tab w:leader="none" w:pos="8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or other relevant sanctions authority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nor is the Company or any of its subsidiaries located, organized or resident in a country or territory that is the subject or target of Sanctions, including, without limitation, the Crimea region of Ukraine, Cuba, Iran, North Korea, Syria, the so-called Donetsk People’s Republic and the so-called Luhansk People’s Republic (each, a “</w:t>
      </w:r>
      <w:r>
        <w:rPr>
          <w:rFonts w:ascii="Arial" w:cs="Arial" w:eastAsia="Arial" w:hAnsi="Arial"/>
          <w:sz w:val="18"/>
          <w:szCs w:val="18"/>
          <w:u w:val="single" w:color="auto"/>
          <w:color w:val="auto"/>
        </w:rPr>
        <w:t>Sanctioned Country</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 (ii) to fund any activities of or business in any Sanctioned Country.</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ind w:left="660" w:firstLine="644"/>
        <w:spacing w:after="0" w:line="273" w:lineRule="auto"/>
        <w:tabs>
          <w:tab w:leader="none" w:pos="195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7" w:lineRule="exact"/>
        <w:rPr>
          <w:rFonts w:ascii="Arial" w:cs="Arial" w:eastAsia="Arial" w:hAnsi="Arial"/>
          <w:sz w:val="17"/>
          <w:szCs w:val="17"/>
          <w:color w:val="auto"/>
        </w:rPr>
      </w:pPr>
    </w:p>
    <w:p>
      <w:pPr>
        <w:jc w:val="both"/>
        <w:ind w:left="660" w:firstLine="644"/>
        <w:spacing w:after="0" w:line="289" w:lineRule="auto"/>
        <w:tabs>
          <w:tab w:leader="none" w:pos="1811"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and data (including all personal, personally identifiable, sensitive, confidential or regulated data (“</w:t>
      </w:r>
      <w:r>
        <w:rPr>
          <w:rFonts w:ascii="Arial" w:cs="Arial" w:eastAsia="Arial" w:hAnsi="Arial"/>
          <w:sz w:val="16"/>
          <w:szCs w:val="16"/>
          <w:u w:val="single" w:color="auto"/>
          <w:color w:val="auto"/>
        </w:rPr>
        <w:t>Personal Data</w:t>
      </w:r>
      <w:r>
        <w:rPr>
          <w:rFonts w:ascii="Arial" w:cs="Arial" w:eastAsia="Arial" w:hAnsi="Arial"/>
          <w:sz w:val="16"/>
          <w:szCs w:val="16"/>
          <w:color w:val="auto"/>
        </w:rPr>
        <w:t>”)) used in connection with their businesses. To the knowledge of the Company, there have been no breaches or unauthorized uses of or accesses to the IT Systems or Personal Data, and no such incidents are under internal investigation, that individually or in the aggregate, have, or would reasonably be expected to result in, a Material Adverse Effect.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184" w:lineRule="exact"/>
        <w:rPr>
          <w:sz w:val="20"/>
          <w:szCs w:val="20"/>
          <w:color w:val="auto"/>
        </w:rPr>
      </w:pPr>
    </w:p>
    <w:p>
      <w:pPr>
        <w:ind w:left="1340" w:hanging="684"/>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99.200% of the principal amount of the Notes, plus accrued interest, if any, from May 12, 2022 to the Closing Date, the principal amount of the Notes set forth opposite such Underwriter’s name in Schedule II hereto.</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72" w:lineRule="auto"/>
        <w:tabs>
          <w:tab w:leader="none" w:pos="14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177" w:lineRule="exact"/>
        <w:rPr>
          <w:rFonts w:ascii="Arial" w:cs="Arial" w:eastAsia="Arial" w:hAnsi="Arial"/>
          <w:sz w:val="17"/>
          <w:szCs w:val="17"/>
          <w:color w:val="auto"/>
        </w:rPr>
      </w:pPr>
    </w:p>
    <w:p>
      <w:pPr>
        <w:ind w:firstLine="656"/>
        <w:spacing w:after="0" w:line="277" w:lineRule="auto"/>
        <w:tabs>
          <w:tab w:leader="none" w:pos="137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rFonts w:ascii="Arial" w:cs="Arial" w:eastAsia="Arial" w:hAnsi="Arial"/>
          <w:sz w:val="18"/>
          <w:szCs w:val="18"/>
          <w:color w:val="auto"/>
        </w:rPr>
      </w:pPr>
    </w:p>
    <w:p>
      <w:pPr>
        <w:jc w:val="both"/>
        <w:ind w:left="660" w:firstLine="644"/>
        <w:spacing w:after="0" w:line="289" w:lineRule="auto"/>
        <w:tabs>
          <w:tab w:leader="none" w:pos="2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166" w:lineRule="exact"/>
        <w:rPr>
          <w:rFonts w:ascii="Arial" w:cs="Arial" w:eastAsia="Arial" w:hAnsi="Arial"/>
          <w:sz w:val="16"/>
          <w:szCs w:val="16"/>
          <w:color w:val="auto"/>
        </w:rPr>
      </w:pPr>
    </w:p>
    <w:p>
      <w:pPr>
        <w:jc w:val="both"/>
        <w:ind w:left="660" w:firstLine="644"/>
        <w:spacing w:after="0" w:line="254" w:lineRule="auto"/>
        <w:tabs>
          <w:tab w:leader="none" w:pos="2125" w:val="left"/>
        </w:tabs>
        <w:numPr>
          <w:ilvl w:val="1"/>
          <w:numId w:val="20"/>
        </w:numPr>
        <w:rPr>
          <w:rFonts w:ascii="Arial" w:cs="Arial" w:eastAsia="Arial" w:hAnsi="Arial"/>
          <w:sz w:val="18"/>
          <w:szCs w:val="18"/>
          <w:color w:val="auto"/>
        </w:rPr>
      </w:pPr>
      <w:r>
        <w:rPr>
          <w:rFonts w:ascii="Arial" w:cs="Arial" w:eastAsia="Arial" w:hAnsi="Arial"/>
          <w:sz w:val="18"/>
          <w:szCs w:val="18"/>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left="4" w:firstLine="644"/>
        <w:spacing w:after="0" w:line="283" w:lineRule="auto"/>
        <w:tabs>
          <w:tab w:leader="none" w:pos="155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w:t>
      </w:r>
    </w:p>
    <w:p>
      <w:pPr>
        <w:spacing w:after="0" w:line="5" w:lineRule="exact"/>
        <w:rPr>
          <w:rFonts w:ascii="Arial" w:cs="Arial" w:eastAsia="Arial" w:hAnsi="Arial"/>
          <w:sz w:val="16"/>
          <w:szCs w:val="16"/>
          <w:color w:val="auto"/>
        </w:rPr>
      </w:pPr>
    </w:p>
    <w:p>
      <w:pPr>
        <w:jc w:val="both"/>
        <w:ind w:left="4" w:hanging="4"/>
        <w:spacing w:after="0" w:line="277" w:lineRule="auto"/>
        <w:tabs>
          <w:tab w:leader="none" w:pos="324" w:val="left"/>
        </w:tabs>
        <w:numPr>
          <w:ilvl w:val="0"/>
          <w:numId w:val="22"/>
        </w:numPr>
        <w:rPr>
          <w:rFonts w:ascii="Arial" w:cs="Arial" w:eastAsia="Arial" w:hAnsi="Arial"/>
          <w:sz w:val="17"/>
          <w:szCs w:val="17"/>
          <w:color w:val="auto"/>
        </w:rPr>
      </w:pPr>
      <w:r>
        <w:rPr>
          <w:rFonts w:ascii="Arial" w:cs="Arial" w:eastAsia="Arial" w:hAnsi="Arial"/>
          <w:sz w:val="17"/>
          <w:szCs w:val="17"/>
          <w:color w:val="auto"/>
        </w:rPr>
        <w:t>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172" w:lineRule="exact"/>
        <w:rPr>
          <w:rFonts w:ascii="Arial" w:cs="Arial" w:eastAsia="Arial" w:hAnsi="Arial"/>
          <w:sz w:val="17"/>
          <w:szCs w:val="17"/>
          <w:color w:val="auto"/>
        </w:rPr>
      </w:pPr>
    </w:p>
    <w:p>
      <w:pPr>
        <w:jc w:val="both"/>
        <w:ind w:left="4" w:firstLine="644"/>
        <w:spacing w:after="0" w:line="272" w:lineRule="auto"/>
        <w:tabs>
          <w:tab w:leader="none" w:pos="1455"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177" w:lineRule="exact"/>
        <w:rPr>
          <w:rFonts w:ascii="Arial" w:cs="Arial" w:eastAsia="Arial" w:hAnsi="Arial"/>
          <w:sz w:val="17"/>
          <w:szCs w:val="17"/>
          <w:color w:val="auto"/>
        </w:rPr>
      </w:pPr>
    </w:p>
    <w:p>
      <w:pPr>
        <w:jc w:val="both"/>
        <w:ind w:left="4" w:firstLine="644"/>
        <w:spacing w:after="0" w:line="271" w:lineRule="auto"/>
        <w:tabs>
          <w:tab w:leader="none" w:pos="1459" w:val="left"/>
        </w:tabs>
        <w:numPr>
          <w:ilvl w:val="1"/>
          <w:numId w:val="22"/>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39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 w:name="page20"/>
    <w:bookmarkEnd w:id="19"/>
    <w:p>
      <w:pPr>
        <w:jc w:val="both"/>
        <w:ind w:left="-460" w:firstLine="644"/>
        <w:spacing w:after="0" w:line="263" w:lineRule="auto"/>
        <w:tabs>
          <w:tab w:leader="none" w:pos="11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83" w:lineRule="exact"/>
        <w:rPr>
          <w:rFonts w:ascii="Arial" w:cs="Arial" w:eastAsia="Arial" w:hAnsi="Arial"/>
          <w:sz w:val="18"/>
          <w:szCs w:val="18"/>
          <w:color w:val="auto"/>
        </w:rPr>
      </w:pPr>
    </w:p>
    <w:p>
      <w:pPr>
        <w:jc w:val="both"/>
        <w:ind w:left="-460" w:firstLine="644"/>
        <w:spacing w:after="0" w:line="255"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192" w:lineRule="exact"/>
        <w:rPr>
          <w:rFonts w:ascii="Arial" w:cs="Arial" w:eastAsia="Arial" w:hAnsi="Arial"/>
          <w:sz w:val="18"/>
          <w:szCs w:val="18"/>
          <w:color w:val="auto"/>
        </w:rPr>
      </w:pPr>
    </w:p>
    <w:p>
      <w:pPr>
        <w:jc w:val="both"/>
        <w:ind w:left="-460" w:firstLine="644"/>
        <w:spacing w:after="0" w:line="296" w:lineRule="auto"/>
        <w:tabs>
          <w:tab w:leader="none" w:pos="100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61" w:lineRule="exact"/>
        <w:rPr>
          <w:rFonts w:ascii="Arial" w:cs="Arial" w:eastAsia="Arial" w:hAnsi="Arial"/>
          <w:sz w:val="16"/>
          <w:szCs w:val="16"/>
          <w:color w:val="auto"/>
        </w:rPr>
      </w:pPr>
    </w:p>
    <w:p>
      <w:pPr>
        <w:jc w:val="both"/>
        <w:ind w:left="-460" w:firstLine="644"/>
        <w:spacing w:after="0" w:line="254" w:lineRule="auto"/>
        <w:tabs>
          <w:tab w:leader="none" w:pos="9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191" w:lineRule="exact"/>
        <w:rPr>
          <w:rFonts w:ascii="Arial" w:cs="Arial" w:eastAsia="Arial" w:hAnsi="Arial"/>
          <w:sz w:val="18"/>
          <w:szCs w:val="18"/>
          <w:color w:val="auto"/>
        </w:rPr>
      </w:pPr>
    </w:p>
    <w:p>
      <w:pPr>
        <w:jc w:val="both"/>
        <w:ind w:left="-460" w:firstLine="644"/>
        <w:spacing w:after="0" w:line="263" w:lineRule="auto"/>
        <w:tabs>
          <w:tab w:leader="none" w:pos="898"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ind w:left="660" w:firstLine="644"/>
        <w:spacing w:after="0" w:line="277" w:lineRule="auto"/>
        <w:tabs>
          <w:tab w:leader="none" w:pos="22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225" w:lineRule="exact"/>
        <w:rPr>
          <w:rFonts w:ascii="Arial" w:cs="Arial" w:eastAsia="Arial" w:hAnsi="Arial"/>
          <w:sz w:val="18"/>
          <w:szCs w:val="18"/>
          <w:color w:val="auto"/>
        </w:rPr>
      </w:pPr>
    </w:p>
    <w:p>
      <w:pPr>
        <w:jc w:val="both"/>
        <w:ind w:left="660" w:firstLine="644"/>
        <w:spacing w:after="0" w:line="254" w:lineRule="auto"/>
        <w:tabs>
          <w:tab w:leader="none" w:pos="20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191" w:lineRule="exact"/>
        <w:rPr>
          <w:rFonts w:ascii="Arial" w:cs="Arial" w:eastAsia="Arial" w:hAnsi="Arial"/>
          <w:sz w:val="18"/>
          <w:szCs w:val="18"/>
          <w:color w:val="auto"/>
        </w:rPr>
      </w:pPr>
    </w:p>
    <w:p>
      <w:pPr>
        <w:ind w:left="660" w:right="20" w:firstLine="644"/>
        <w:spacing w:after="0" w:line="277" w:lineRule="auto"/>
        <w:tabs>
          <w:tab w:leader="none" w:pos="2111" w:val="left"/>
        </w:tabs>
        <w:numPr>
          <w:ilvl w:val="1"/>
          <w:numId w:val="25"/>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of the Securities (and will promptly notify the Company if any such proceeding against it is initiated during the Prospectus Delivery Period).</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377"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186" w:lineRule="exact"/>
        <w:rPr>
          <w:rFonts w:ascii="Arial" w:cs="Arial" w:eastAsia="Arial" w:hAnsi="Arial"/>
          <w:sz w:val="18"/>
          <w:szCs w:val="18"/>
          <w:color w:val="auto"/>
        </w:rPr>
      </w:pPr>
    </w:p>
    <w:p>
      <w:pPr>
        <w:jc w:val="both"/>
        <w:ind w:left="660" w:firstLine="644"/>
        <w:spacing w:after="0" w:line="273" w:lineRule="auto"/>
        <w:tabs>
          <w:tab w:leader="none" w:pos="2115"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177" w:lineRule="exact"/>
        <w:rPr>
          <w:rFonts w:ascii="Arial" w:cs="Arial" w:eastAsia="Arial" w:hAnsi="Arial"/>
          <w:sz w:val="17"/>
          <w:szCs w:val="17"/>
          <w:color w:val="auto"/>
        </w:rPr>
      </w:pPr>
    </w:p>
    <w:p>
      <w:pPr>
        <w:ind w:left="660" w:firstLine="644"/>
        <w:spacing w:after="0" w:line="277" w:lineRule="auto"/>
        <w:tabs>
          <w:tab w:leader="none" w:pos="20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698"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ind w:left="1600" w:hanging="768"/>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225" w:lineRule="exact"/>
        <w:rPr>
          <w:rFonts w:ascii="Arial" w:cs="Arial" w:eastAsia="Arial" w:hAnsi="Arial"/>
          <w:sz w:val="18"/>
          <w:szCs w:val="18"/>
          <w:color w:val="auto"/>
        </w:rPr>
      </w:pPr>
    </w:p>
    <w:p>
      <w:pPr>
        <w:jc w:val="both"/>
        <w:ind w:left="180" w:firstLine="652"/>
        <w:spacing w:after="0" w:line="255" w:lineRule="auto"/>
        <w:tabs>
          <w:tab w:leader="none" w:pos="16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192" w:lineRule="exact"/>
        <w:rPr>
          <w:rFonts w:ascii="Arial" w:cs="Arial" w:eastAsia="Arial" w:hAnsi="Arial"/>
          <w:sz w:val="18"/>
          <w:szCs w:val="18"/>
          <w:color w:val="auto"/>
        </w:rPr>
      </w:pPr>
    </w:p>
    <w:p>
      <w:pPr>
        <w:jc w:val="both"/>
        <w:ind w:left="180" w:firstLine="652"/>
        <w:spacing w:after="0" w:line="271" w:lineRule="auto"/>
        <w:tabs>
          <w:tab w:leader="none" w:pos="1722"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78" w:lineRule="exact"/>
        <w:rPr>
          <w:rFonts w:ascii="Arial" w:cs="Arial" w:eastAsia="Arial" w:hAnsi="Arial"/>
          <w:sz w:val="17"/>
          <w:szCs w:val="17"/>
          <w:color w:val="auto"/>
        </w:rPr>
      </w:pPr>
    </w:p>
    <w:p>
      <w:pPr>
        <w:jc w:val="both"/>
        <w:ind w:left="180" w:firstLine="652"/>
        <w:spacing w:after="0" w:line="290" w:lineRule="auto"/>
        <w:tabs>
          <w:tab w:leader="none" w:pos="172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Guarantee Agreement has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2" w:name="page23"/>
    <w:bookmarkEnd w:id="22"/>
    <w:p>
      <w:pPr>
        <w:ind w:left="1640" w:hanging="808"/>
        <w:spacing w:after="0"/>
        <w:tabs>
          <w:tab w:leader="none" w:pos="1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rFonts w:ascii="Arial" w:cs="Arial" w:eastAsia="Arial" w:hAnsi="Arial"/>
          <w:sz w:val="18"/>
          <w:szCs w:val="18"/>
          <w:color w:val="auto"/>
        </w:rPr>
      </w:pPr>
    </w:p>
    <w:p>
      <w:pPr>
        <w:ind w:left="180" w:right="20" w:firstLine="652"/>
        <w:spacing w:after="0" w:line="277" w:lineRule="auto"/>
        <w:tabs>
          <w:tab w:leader="none" w:pos="183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170" w:lineRule="exact"/>
        <w:rPr>
          <w:rFonts w:ascii="Arial" w:cs="Arial" w:eastAsia="Arial" w:hAnsi="Arial"/>
          <w:sz w:val="18"/>
          <w:szCs w:val="18"/>
          <w:color w:val="auto"/>
        </w:rPr>
      </w:pPr>
    </w:p>
    <w:p>
      <w:pPr>
        <w:jc w:val="both"/>
        <w:ind w:left="180" w:firstLine="652"/>
        <w:spacing w:after="0" w:line="259" w:lineRule="auto"/>
        <w:tabs>
          <w:tab w:leader="none" w:pos="17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186" w:lineRule="exact"/>
        <w:rPr>
          <w:rFonts w:ascii="Arial" w:cs="Arial" w:eastAsia="Arial" w:hAnsi="Arial"/>
          <w:sz w:val="18"/>
          <w:szCs w:val="18"/>
          <w:color w:val="auto"/>
        </w:rPr>
      </w:pPr>
    </w:p>
    <w:p>
      <w:pPr>
        <w:jc w:val="both"/>
        <w:ind w:left="180" w:firstLine="652"/>
        <w:spacing w:after="0" w:line="259" w:lineRule="auto"/>
        <w:tabs>
          <w:tab w:leader="none" w:pos="1641"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186" w:lineRule="exact"/>
        <w:rPr>
          <w:rFonts w:ascii="Arial" w:cs="Arial" w:eastAsia="Arial" w:hAnsi="Arial"/>
          <w:sz w:val="18"/>
          <w:szCs w:val="18"/>
          <w:color w:val="auto"/>
        </w:rPr>
      </w:pPr>
    </w:p>
    <w:p>
      <w:pPr>
        <w:jc w:val="both"/>
        <w:ind w:left="180" w:firstLine="652"/>
        <w:spacing w:after="0" w:line="257" w:lineRule="auto"/>
        <w:tabs>
          <w:tab w:leader="none" w:pos="16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Arial" w:cs="Arial" w:eastAsia="Arial" w:hAnsi="Arial"/>
          <w:sz w:val="18"/>
          <w:szCs w:val="18"/>
          <w:u w:val="single" w:color="auto"/>
          <w:color w:val="auto"/>
        </w:rPr>
        <w:t>Reviewed Agreements</w:t>
      </w:r>
      <w:r>
        <w:rPr>
          <w:rFonts w:ascii="Arial" w:cs="Arial" w:eastAsia="Arial" w:hAnsi="Arial"/>
          <w:sz w:val="18"/>
          <w:szCs w:val="18"/>
          <w:color w:val="auto"/>
        </w:rPr>
        <w:t>”), or any existing applicable laws, rule or regulation (excluding any state securities or state or federal anti-fraud law, rule or regulation);</w:t>
      </w:r>
    </w:p>
    <w:p>
      <w:pPr>
        <w:spacing w:after="0" w:line="187" w:lineRule="exact"/>
        <w:rPr>
          <w:rFonts w:ascii="Arial" w:cs="Arial" w:eastAsia="Arial" w:hAnsi="Arial"/>
          <w:sz w:val="18"/>
          <w:szCs w:val="18"/>
          <w:color w:val="auto"/>
        </w:rPr>
      </w:pPr>
    </w:p>
    <w:p>
      <w:pPr>
        <w:jc w:val="both"/>
        <w:ind w:left="180" w:firstLine="652"/>
        <w:spacing w:after="0" w:line="279" w:lineRule="auto"/>
        <w:tabs>
          <w:tab w:leader="none" w:pos="183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171" w:lineRule="exact"/>
        <w:rPr>
          <w:rFonts w:ascii="Arial" w:cs="Arial" w:eastAsia="Arial" w:hAnsi="Arial"/>
          <w:sz w:val="17"/>
          <w:szCs w:val="17"/>
          <w:color w:val="auto"/>
        </w:rPr>
      </w:pPr>
    </w:p>
    <w:p>
      <w:pPr>
        <w:ind w:left="180" w:firstLine="652"/>
        <w:spacing w:after="0" w:line="277" w:lineRule="auto"/>
        <w:tabs>
          <w:tab w:leader="none" w:pos="19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3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3" w:name="page24"/>
    <w:bookmarkEnd w:id="23"/>
    <w:p>
      <w:pPr>
        <w:jc w:val="both"/>
        <w:ind w:firstLine="648"/>
        <w:spacing w:after="0" w:line="284" w:lineRule="auto"/>
        <w:rPr>
          <w:sz w:val="20"/>
          <w:szCs w:val="20"/>
          <w:color w:val="auto"/>
        </w:rPr>
      </w:pPr>
      <w:r>
        <w:rPr>
          <w:rFonts w:ascii="Arial" w:cs="Arial" w:eastAsia="Arial" w:hAnsi="Arial"/>
          <w:sz w:val="16"/>
          <w:szCs w:val="16"/>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Closing Date, appear on their face to be appropriately responsive in all material respects to the requirements of the Act and the rules and regulations of the Commission thereunder; and (b) nothing came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it being understood that in each case such counsel has not been asked to, and does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3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rendering such opinions, such counsel may (A) state that the opinions are limited in all respects to matters of the contract law of the State of New York, the General Corporation Law of the State of Delaware and applicable federal laws of the United States, each as in effect on the Closing Date,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4" w:name="page25"/>
    <w:bookmarkEnd w:id="24"/>
    <w:p>
      <w:pPr>
        <w:ind w:left="-460" w:firstLine="644"/>
        <w:spacing w:after="0" w:line="277" w:lineRule="auto"/>
        <w:tabs>
          <w:tab w:leader="none" w:pos="9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Courtney A. Tippy, General Counsel – Securities &amp; Governance, Corporate Secretary of the Company, shall have furnished to the Representatives her opinion, dated the Closing Date and addressed to the Representatives, to the effect that:</w:t>
      </w:r>
    </w:p>
    <w:p>
      <w:pPr>
        <w:spacing w:after="0" w:line="170" w:lineRule="exact"/>
        <w:rPr>
          <w:rFonts w:ascii="Arial" w:cs="Arial" w:eastAsia="Arial" w:hAnsi="Arial"/>
          <w:sz w:val="18"/>
          <w:szCs w:val="18"/>
          <w:color w:val="auto"/>
        </w:rPr>
      </w:pPr>
    </w:p>
    <w:p>
      <w:pPr>
        <w:jc w:val="both"/>
        <w:ind w:left="180" w:firstLine="652"/>
        <w:spacing w:after="0" w:line="290" w:lineRule="auto"/>
        <w:tabs>
          <w:tab w:leader="none" w:pos="165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165" w:lineRule="exact"/>
        <w:rPr>
          <w:rFonts w:ascii="Arial" w:cs="Arial" w:eastAsia="Arial" w:hAnsi="Arial"/>
          <w:sz w:val="16"/>
          <w:szCs w:val="16"/>
          <w:color w:val="auto"/>
        </w:rPr>
      </w:pPr>
    </w:p>
    <w:p>
      <w:pPr>
        <w:jc w:val="both"/>
        <w:ind w:left="180" w:firstLine="652"/>
        <w:spacing w:after="0" w:line="255" w:lineRule="auto"/>
        <w:tabs>
          <w:tab w:leader="none" w:pos="170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192" w:lineRule="exact"/>
        <w:rPr>
          <w:rFonts w:ascii="Arial" w:cs="Arial" w:eastAsia="Arial" w:hAnsi="Arial"/>
          <w:sz w:val="18"/>
          <w:szCs w:val="18"/>
          <w:color w:val="auto"/>
        </w:rPr>
      </w:pPr>
    </w:p>
    <w:p>
      <w:pPr>
        <w:jc w:val="both"/>
        <w:ind w:left="180" w:firstLine="652"/>
        <w:spacing w:after="0" w:line="257" w:lineRule="auto"/>
        <w:tabs>
          <w:tab w:leader="none" w:pos="18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87" w:lineRule="exact"/>
        <w:rPr>
          <w:rFonts w:ascii="Arial" w:cs="Arial" w:eastAsia="Arial" w:hAnsi="Arial"/>
          <w:sz w:val="18"/>
          <w:szCs w:val="18"/>
          <w:color w:val="auto"/>
        </w:rPr>
      </w:pPr>
    </w:p>
    <w:p>
      <w:pPr>
        <w:jc w:val="both"/>
        <w:ind w:left="180" w:firstLine="652"/>
        <w:spacing w:after="0" w:line="257" w:lineRule="auto"/>
        <w:tabs>
          <w:tab w:leader="none" w:pos="1749"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187" w:lineRule="exact"/>
        <w:rPr>
          <w:rFonts w:ascii="Arial" w:cs="Arial" w:eastAsia="Arial" w:hAnsi="Arial"/>
          <w:sz w:val="18"/>
          <w:szCs w:val="18"/>
          <w:color w:val="auto"/>
        </w:rPr>
      </w:pPr>
    </w:p>
    <w:p>
      <w:pPr>
        <w:ind w:left="180" w:firstLine="652"/>
        <w:spacing w:after="0" w:line="277" w:lineRule="auto"/>
        <w:tabs>
          <w:tab w:leader="none" w:pos="1888"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170" w:lineRule="exact"/>
        <w:rPr>
          <w:rFonts w:ascii="Arial" w:cs="Arial" w:eastAsia="Arial" w:hAnsi="Arial"/>
          <w:sz w:val="18"/>
          <w:szCs w:val="18"/>
          <w:color w:val="auto"/>
        </w:rPr>
      </w:pPr>
    </w:p>
    <w:p>
      <w:pPr>
        <w:jc w:val="both"/>
        <w:ind w:left="180" w:firstLine="652"/>
        <w:spacing w:after="0" w:line="270" w:lineRule="auto"/>
        <w:tabs>
          <w:tab w:leader="none" w:pos="2019"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execution and delivery of this Agreement, the Notes, the Guarantee Agreement and the execution and performance of the Indenture (the “</w:t>
      </w:r>
      <w:r>
        <w:rPr>
          <w:rFonts w:ascii="Arial" w:cs="Arial" w:eastAsia="Arial" w:hAnsi="Arial"/>
          <w:sz w:val="17"/>
          <w:szCs w:val="17"/>
          <w:u w:val="single" w:color="auto"/>
          <w:color w:val="auto"/>
        </w:rPr>
        <w:t>Operative Agreements</w:t>
      </w:r>
      <w:r>
        <w:rPr>
          <w:rFonts w:ascii="Arial" w:cs="Arial" w:eastAsia="Arial" w:hAnsi="Arial"/>
          <w:sz w:val="17"/>
          <w:szCs w:val="17"/>
          <w:color w:val="auto"/>
        </w:rPr>
        <w:t>”), the consummation of the transactions contemplated in the Operative Agreements and compliance with the terms of the Operative Agreements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39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jc w:val="both"/>
        <w:ind w:left="-460" w:firstLine="644"/>
        <w:spacing w:after="0" w:line="257" w:lineRule="auto"/>
        <w:tabs>
          <w:tab w:leader="none" w:pos="104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jc w:val="both"/>
        <w:ind w:left="-460" w:firstLine="644"/>
        <w:spacing w:after="0" w:line="257" w:lineRule="auto"/>
        <w:tabs>
          <w:tab w:leader="none" w:pos="1116"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187" w:lineRule="exact"/>
        <w:rPr>
          <w:rFonts w:ascii="Arial" w:cs="Arial" w:eastAsia="Arial" w:hAnsi="Arial"/>
          <w:sz w:val="18"/>
          <w:szCs w:val="18"/>
          <w:color w:val="auto"/>
        </w:rPr>
      </w:pPr>
    </w:p>
    <w:p>
      <w:pPr>
        <w:ind w:left="180" w:right="20" w:firstLine="652"/>
        <w:spacing w:after="0" w:line="277" w:lineRule="auto"/>
        <w:tabs>
          <w:tab w:leader="none" w:pos="16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170" w:lineRule="exact"/>
        <w:rPr>
          <w:rFonts w:ascii="Arial" w:cs="Arial" w:eastAsia="Arial" w:hAnsi="Arial"/>
          <w:sz w:val="18"/>
          <w:szCs w:val="18"/>
          <w:color w:val="auto"/>
        </w:rPr>
      </w:pPr>
    </w:p>
    <w:p>
      <w:pPr>
        <w:jc w:val="both"/>
        <w:ind w:left="180" w:right="20" w:firstLine="652"/>
        <w:spacing w:after="0" w:line="286" w:lineRule="auto"/>
        <w:tabs>
          <w:tab w:leader="none" w:pos="1538" w:val="left"/>
        </w:tabs>
        <w:numPr>
          <w:ilvl w:val="1"/>
          <w:numId w:val="29"/>
        </w:numPr>
        <w:rPr>
          <w:rFonts w:ascii="Arial" w:cs="Arial" w:eastAsia="Arial" w:hAnsi="Arial"/>
          <w:sz w:val="17"/>
          <w:szCs w:val="17"/>
          <w:color w:val="auto"/>
        </w:rPr>
      </w:pPr>
      <w:r>
        <w:rPr>
          <w:rFonts w:ascii="Arial" w:cs="Arial" w:eastAsia="Arial" w:hAnsi="Arial"/>
          <w:sz w:val="17"/>
          <w:szCs w:val="17"/>
          <w:color w:val="auto"/>
        </w:rPr>
        <w:t>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65" w:lineRule="exact"/>
        <w:rPr>
          <w:rFonts w:ascii="Arial" w:cs="Arial" w:eastAsia="Arial" w:hAnsi="Arial"/>
          <w:sz w:val="17"/>
          <w:szCs w:val="17"/>
          <w:color w:val="auto"/>
        </w:rPr>
      </w:pPr>
    </w:p>
    <w:p>
      <w:pPr>
        <w:ind w:left="180" w:firstLine="652"/>
        <w:spacing w:after="0" w:line="277" w:lineRule="auto"/>
        <w:tabs>
          <w:tab w:leader="none" w:pos="1615"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180" w:firstLine="652"/>
        <w:spacing w:after="0" w:line="275" w:lineRule="auto"/>
        <w:tabs>
          <w:tab w:leader="none" w:pos="183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p>
      <w:pPr>
        <w:jc w:val="both"/>
        <w:ind w:left="-460" w:firstLine="644"/>
        <w:spacing w:after="0" w:line="257" w:lineRule="auto"/>
        <w:tabs>
          <w:tab w:leader="none" w:pos="10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187" w:lineRule="exact"/>
        <w:rPr>
          <w:rFonts w:ascii="Arial" w:cs="Arial" w:eastAsia="Arial" w:hAnsi="Arial"/>
          <w:sz w:val="18"/>
          <w:szCs w:val="18"/>
          <w:color w:val="auto"/>
        </w:rPr>
      </w:pPr>
    </w:p>
    <w:p>
      <w:pPr>
        <w:jc w:val="both"/>
        <w:ind w:left="180" w:firstLine="652"/>
        <w:spacing w:after="0" w:line="311" w:lineRule="auto"/>
        <w:tabs>
          <w:tab w:leader="none" w:pos="16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48" w:lineRule="exact"/>
        <w:rPr>
          <w:rFonts w:ascii="Arial" w:cs="Arial" w:eastAsia="Arial" w:hAnsi="Arial"/>
          <w:sz w:val="16"/>
          <w:szCs w:val="16"/>
          <w:color w:val="auto"/>
        </w:rPr>
      </w:pPr>
    </w:p>
    <w:p>
      <w:pPr>
        <w:jc w:val="both"/>
        <w:ind w:left="180" w:firstLine="652"/>
        <w:spacing w:after="0" w:line="263" w:lineRule="auto"/>
        <w:tabs>
          <w:tab w:leader="none" w:pos="16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is in conformity with the applicable disclosure requirements of Regulation S-K;</w:t>
      </w:r>
    </w:p>
    <w:p>
      <w:pPr>
        <w:spacing w:after="0" w:line="183" w:lineRule="exact"/>
        <w:rPr>
          <w:rFonts w:ascii="Arial" w:cs="Arial" w:eastAsia="Arial" w:hAnsi="Arial"/>
          <w:sz w:val="18"/>
          <w:szCs w:val="18"/>
          <w:color w:val="auto"/>
        </w:rPr>
      </w:pPr>
    </w:p>
    <w:p>
      <w:pPr>
        <w:jc w:val="both"/>
        <w:ind w:left="180" w:firstLine="652"/>
        <w:spacing w:after="0" w:line="290" w:lineRule="auto"/>
        <w:tabs>
          <w:tab w:leader="none" w:pos="1678"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2021, and the Company’s Quarterly Report on Form 10-Q for the quarterly period ended March 31, 2022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165" w:lineRule="exact"/>
        <w:rPr>
          <w:rFonts w:ascii="Arial" w:cs="Arial" w:eastAsia="Arial" w:hAnsi="Arial"/>
          <w:sz w:val="16"/>
          <w:szCs w:val="16"/>
          <w:color w:val="auto"/>
        </w:rPr>
      </w:pPr>
    </w:p>
    <w:p>
      <w:pPr>
        <w:jc w:val="both"/>
        <w:ind w:left="180" w:firstLine="652"/>
        <w:spacing w:after="0" w:line="273" w:lineRule="auto"/>
        <w:tabs>
          <w:tab w:leader="none" w:pos="1695" w:val="left"/>
        </w:tabs>
        <w:numPr>
          <w:ilvl w:val="1"/>
          <w:numId w:val="30"/>
        </w:numPr>
        <w:rPr>
          <w:rFonts w:ascii="Arial" w:cs="Arial" w:eastAsia="Arial" w:hAnsi="Arial"/>
          <w:sz w:val="17"/>
          <w:szCs w:val="17"/>
          <w:color w:val="auto"/>
        </w:rPr>
      </w:pPr>
      <w:r>
        <w:rPr>
          <w:rFonts w:ascii="Arial" w:cs="Arial" w:eastAsia="Arial" w:hAnsi="Arial"/>
          <w:sz w:val="17"/>
          <w:szCs w:val="17"/>
          <w:color w:val="auto"/>
        </w:rPr>
        <w:t>they have inquired of certain officials of the Company who have responsibility for financial and accounting matters as to whether: (A) at April 26, 2022 there was any change in the capital stock, increase in long-term indebtedness or any decreases in consolidated net current assets or in total equity of the Company as compared with the amounts shown on the March 31, 2022 unaudited consolidated balance sheet incorporated by reference in the Registration Statement; or (B) for the period from April 1, 2022 to April 26, 2022 there were any decreases, as compared with the corresponding period in the preceding year, in consolidated operating revenues or in the total or per-share amounts of net consolidated income attributable to the Company.</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p>
      <w:pPr>
        <w:ind w:left="660"/>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70" w:lineRule="exact"/>
        <w:rPr>
          <w:sz w:val="20"/>
          <w:szCs w:val="20"/>
          <w:color w:val="auto"/>
        </w:rPr>
      </w:pPr>
    </w:p>
    <w:p>
      <w:pPr>
        <w:jc w:val="both"/>
        <w:ind w:left="660" w:firstLine="644"/>
        <w:spacing w:after="0" w:line="289" w:lineRule="auto"/>
        <w:tabs>
          <w:tab w:leader="none" w:pos="2057"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166" w:lineRule="exact"/>
        <w:rPr>
          <w:rFonts w:ascii="Arial" w:cs="Arial" w:eastAsia="Arial" w:hAnsi="Arial"/>
          <w:sz w:val="16"/>
          <w:szCs w:val="16"/>
          <w:color w:val="auto"/>
        </w:rPr>
      </w:pPr>
    </w:p>
    <w:p>
      <w:pPr>
        <w:jc w:val="both"/>
        <w:ind w:left="660" w:firstLine="644"/>
        <w:spacing w:after="0" w:line="259" w:lineRule="auto"/>
        <w:tabs>
          <w:tab w:leader="none" w:pos="2071"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Subsequent to the Time of Sale, there shall not have been any decrease in the rating of any of the Company’s debt securities by any “nationally recognized statistical rating organization” (as defined in Section 3(a)(62) under the Exchange Act) or any notice given of any intended or potential decrease in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ind w:left="660" w:firstLine="644"/>
        <w:spacing w:after="0" w:line="277" w:lineRule="auto"/>
        <w:tabs>
          <w:tab w:leader="none" w:pos="2166"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confirmed in writing.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and Holdings, at 910 Louisiana Street, Houston, Texas 77002, on the Closing Date.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jc w:val="both"/>
        <w:ind w:firstLine="656"/>
        <w:spacing w:after="0" w:line="273" w:lineRule="auto"/>
        <w:tabs>
          <w:tab w:leader="none" w:pos="1336"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Reimbursement of Underwriters’ Expenses</w:t>
      </w:r>
      <w:r>
        <w:rPr>
          <w:rFonts w:ascii="Arial" w:cs="Arial" w:eastAsia="Arial" w:hAnsi="Arial"/>
          <w:sz w:val="17"/>
          <w:szCs w:val="17"/>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w:t>
      </w:r>
    </w:p>
    <w:p>
      <w:pPr>
        <w:spacing w:after="0" w:line="177" w:lineRule="exact"/>
        <w:rPr>
          <w:rFonts w:ascii="Arial" w:cs="Arial" w:eastAsia="Arial" w:hAnsi="Arial"/>
          <w:sz w:val="17"/>
          <w:szCs w:val="17"/>
          <w:color w:val="auto"/>
        </w:rPr>
      </w:pPr>
    </w:p>
    <w:p>
      <w:pPr>
        <w:jc w:val="both"/>
        <w:ind w:firstLine="656"/>
        <w:spacing w:after="0" w:line="268" w:lineRule="auto"/>
        <w:tabs>
          <w:tab w:leader="none" w:pos="1377"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Indemnification and Contribution</w:t>
      </w:r>
      <w:r>
        <w:rPr>
          <w:rFonts w:ascii="Arial" w:cs="Arial" w:eastAsia="Arial" w:hAnsi="Arial"/>
          <w:sz w:val="17"/>
          <w:szCs w:val="17"/>
          <w:color w:val="auto"/>
        </w:rPr>
        <w:t xml:space="preserve">. (a) Each of the Company and Holdings, jointly and severally, agrees to indemnify and hold harmless each Underwriter, the directors, officers, employees, affiliates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179" w:lineRule="exact"/>
        <w:rPr>
          <w:rFonts w:ascii="Arial" w:cs="Arial" w:eastAsia="Arial" w:hAnsi="Arial"/>
          <w:sz w:val="17"/>
          <w:szCs w:val="17"/>
          <w:color w:val="auto"/>
        </w:rPr>
      </w:pPr>
    </w:p>
    <w:p>
      <w:pPr>
        <w:jc w:val="both"/>
        <w:ind w:firstLine="1304"/>
        <w:spacing w:after="0" w:line="269" w:lineRule="auto"/>
        <w:tabs>
          <w:tab w:leader="none" w:pos="2126" w:val="left"/>
        </w:tabs>
        <w:numPr>
          <w:ilvl w:val="1"/>
          <w:numId w:val="32"/>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(the “</w:t>
      </w:r>
      <w:r>
        <w:rPr>
          <w:rFonts w:ascii="Arial" w:cs="Arial" w:eastAsia="Arial" w:hAnsi="Arial"/>
          <w:sz w:val="17"/>
          <w:szCs w:val="17"/>
          <w:u w:val="single" w:color="auto"/>
          <w:color w:val="auto"/>
        </w:rPr>
        <w:t>Foregoing Indemnity</w:t>
      </w:r>
      <w:r>
        <w:rPr>
          <w:rFonts w:ascii="Arial" w:cs="Arial" w:eastAsia="Arial" w:hAnsi="Arial"/>
          <w:sz w:val="17"/>
          <w:szCs w:val="17"/>
          <w:color w:val="auto"/>
        </w:rPr>
        <w:t>”),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 acknowledges that the following statements set forth in the Time of Sale Information and the Final Prospectus constitute the only information furnished in writing by or on behalf of the several Underwriters for inclusion in the documents referred to in the Foregoing Indemnity: (i) the statements in the last paragraph of the cover page regarding delivery of the Securities and (ii) (A) the list of Underwriters and their respective participation in the sale of the Securities, (B) the sentences related to concessions and reallowances, and (C) the paragraphs related to stabilization, syndicate covering transactions and penalty bids, in each case under the heading “Underwriting (Conflicts of Interest).”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304"/>
        <w:spacing w:after="0" w:line="271" w:lineRule="auto"/>
        <w:tabs>
          <w:tab w:leader="none" w:pos="2278" w:val="left"/>
        </w:tabs>
        <w:numPr>
          <w:ilvl w:val="1"/>
          <w:numId w:val="33"/>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w:t>
      </w:r>
    </w:p>
    <w:p>
      <w:pPr>
        <w:jc w:val="both"/>
        <w:ind w:firstLine="8"/>
        <w:spacing w:after="0" w:line="284" w:lineRule="auto"/>
        <w:tabs>
          <w:tab w:leader="none" w:pos="258"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1304"/>
        <w:spacing w:after="0" w:line="284" w:lineRule="auto"/>
        <w:tabs>
          <w:tab w:leader="none" w:pos="2248"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in no case shall any Underwriter (except as may be provided in any agreement among underwriters relating to the offering of the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390" w:lineRule="exact"/>
        <w:rPr>
          <w:rFonts w:ascii="Arial" w:cs="Arial" w:eastAsia="Arial" w:hAnsi="Arial"/>
          <w:sz w:val="16"/>
          <w:szCs w:val="16"/>
          <w:color w:val="auto"/>
        </w:rPr>
      </w:pPr>
    </w:p>
    <w:p>
      <w:pPr>
        <w:jc w:val="both"/>
        <w:ind w:firstLine="656"/>
        <w:spacing w:after="0" w:line="268" w:lineRule="auto"/>
        <w:tabs>
          <w:tab w:leader="none" w:pos="162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 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event that the aggregate principal amount of Notes which the defaulting Underwriter or Underwriters agreed but failed to 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56"/>
        <w:spacing w:after="0" w:line="285" w:lineRule="auto"/>
        <w:tabs>
          <w:tab w:leader="none" w:pos="1527"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w:t>
      </w:r>
    </w:p>
    <w:p>
      <w:pPr>
        <w:spacing w:after="0" w:line="1" w:lineRule="exact"/>
        <w:rPr>
          <w:rFonts w:ascii="Arial" w:cs="Arial" w:eastAsia="Arial" w:hAnsi="Arial"/>
          <w:sz w:val="16"/>
          <w:szCs w:val="16"/>
          <w:color w:val="auto"/>
        </w:rPr>
      </w:pPr>
    </w:p>
    <w:p>
      <w:pPr>
        <w:jc w:val="both"/>
        <w:ind w:firstLine="8"/>
        <w:spacing w:after="0" w:line="273" w:lineRule="auto"/>
        <w:tabs>
          <w:tab w:leader="none" w:pos="32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176" w:lineRule="exact"/>
        <w:rPr>
          <w:rFonts w:ascii="Arial" w:cs="Arial" w:eastAsia="Arial" w:hAnsi="Arial"/>
          <w:sz w:val="17"/>
          <w:szCs w:val="17"/>
          <w:color w:val="auto"/>
        </w:rPr>
      </w:pPr>
    </w:p>
    <w:p>
      <w:pPr>
        <w:jc w:val="both"/>
        <w:ind w:firstLine="656"/>
        <w:spacing w:after="0" w:line="257" w:lineRule="auto"/>
        <w:tabs>
          <w:tab w:leader="none" w:pos="1413"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187" w:lineRule="exact"/>
        <w:rPr>
          <w:rFonts w:ascii="Arial" w:cs="Arial" w:eastAsia="Arial" w:hAnsi="Arial"/>
          <w:sz w:val="18"/>
          <w:szCs w:val="18"/>
          <w:color w:val="auto"/>
        </w:rPr>
      </w:pPr>
    </w:p>
    <w:p>
      <w:pPr>
        <w:jc w:val="both"/>
        <w:ind w:firstLine="656"/>
        <w:spacing w:after="0" w:line="270" w:lineRule="auto"/>
        <w:tabs>
          <w:tab w:leader="none" w:pos="1588"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if sent to the Representatives, will be mailed, delivered or telefaxed to: Barclays Capital Inc., 745 Seventh Avenue, New York, NY 10019, Attn: Syndicate Registration, Fascimile No.: (646) 834-8133; BofA Securities, Inc., 1540 Broadway, NY8-540-26-02, New York, NY 10036, Attn: High Grade Transaction Management/Legal, Fascimile No.: (212) 901-7881, Email: dg.hg_ua_notices@bofa.com; Deutsche Bank Securities Inc., 1 Columbus Circle, New York, NY 10019, Attn: Debt Capital Markets Syndicate, with a copy to the General Counsel, Fascimile No.: (646) 374-1071; MUFG Securities Americas Inc., 1221 Avenue of the Americas, 6th Floor, New York, NY 10020-1001, Attn: Capital Markets Group, Fascimile No.: (646) 434-3455; and Scotia Capital (USA) Inc., 250 Vesey Street, New York, NY 10281, Attn: Debt Capital Markets, U.S., Email: US.Legal@scotiabank.com and TAG@scotiabank.com; or, if sent to the Company or Holdings, will be mailed or delivered to Waste Management, Inc., 800 Capitol Street, Suite 3000, Houston, Texas 77002, Attn: David L. Reed, Vice President &amp; Treasurer, Email: dlreed@wm.com and GCLegal@wm.com.</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656"/>
        <w:spacing w:after="0" w:line="263"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83" w:lineRule="exact"/>
        <w:rPr>
          <w:rFonts w:ascii="Arial" w:cs="Arial" w:eastAsia="Arial" w:hAnsi="Arial"/>
          <w:sz w:val="18"/>
          <w:szCs w:val="18"/>
          <w:color w:val="auto"/>
        </w:rPr>
      </w:pPr>
    </w:p>
    <w:p>
      <w:pPr>
        <w:ind w:firstLine="656"/>
        <w:spacing w:after="0" w:line="277" w:lineRule="auto"/>
        <w:tabs>
          <w:tab w:leader="none" w:pos="141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70" w:lineRule="exact"/>
        <w:rPr>
          <w:rFonts w:ascii="Arial" w:cs="Arial" w:eastAsia="Arial" w:hAnsi="Arial"/>
          <w:sz w:val="18"/>
          <w:szCs w:val="18"/>
          <w:color w:val="auto"/>
        </w:rPr>
      </w:pPr>
    </w:p>
    <w:p>
      <w:pPr>
        <w:ind w:left="1420" w:hanging="764"/>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59" w:lineRule="auto"/>
        <w:tabs>
          <w:tab w:leader="none" w:pos="2169"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1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Section 16, the following definitions apply: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2020" w:hanging="716"/>
        <w:spacing w:after="0"/>
        <w:tabs>
          <w:tab w:leader="none" w:pos="2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2120" w:hanging="816"/>
        <w:spacing w:after="0"/>
        <w:tabs>
          <w:tab w:leader="none" w:pos="2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ind w:left="660"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means each of (A) the Federal Deposit Insurance Act and the regulations promulgated thereunder and (B) Title II of the Dodd-Frank Wall Street Reform and Consumer Protection Act and the regulations promulgated thereunder.</w:t>
      </w:r>
    </w:p>
    <w:p>
      <w:pPr>
        <w:spacing w:after="0" w:line="146" w:lineRule="exact"/>
        <w:rPr>
          <w:sz w:val="20"/>
          <w:szCs w:val="20"/>
          <w:color w:val="auto"/>
        </w:rPr>
      </w:pPr>
    </w:p>
    <w:p>
      <w:pPr>
        <w:jc w:val="both"/>
        <w:ind w:firstLine="656"/>
        <w:spacing w:after="0" w:line="269" w:lineRule="auto"/>
        <w:tabs>
          <w:tab w:leader="none" w:pos="150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each of which shall constitute an original and all of which together shall constitute one and the same agreement. The words “execution,” “signed,” “signature,” and words of like import in this Agreement or in any instruments, agreements, certificates, legal opinions, negative assurance letters or other documents entered into or delivered pursuant to or in connection with this Agreement or the Indenture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85" w:lineRule="exact"/>
        <w:rPr>
          <w:rFonts w:ascii="Arial" w:cs="Arial" w:eastAsia="Arial" w:hAnsi="Arial"/>
          <w:sz w:val="17"/>
          <w:szCs w:val="17"/>
          <w:color w:val="auto"/>
        </w:rPr>
      </w:pPr>
    </w:p>
    <w:p>
      <w:pPr>
        <w:ind w:left="1420" w:hanging="764"/>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420" w:hanging="764"/>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1940 Act</w:t>
      </w:r>
      <w:r>
        <w:rPr>
          <w:rFonts w:ascii="Arial" w:cs="Arial" w:eastAsia="Arial" w:hAnsi="Arial"/>
          <w:sz w:val="18"/>
          <w:szCs w:val="18"/>
          <w:color w:val="auto"/>
        </w:rPr>
        <w:t>” shall mean the Investment Company Act of 1940,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prospectus referred to in Section 1(a) above contained in the Registration Statement at the Effective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Securities that was first filed with the Commission pursuant to Rule 424(b) after the Time of Sale, together with the Base Prospectus.</w:t>
      </w:r>
    </w:p>
    <w:p>
      <w:pPr>
        <w:spacing w:after="0" w:line="170"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Preliminary Prospectus</w:t>
      </w:r>
      <w:r>
        <w:rPr>
          <w:rFonts w:ascii="Arial" w:cs="Arial" w:eastAsia="Arial" w:hAnsi="Arial"/>
          <w:sz w:val="18"/>
          <w:szCs w:val="18"/>
          <w:color w:val="auto"/>
        </w:rPr>
        <w:t>” shall mean the preliminary prospectus supplement relating to the Securities dated April 28, 2022 that was filed with the Commission pursuant to Rule 424(b) prior to the Time of Sale, together with the Base Prospectus.</w:t>
      </w:r>
    </w:p>
    <w:p>
      <w:pPr>
        <w:spacing w:after="0" w:line="17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84" w:lineRule="exact"/>
        <w:rPr>
          <w:sz w:val="20"/>
          <w:szCs w:val="20"/>
          <w:color w:val="auto"/>
        </w:rPr>
      </w:pPr>
    </w:p>
    <w:p>
      <w:pPr>
        <w:jc w:val="both"/>
        <w:ind w:left="660"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430A</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w:t>
      </w:r>
      <w:r>
        <w:rPr>
          <w:rFonts w:ascii="Arial" w:cs="Arial" w:eastAsia="Arial" w:hAnsi="Arial"/>
          <w:sz w:val="18"/>
          <w:szCs w:val="18"/>
          <w:u w:val="single" w:color="auto"/>
          <w:color w:val="auto"/>
        </w:rPr>
        <w:t>Rule 430C</w:t>
      </w:r>
      <w:r>
        <w:rPr>
          <w:rFonts w:ascii="Arial" w:cs="Arial" w:eastAsia="Arial" w:hAnsi="Arial"/>
          <w:sz w:val="18"/>
          <w:szCs w:val="18"/>
          <w:color w:val="auto"/>
        </w:rPr>
        <w:t>” and “</w:t>
      </w:r>
      <w:r>
        <w:rPr>
          <w:rFonts w:ascii="Arial" w:cs="Arial" w:eastAsia="Arial" w:hAnsi="Arial"/>
          <w:sz w:val="18"/>
          <w:szCs w:val="18"/>
          <w:u w:val="single" w:color="auto"/>
          <w:color w:val="auto"/>
        </w:rPr>
        <w:t>Rule 462</w:t>
      </w:r>
      <w:r>
        <w:rPr>
          <w:rFonts w:ascii="Arial" w:cs="Arial" w:eastAsia="Arial" w:hAnsi="Arial"/>
          <w:sz w:val="18"/>
          <w:szCs w:val="18"/>
          <w:color w:val="auto"/>
        </w:rPr>
        <w:t>” refer to such rules under the Act.</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430 Information</w:t>
      </w:r>
      <w:r>
        <w:rPr>
          <w:rFonts w:ascii="Arial" w:cs="Arial" w:eastAsia="Arial" w:hAnsi="Arial"/>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462(b) Registration Statement</w:t>
      </w:r>
      <w:r>
        <w:rPr>
          <w:rFonts w:ascii="Arial" w:cs="Arial" w:eastAsia="Arial" w:hAnsi="Arial"/>
          <w:sz w:val="18"/>
          <w:szCs w:val="18"/>
          <w:color w:val="auto"/>
        </w:rPr>
        <w:t>” shall mean a registration statement and any amendments thereto filed pursuant to Rule 462(b) relating to the offering covered by the registration statement referred to in Section 1(a) above.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Time of Sale</w:t>
      </w:r>
      <w:r>
        <w:rPr>
          <w:rFonts w:ascii="Arial" w:cs="Arial" w:eastAsia="Arial" w:hAnsi="Arial"/>
          <w:sz w:val="17"/>
          <w:szCs w:val="17"/>
          <w:color w:val="auto"/>
        </w:rPr>
        <w:t>” shall mean 4:45 P.M. New York City time on April 28, 2022, the time when sales of the Securities were first made.</w:t>
      </w:r>
    </w:p>
    <w:p>
      <w:pPr>
        <w:spacing w:after="0" w:line="237"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170" w:lineRule="exact"/>
        <w:rPr>
          <w:sz w:val="20"/>
          <w:szCs w:val="20"/>
          <w:color w:val="auto"/>
        </w:rPr>
      </w:pPr>
    </w:p>
    <w:p>
      <w:pPr>
        <w:jc w:val="both"/>
        <w:ind w:firstLine="656"/>
        <w:spacing w:after="0" w:line="259" w:lineRule="auto"/>
        <w:tabs>
          <w:tab w:leader="none" w:pos="152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ind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L. Reed</w:t>
      </w:r>
    </w:p>
    <w:p>
      <w:pPr>
        <w:spacing w:after="0" w:line="23" w:lineRule="exact"/>
        <w:rPr>
          <w:sz w:val="20"/>
          <w:szCs w:val="20"/>
          <w:color w:val="auto"/>
        </w:rPr>
      </w:pPr>
    </w:p>
    <w:p>
      <w:pPr>
        <w:jc w:val="center"/>
        <w:ind w:left="3320"/>
        <w:spacing w:after="0"/>
        <w:tabs>
          <w:tab w:leader="none" w:pos="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L. Reed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The foregoing Agreement is hereby confirmed and accepted as of the date first set forth above.</w:t>
      </w: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Kenneth Chang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tab/>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Laurie Campbell</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Ritu Ketkar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Ritu Ketkar</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Kevin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Kevin Prior</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MUFG SECURITIES AMERICAS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Richard Testa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Richard Testa</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SCOTIA CAPITAL (USA)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Elsa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Elsa Wang</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the other several Underwriters, if any, named in Schedule II to the foregoing Agreement.</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Proceeds (before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April 28, 2022 relating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April 28, 2022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April 26, 2022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333-264493</w:t>
      </w:r>
    </w:p>
    <w:p>
      <w:pPr>
        <w:spacing w:after="0" w:line="207" w:lineRule="exact"/>
        <w:rPr>
          <w:sz w:val="20"/>
          <w:szCs w:val="20"/>
          <w:color w:val="auto"/>
        </w:rPr>
      </w:pPr>
    </w:p>
    <w:p>
      <w:pPr>
        <w:jc w:val="center"/>
        <w:ind w:right="3900"/>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$1,000,000,000 4.15% Senior Notes due 2032</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[Omitted in exhibit format]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April 28, 2022</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T+10; May 12, 2022</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$1,000,000,000</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April 15, 2032</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4.15%</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1.875% due February 15, 2032</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91-18 / 2.869%</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+130 basis points</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4.169%</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99.850% of face amount</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$992,000,000</w:t>
      </w:r>
    </w:p>
    <w:p>
      <w:pPr>
        <w:spacing w:after="0" w:line="225" w:lineRule="exact"/>
        <w:rPr>
          <w:sz w:val="20"/>
          <w:szCs w:val="20"/>
          <w:color w:val="auto"/>
        </w:rPr>
      </w:pPr>
    </w:p>
    <w:p>
      <w:pPr>
        <w:jc w:val="both"/>
        <w:ind w:left="1700"/>
        <w:spacing w:after="0" w:line="277" w:lineRule="auto"/>
        <w:rPr>
          <w:sz w:val="20"/>
          <w:szCs w:val="20"/>
          <w:color w:val="auto"/>
        </w:rPr>
      </w:pPr>
      <w:r>
        <w:rPr>
          <w:rFonts w:ascii="Arial" w:cs="Arial" w:eastAsia="Arial" w:hAnsi="Arial"/>
          <w:sz w:val="18"/>
          <w:szCs w:val="18"/>
          <w:color w:val="auto"/>
        </w:rPr>
        <w:t>Semi-annually on April 15 and October 15, commencing on October 15, 2022</w:t>
      </w:r>
    </w:p>
    <w:p>
      <w:pPr>
        <w:spacing w:after="0" w:line="170" w:lineRule="exact"/>
        <w:rPr>
          <w:sz w:val="20"/>
          <w:szCs w:val="20"/>
          <w:color w:val="auto"/>
        </w:rPr>
      </w:pPr>
    </w:p>
    <w:p>
      <w:pPr>
        <w:jc w:val="both"/>
        <w:ind w:left="1700"/>
        <w:spacing w:after="0" w:line="288" w:lineRule="auto"/>
        <w:rPr>
          <w:sz w:val="20"/>
          <w:szCs w:val="20"/>
          <w:color w:val="auto"/>
        </w:rPr>
      </w:pPr>
      <w:r>
        <w:rPr>
          <w:rFonts w:ascii="Arial" w:cs="Arial" w:eastAsia="Arial" w:hAnsi="Arial"/>
          <w:sz w:val="16"/>
          <w:szCs w:val="16"/>
          <w:color w:val="auto"/>
        </w:rPr>
        <w:t>Prior to January 15, 2032 (three months prior to the maturity date), the notes are redeemable at the option of the issuer, in whole or in part, at any time and from time to time, at a redemption price equal to the greater of: (1) (a) the sum of the present values of the remaining scheduled payments of principal and interest thereon discounted to the redemption date (assuming the notes matured on January 15, 2032) on a semi-annual basis (assuming a 360-day year consisting of twelve 30-day months) at the Treasury Rate plus 20 basis points less (b) interest accrued to the date of redemption, and (2) 100% of the principal amount of the notes to be redeemed, plus, in either case, accrued and unpaid interest thereon to the redemption date.</w:t>
      </w:r>
    </w:p>
    <w:p>
      <w:pPr>
        <w:spacing w:after="0" w:line="200" w:lineRule="exact"/>
        <w:rPr>
          <w:sz w:val="20"/>
          <w:szCs w:val="20"/>
          <w:color w:val="auto"/>
        </w:rPr>
      </w:pPr>
    </w:p>
    <w:p>
      <w:pPr>
        <w:spacing w:after="0" w:line="40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200" w:space="720"/>
            <w:col w:w="7320"/>
          </w:cols>
          <w:pgMar w:left="320" w:top="904" w:right="339" w:bottom="1440" w:gutter="0" w:footer="0" w:header="0"/>
        </w:sectPr>
      </w:pPr>
    </w:p>
    <w:bookmarkStart w:id="38" w:name="page39"/>
    <w:bookmarkEnd w:id="38"/>
    <w:p>
      <w:pPr>
        <w:ind w:left="5620"/>
        <w:spacing w:after="0"/>
        <w:rPr>
          <w:sz w:val="20"/>
          <w:szCs w:val="20"/>
          <w:color w:val="auto"/>
        </w:rPr>
      </w:pPr>
      <w:r>
        <w:rPr>
          <w:rFonts w:ascii="Arial" w:cs="Arial" w:eastAsia="Arial" w:hAnsi="Arial"/>
          <w:sz w:val="17"/>
          <w:szCs w:val="17"/>
          <w:color w:val="auto"/>
        </w:rPr>
        <w:t>On or after January 15, 2032 (three months prior to the maturity date), the</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notes are redeemable at the option of the issuer, in whole or in part, at 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time and from time to time, at a redemption price equal to 100% of the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principal amount of the notes to be redeemed, plus accrued and unpaid</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interest thereon to the redemption date.</w:t>
      </w:r>
    </w:p>
    <w:p>
      <w:pPr>
        <w:sectPr>
          <w:pgSz w:w="11900" w:h="16838" w:orient="portrait"/>
          <w:cols w:equalWidth="0" w:num="1">
            <w:col w:w="11240"/>
          </w:cols>
          <w:pgMar w:left="320" w:top="908"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94106L BS7 / US94106LBS79</w:t>
      </w:r>
    </w:p>
    <w:p>
      <w:pPr>
        <w:spacing w:after="0" w:line="211"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U.S. Bancorp Investments,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Cabrera Capital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CAVU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Stern Brothers &amp; Co.</w:t>
      </w:r>
    </w:p>
    <w:p>
      <w:pPr>
        <w:spacing w:after="0" w:line="200" w:lineRule="exact"/>
        <w:rPr>
          <w:sz w:val="20"/>
          <w:szCs w:val="20"/>
          <w:color w:val="auto"/>
        </w:rPr>
      </w:pPr>
    </w:p>
    <w:p>
      <w:pPr>
        <w:sectPr>
          <w:pgSz w:w="11900" w:h="16838" w:orient="portrait"/>
          <w:cols w:equalWidth="0" w:num="2">
            <w:col w:w="4900" w:space="720"/>
            <w:col w:w="5620"/>
          </w:cols>
          <w:pgMar w:left="320" w:top="908"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 Note: A securities rating is not a recommendation to buy, sell or hold securities and may be subject to review or withdrawal at any time.</w:t>
      </w:r>
    </w:p>
    <w:p>
      <w:pPr>
        <w:spacing w:after="0" w:line="225" w:lineRule="exact"/>
        <w:rPr>
          <w:sz w:val="20"/>
          <w:szCs w:val="20"/>
          <w:color w:val="auto"/>
        </w:rPr>
      </w:pPr>
    </w:p>
    <w:p>
      <w:pPr>
        <w:jc w:val="both"/>
        <w:ind w:firstLine="8"/>
        <w:spacing w:after="0" w:line="296" w:lineRule="auto"/>
        <w:tabs>
          <w:tab w:leader="none" w:pos="2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issuer expects delivery of the notes will be made against payment therefor on or about May 12, 2022, which is the tenth business day following the date of pricing of the notes (such settlement being referred to as “T+10”).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9" w:name="page40"/>
    <w:bookmarkEnd w:id="39"/>
    <w:p>
      <w:pPr>
        <w:jc w:val="both"/>
        <w:spacing w:after="0" w:line="263"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April 28, 2022.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Barclays Capital Inc. toll-free at 1-888-603-5847; (2) BofA Securities, Inc. toll-free at 1 (800) 294-1322; (3) Deutsche Bank Securities Inc. toll-free at 1-800-503-4611; (4) MUFG Securities Americas Inc. toll-free at 1-877-649-6848; or (5) Scotia Capital (USA) Inc. toll-free at 1 (800) 372-3930.</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20" w:type="dxa"/>
            <w:vAlign w:val="bottom"/>
            <w:gridSpan w:val="2"/>
          </w:tcPr>
          <w:p>
            <w:pPr>
              <w:ind w:left="1120"/>
              <w:spacing w:after="0"/>
              <w:rPr>
                <w:sz w:val="20"/>
                <w:szCs w:val="20"/>
                <w:color w:val="auto"/>
              </w:rPr>
            </w:pPr>
            <w:r>
              <w:rPr>
                <w:rFonts w:ascii="Arial" w:cs="Arial" w:eastAsia="Arial" w:hAnsi="Arial"/>
                <w:sz w:val="18"/>
                <w:szCs w:val="18"/>
                <w:b w:val="1"/>
                <w:bCs w:val="1"/>
                <w:color w:val="auto"/>
              </w:rPr>
              <w:t>SCHEDULE II</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Representatives</w:t>
            </w:r>
          </w:p>
        </w:tc>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392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Deutsche Bank Securities Inc.</w:t>
            </w: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MUFG Securities Americas Inc.</w:t>
            </w:r>
          </w:p>
        </w:tc>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Scotia Capital (USA) Inc.</w:t>
            </w:r>
          </w:p>
        </w:tc>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Underwriters</w:t>
            </w:r>
          </w:p>
        </w:tc>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4"/>
        </w:trPr>
        <w:tc>
          <w:tcPr>
            <w:tcW w:w="10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160" w:type="dxa"/>
            <w:vAlign w:val="bottom"/>
            <w:gridSpan w:val="4"/>
          </w:tcPr>
          <w:p>
            <w:pPr>
              <w:spacing w:after="0"/>
              <w:rPr>
                <w:sz w:val="20"/>
                <w:szCs w:val="20"/>
                <w:color w:val="auto"/>
              </w:rPr>
            </w:pPr>
            <w:r>
              <w:rPr>
                <w:rFonts w:ascii="Arial" w:cs="Arial" w:eastAsia="Arial" w:hAnsi="Arial"/>
                <w:sz w:val="18"/>
                <w:szCs w:val="18"/>
                <w:b w:val="1"/>
                <w:bCs w:val="1"/>
                <w:color w:val="auto"/>
                <w:w w:val="94"/>
              </w:rPr>
              <w:t>Principal Amount of Notes</w:t>
            </w: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gridSpan w:val="3"/>
          </w:tcPr>
          <w:p>
            <w:pPr>
              <w:ind w:left="160"/>
              <w:spacing w:after="0"/>
              <w:rPr>
                <w:sz w:val="20"/>
                <w:szCs w:val="20"/>
                <w:color w:val="auto"/>
              </w:rPr>
            </w:pPr>
            <w:r>
              <w:rPr>
                <w:rFonts w:ascii="Arial" w:cs="Arial" w:eastAsia="Arial" w:hAnsi="Arial"/>
                <w:sz w:val="18"/>
                <w:szCs w:val="18"/>
                <w:b w:val="1"/>
                <w:bCs w:val="1"/>
                <w:color w:val="auto"/>
              </w:rPr>
              <w:t>to be Purchased</w:t>
            </w:r>
          </w:p>
        </w:tc>
      </w:tr>
      <w:tr>
        <w:trPr>
          <w:trHeight w:val="210"/>
        </w:trPr>
        <w:tc>
          <w:tcPr>
            <w:tcW w:w="39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5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130,000,000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MUFG Securities Americas Inc.</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130,000,000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J.P. Morgan Securities LLC</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60,000,000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BNP Paribas Securities Corp.</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60,000,000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Truist Securities, Inc.</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Academy Securities, Inc.</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Cabrera Capital Markets, LLC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CastleOak Securities, L.P.</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r>
      <w:tr>
        <w:trPr>
          <w:trHeight w:val="216"/>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CAVU Securities, LLC</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MFR Securities, Inc.</w:t>
            </w:r>
          </w:p>
        </w:tc>
        <w:tc>
          <w:tcPr>
            <w:tcW w:w="5420" w:type="dxa"/>
            <w:vAlign w:val="bottom"/>
            <w:gridSpan w:val="2"/>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18"/>
                <w:szCs w:val="18"/>
                <w:color w:val="auto"/>
              </w:rPr>
            </w:pPr>
          </w:p>
        </w:tc>
      </w:tr>
      <w:tr>
        <w:trPr>
          <w:trHeight w:val="230"/>
        </w:trPr>
        <w:tc>
          <w:tcPr>
            <w:tcW w:w="3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Stern Brothers &amp; Co.</w:t>
            </w:r>
          </w:p>
        </w:tc>
        <w:tc>
          <w:tcPr>
            <w:tcW w:w="542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9"/>
                <w:szCs w:val="19"/>
                <w:color w:val="auto"/>
              </w:rPr>
            </w:pPr>
          </w:p>
        </w:tc>
      </w:tr>
      <w:tr>
        <w:trPr>
          <w:trHeight w:val="223"/>
        </w:trPr>
        <w:tc>
          <w:tcPr>
            <w:tcW w:w="3920" w:type="dxa"/>
            <w:vAlign w:val="bottom"/>
            <w:gridSpan w:val="3"/>
          </w:tcPr>
          <w:p>
            <w:pPr>
              <w:spacing w:after="0"/>
              <w:rPr>
                <w:sz w:val="20"/>
                <w:szCs w:val="20"/>
                <w:color w:val="auto"/>
              </w:rPr>
            </w:pPr>
            <w:r>
              <w:rPr>
                <w:rFonts w:ascii="Arial" w:cs="Arial" w:eastAsia="Arial" w:hAnsi="Arial"/>
                <w:sz w:val="18"/>
                <w:szCs w:val="18"/>
                <w:color w:val="auto"/>
              </w:rPr>
              <w:t>TOTAL</w:t>
            </w:r>
          </w:p>
        </w:tc>
        <w:tc>
          <w:tcPr>
            <w:tcW w:w="5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ind w:right="-1120"/>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FREE WRITING PROSPECTUSES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Final Pricing Term Sheet, substantially in the form of Schedule I attached to this Agreement.</w:t>
      </w:r>
    </w:p>
    <w:p>
      <w:pPr>
        <w:spacing w:after="0" w:line="200" w:lineRule="exact"/>
        <w:rPr>
          <w:sz w:val="20"/>
          <w:szCs w:val="20"/>
          <w:color w:val="auto"/>
        </w:rPr>
      </w:pPr>
    </w:p>
    <w:p>
      <w:pPr>
        <w:spacing w:after="0" w:line="2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REVIEWED AGREEMENTS</w:t>
      </w:r>
    </w:p>
    <w:p>
      <w:pPr>
        <w:spacing w:after="0" w:line="229" w:lineRule="exact"/>
        <w:rPr>
          <w:sz w:val="20"/>
          <w:szCs w:val="20"/>
          <w:color w:val="auto"/>
        </w:rPr>
      </w:pPr>
    </w:p>
    <w:p>
      <w:pPr>
        <w:ind w:left="580" w:hanging="572"/>
        <w:spacing w:after="0" w:line="308"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46" w:lineRule="exact"/>
        <w:rPr>
          <w:rFonts w:ascii="Arial" w:cs="Arial" w:eastAsia="Arial" w:hAnsi="Arial"/>
          <w:sz w:val="17"/>
          <w:szCs w:val="17"/>
          <w:color w:val="auto"/>
        </w:rPr>
      </w:pPr>
    </w:p>
    <w:p>
      <w:pPr>
        <w:jc w:val="both"/>
        <w:ind w:left="580" w:hanging="572"/>
        <w:spacing w:after="0" w:line="272" w:lineRule="auto"/>
        <w:tabs>
          <w:tab w:leader="none" w:pos="5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7.00% Senior Notes due 2028, (ii) 7.375% Senior Notes due 2029, (iii) 7.75% Senior Notes due 2032, (iv) 6.125% Senior Notes due 2039, (v) 2.90% Senior Notes due 2022, (vi) 3.50% Senior Notes due 2024, (vii) 3.125% Senior Notes due 2025, (viii) 3.90% Senior Notes due 2035, (ix) 4.10% Senior Notes due 2045, (x) 2.40% Senior Notes due 2023, (xi) 3.15% Senior Notes due 2027, (xii) 4.15% Senior Notes due 2049, (xiii) 0.75% Senior Notes due 2025, (xiv) 1.15% Senior Notes due 2028, (xv) 1.50% Senior Notes due 2031, (xvi) 2.50% Senior Notes due 2050, (xvii) 2.00% Senior Notes due 2029 and (xviii) 2.95% Senior Notes due 2041</w:t>
      </w:r>
    </w:p>
    <w:p>
      <w:pPr>
        <w:spacing w:after="0" w:line="177" w:lineRule="exact"/>
        <w:rPr>
          <w:rFonts w:ascii="Arial" w:cs="Arial" w:eastAsia="Arial" w:hAnsi="Arial"/>
          <w:sz w:val="17"/>
          <w:szCs w:val="17"/>
          <w:color w:val="auto"/>
        </w:rPr>
      </w:pPr>
    </w:p>
    <w:p>
      <w:pPr>
        <w:jc w:val="both"/>
        <w:ind w:left="580" w:hanging="572"/>
        <w:spacing w:after="0" w:line="291" w:lineRule="auto"/>
        <w:tabs>
          <w:tab w:leader="none" w:pos="5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Guarantee Agreement by Waste Management Holdings, Inc. in favor of The Bank of New York Mellon Trust Company, N.A., as Trustee for the holders of Waste Management, Inc.’s: (i) 7.00% Senior Notes due 2028, (ii) 7.375% Senior Notes due 2029, (iii) 7.75% Senior Notes due 2032,</w:t>
      </w:r>
    </w:p>
    <w:p>
      <w:pPr>
        <w:ind w:left="900" w:hanging="325"/>
        <w:spacing w:after="0"/>
        <w:tabs>
          <w:tab w:leader="none" w:pos="9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6.125% Senior Notes due 2039, (v) 2.90% Senior Notes due 2022, (vi) 3.50% Senior Notes due 2024, (vii) 3.125% Senior Notes due 2025,</w:t>
      </w:r>
    </w:p>
    <w:p>
      <w:pPr>
        <w:spacing w:after="0" w:line="32" w:lineRule="exact"/>
        <w:rPr>
          <w:rFonts w:ascii="Arial" w:cs="Arial" w:eastAsia="Arial" w:hAnsi="Arial"/>
          <w:sz w:val="16"/>
          <w:szCs w:val="16"/>
          <w:color w:val="auto"/>
        </w:rPr>
      </w:pPr>
    </w:p>
    <w:p>
      <w:pPr>
        <w:ind w:left="1000" w:hanging="425"/>
        <w:spacing w:after="0"/>
        <w:tabs>
          <w:tab w:leader="none" w:pos="10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3.90% Senior Notes due 2035, (ix) 4.10% Senior Notes due 2045, (x) 2.40% Senior Notes due 2023, (xi) 3.15% Senior Notes due 2027,</w:t>
      </w:r>
    </w:p>
    <w:p>
      <w:pPr>
        <w:spacing w:after="0" w:line="20" w:lineRule="exact"/>
        <w:rPr>
          <w:rFonts w:ascii="Arial" w:cs="Arial" w:eastAsia="Arial" w:hAnsi="Arial"/>
          <w:sz w:val="17"/>
          <w:szCs w:val="17"/>
          <w:color w:val="auto"/>
        </w:rPr>
      </w:pPr>
    </w:p>
    <w:p>
      <w:pPr>
        <w:ind w:left="940" w:hanging="365"/>
        <w:spacing w:after="0"/>
        <w:tabs>
          <w:tab w:leader="none" w:pos="9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4.15% Senior Notes due 2049, (xiii) 0.75% Senior Notes due 2025, (xiv) 1.15% Senior Notes due 2028, (xv) 1.50% Senior Notes due 2031,</w:t>
      </w:r>
    </w:p>
    <w:p>
      <w:pPr>
        <w:spacing w:after="0" w:line="32" w:lineRule="exact"/>
        <w:rPr>
          <w:rFonts w:ascii="Arial" w:cs="Arial" w:eastAsia="Arial" w:hAnsi="Arial"/>
          <w:sz w:val="16"/>
          <w:szCs w:val="16"/>
          <w:color w:val="auto"/>
        </w:rPr>
      </w:pPr>
    </w:p>
    <w:p>
      <w:pPr>
        <w:ind w:left="960" w:hanging="385"/>
        <w:spacing w:after="0"/>
        <w:tabs>
          <w:tab w:leader="none" w:pos="9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2.50% Senior Notes due 2050, (xvii) 2.00% Senior Notes due 2029 and (xviii) 2.95% Senior Notes due 2041</w:t>
      </w:r>
    </w:p>
    <w:p>
      <w:pPr>
        <w:spacing w:after="0" w:line="210" w:lineRule="exact"/>
        <w:rPr>
          <w:rFonts w:ascii="Arial" w:cs="Arial" w:eastAsia="Arial" w:hAnsi="Arial"/>
          <w:sz w:val="18"/>
          <w:szCs w:val="18"/>
          <w:color w:val="auto"/>
        </w:rPr>
      </w:pPr>
    </w:p>
    <w:p>
      <w:pPr>
        <w:jc w:val="both"/>
        <w:ind w:left="580" w:hanging="572"/>
        <w:spacing w:after="0" w:line="259"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$3.5 Billion Fifth Amended and Restated Revolving Credit Agreement dated as of November 7, 2019 by and among Waste Management, Inc., Waste Management of Canada Corporation, WM Quebec Inc. and Waste Management Holdings, Inc., certain banks party thereto, and Bank of America, N.A., as Administrative Agent, which agreement is filed as Exhibit 10.1 to Waste Management, Inc.’s Form 8-K dated November 7, 2019 and filed on November 12, 2019</w:t>
      </w:r>
    </w:p>
    <w:p>
      <w:pPr>
        <w:spacing w:after="0" w:line="186"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Commercial Paper Dealer Agreement, substantially in the form as executed with each of Mizuho Securities USA Inc., Merrill Lynch, Pierce, Fenner &amp; Smith Incorporated, and J.P. Morgan Securities LLC, as Dealer, dated August 22, 2016, which agreement is filed as Exhibit 10.11 to Waste Management, Inc.’s Annual Report on Form 10-K for the year ended December 31, 2016</w:t>
      </w:r>
    </w:p>
    <w:p>
      <w:pPr>
        <w:spacing w:after="0" w:line="183"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Commercial Paper Issuing and Paying Agent Agreement between Waste Management, Inc. and Bank of America, National Association dated August 15, 2016, which agreement is filed as Exhibit 10.12 to Waste Management, Inc.’s Annual Report on Form 10-K for the year ended December 31,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12, 2022</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undersigned, the Vice President and Treasurer, and the Vice President and Corporate Secretary of Waste Management, Inc. (the “Company”), hereby certify that:</w:t>
      </w:r>
    </w:p>
    <w:p>
      <w:pPr>
        <w:spacing w:after="0" w:line="170" w:lineRule="exact"/>
        <w:rPr>
          <w:sz w:val="20"/>
          <w:szCs w:val="20"/>
          <w:color w:val="auto"/>
        </w:rPr>
      </w:pPr>
    </w:p>
    <w:p>
      <w:pPr>
        <w:jc w:val="both"/>
        <w:ind w:firstLine="1304"/>
        <w:spacing w:after="0" w:line="257" w:lineRule="auto"/>
        <w:tabs>
          <w:tab w:leader="none" w:pos="20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May 12, 2022 (the “Order”) for the authentication and delivery by the Trustee of $1,000,000,000 aggregate principal amount of 4.15% Senior Notes due 2032 (the “Notes”).</w:t>
      </w:r>
    </w:p>
    <w:p>
      <w:pPr>
        <w:spacing w:after="0" w:line="187" w:lineRule="exact"/>
        <w:rPr>
          <w:rFonts w:ascii="Arial" w:cs="Arial" w:eastAsia="Arial" w:hAnsi="Arial"/>
          <w:sz w:val="18"/>
          <w:szCs w:val="18"/>
          <w:color w:val="auto"/>
        </w:rPr>
      </w:pPr>
    </w:p>
    <w:p>
      <w:pPr>
        <w:ind w:left="1980" w:hanging="676"/>
        <w:spacing w:after="0"/>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undersigned have read Sections 102, 103, 301 and 303 of the Indenture and the definitions in the Indenture relating thereto.</w:t>
      </w:r>
    </w:p>
    <w:p>
      <w:pPr>
        <w:spacing w:after="0" w:line="248" w:lineRule="exact"/>
        <w:rPr>
          <w:rFonts w:ascii="Arial" w:cs="Arial" w:eastAsia="Arial" w:hAnsi="Arial"/>
          <w:sz w:val="16"/>
          <w:szCs w:val="16"/>
          <w:color w:val="auto"/>
        </w:rPr>
      </w:pPr>
    </w:p>
    <w:p>
      <w:pPr>
        <w:jc w:val="both"/>
        <w:ind w:firstLine="1304"/>
        <w:spacing w:after="0" w:line="263" w:lineRule="auto"/>
        <w:tabs>
          <w:tab w:leader="none" w:pos="22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83" w:lineRule="exact"/>
        <w:rPr>
          <w:rFonts w:ascii="Arial" w:cs="Arial" w:eastAsia="Arial" w:hAnsi="Arial"/>
          <w:sz w:val="18"/>
          <w:szCs w:val="18"/>
          <w:color w:val="auto"/>
        </w:rPr>
      </w:pPr>
    </w:p>
    <w:p>
      <w:pPr>
        <w:ind w:left="1980" w:hanging="676"/>
        <w:spacing w:after="0"/>
        <w:tabs>
          <w:tab w:leader="none" w:pos="1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undersigned have examined the Order, and they have read the covenants, conditions and provisions of the Indenture relating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19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19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covenants and conditions (including all conditions precedent) provided in the Indenture to the authentication and delivery by the Trustee of $1,000,000,000 aggregate principal amount of the Notes have been complied with, and such Notes may be delivered in accordance with the Order as provided in the Indenture.</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terms of the Notes (including the Form of Note)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Certificate have been approved by officers of the Company as authorized by resolutions duly adopted on March 1, 2022 by the Board of Directors of the Company, which are in full force and effect as of the date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4" w:name="page45"/>
    <w:bookmarkEnd w:id="44"/>
    <w:p>
      <w:pPr>
        <w:ind w:left="180"/>
        <w:spacing w:after="0"/>
        <w:rPr>
          <w:sz w:val="20"/>
          <w:szCs w:val="20"/>
          <w:color w:val="auto"/>
        </w:rPr>
      </w:pPr>
      <w:r>
        <w:rPr>
          <w:rFonts w:ascii="Arial" w:cs="Arial" w:eastAsia="Arial" w:hAnsi="Arial"/>
          <w:sz w:val="16"/>
          <w:szCs w:val="16"/>
          <w:color w:val="auto"/>
        </w:rPr>
        <w:t>IN WITNESS WHEREOF, the undersigned have hereunto executed this Officers’ Certificate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303530</wp:posOffset>
            </wp:positionV>
            <wp:extent cx="3566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David L. Reed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323215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Courtney A. Tippy</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and Corporate Secretary</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Officers’ Certificate Delivered Pursuant to</w:t>
      </w:r>
    </w:p>
    <w:p>
      <w:pPr>
        <w:spacing w:after="0" w:line="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Section 301 of the Indenture dated as of September 10, 1997</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8" w:right="1179" w:bottom="1440" w:gutter="0" w:footer="0" w:header="0"/>
        </w:sectPr>
      </w:pPr>
    </w:p>
    <w:bookmarkStart w:id="45" w:name="page46"/>
    <w:bookmarkEnd w:id="45"/>
    <w:p>
      <w:pPr>
        <w:ind w:left="5280"/>
        <w:spacing w:after="0"/>
        <w:rPr>
          <w:sz w:val="20"/>
          <w:szCs w:val="20"/>
          <w:color w:val="auto"/>
        </w:rPr>
      </w:pPr>
      <w:r>
        <w:rPr>
          <w:rFonts w:ascii="Arial" w:cs="Arial" w:eastAsia="Arial" w:hAnsi="Arial"/>
          <w:sz w:val="18"/>
          <w:szCs w:val="18"/>
          <w:b w:val="1"/>
          <w:bCs w:val="1"/>
          <w:i w:val="1"/>
          <w:iCs w:val="1"/>
          <w:color w:val="auto"/>
        </w:rPr>
        <w:t>Annex A</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Terms of the Notes</w:t>
      </w:r>
    </w:p>
    <w:p>
      <w:pPr>
        <w:spacing w:after="0" w:line="21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Pursuant to authority granted by the Board of Directors of the Company on March 1, 2022 and the Sole Director of Waste Management Holdings, Inc. on April 18, 2022 and April 25, 2022,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9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the series of Securities shall be “4.15% Senior Notes due 2032” (the “Notes”).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initial aggregate principal amount of the Notes that may be authenticated and delivered under the Indenture shall be $1,000,000,000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57" w:lineRule="exact"/>
        <w:rPr>
          <w:rFonts w:ascii="Arial" w:cs="Arial" w:eastAsia="Arial" w:hAnsi="Arial"/>
          <w:sz w:val="16"/>
          <w:szCs w:val="16"/>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April 15, 2032.</w:t>
      </w:r>
    </w:p>
    <w:p>
      <w:pPr>
        <w:spacing w:after="0" w:line="225" w:lineRule="exact"/>
        <w:rPr>
          <w:rFonts w:ascii="Arial" w:cs="Arial" w:eastAsia="Arial" w:hAnsi="Arial"/>
          <w:sz w:val="18"/>
          <w:szCs w:val="18"/>
          <w:color w:val="auto"/>
        </w:rPr>
      </w:pPr>
    </w:p>
    <w:p>
      <w:pPr>
        <w:jc w:val="both"/>
        <w:ind w:left="660" w:hanging="652"/>
        <w:spacing w:after="0" w:line="301"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Each Note shall bear interest from May 12, 2022 at the fixed rate of 4.15% per annum; the Interest Payment Dates on which such interest shall be payable shall be April 15 and October 15 of each year, commencing October 15, 2022, until maturity, unless such date falls on a day that is not a Business Day, in which case, such payment shall be made on the next day that is a Business Day. The Regular Record Date for the determination of Holders to whom interest is payable shall be April 1 or October 1, respectively, immediately preceding such date, as the case may be.</w:t>
      </w:r>
    </w:p>
    <w:p>
      <w:pPr>
        <w:spacing w:after="0" w:line="157"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left="652" w:hanging="652"/>
        <w:spacing w:after="0" w:line="259"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86"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70" w:lineRule="exact"/>
        <w:rPr>
          <w:rFonts w:ascii="Arial" w:cs="Arial" w:eastAsia="Arial" w:hAnsi="Arial"/>
          <w:sz w:val="18"/>
          <w:szCs w:val="18"/>
          <w:color w:val="auto"/>
        </w:rPr>
      </w:pPr>
    </w:p>
    <w:p>
      <w:pPr>
        <w:jc w:val="both"/>
        <w:ind w:left="1292" w:firstLine="4"/>
        <w:spacing w:after="0" w:line="311" w:lineRule="auto"/>
        <w:tabs>
          <w:tab w:leader="none" w:pos="155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20 basis points less (b) interest accrued to the date of redemption, and</w:t>
      </w:r>
    </w:p>
    <w:p>
      <w:pPr>
        <w:spacing w:after="0" w:line="148" w:lineRule="exact"/>
        <w:rPr>
          <w:rFonts w:ascii="Arial" w:cs="Arial" w:eastAsia="Arial" w:hAnsi="Arial"/>
          <w:sz w:val="16"/>
          <w:szCs w:val="16"/>
          <w:color w:val="auto"/>
        </w:rPr>
      </w:pPr>
    </w:p>
    <w:p>
      <w:pPr>
        <w:ind w:left="1552" w:hanging="256"/>
        <w:spacing w:after="0"/>
        <w:tabs>
          <w:tab w:leader="none" w:pos="15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8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“Par Call Date” means January 15, 2032.</w:t>
      </w:r>
    </w:p>
    <w:p>
      <w:pPr>
        <w:spacing w:after="0" w:line="225" w:lineRule="exact"/>
        <w:rPr>
          <w:sz w:val="20"/>
          <w:szCs w:val="20"/>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Bank of New York Mellon Trust Company, N.A. shall serve initially as Security Registrar for the Notes.</w:t>
      </w:r>
    </w:p>
    <w:p>
      <w:pPr>
        <w:spacing w:after="0" w:line="225" w:lineRule="exact"/>
        <w:rPr>
          <w:rFonts w:ascii="Arial" w:cs="Arial" w:eastAsia="Arial" w:hAnsi="Arial"/>
          <w:sz w:val="18"/>
          <w:szCs w:val="18"/>
          <w:color w:val="auto"/>
        </w:rPr>
      </w:pPr>
    </w:p>
    <w:p>
      <w:pPr>
        <w:ind w:left="652" w:hanging="652"/>
        <w:spacing w:after="0"/>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225" w:lineRule="exact"/>
        <w:rPr>
          <w:rFonts w:ascii="Arial" w:cs="Arial" w:eastAsia="Arial" w:hAnsi="Arial"/>
          <w:sz w:val="18"/>
          <w:szCs w:val="18"/>
          <w:color w:val="auto"/>
        </w:rPr>
      </w:pPr>
    </w:p>
    <w:p>
      <w:pPr>
        <w:jc w:val="both"/>
        <w:ind w:left="652" w:hanging="652"/>
        <w:spacing w:after="0" w:line="25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will be fully and unconditionally guaranteed on a senior basis by the Company’s wholly owned subsidiary, Waste Management Holdings, Inc., pursuant to the terms and conditions of a Guarantee Agreement dated May 12, 2022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7"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408940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460375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BOOK-ENTRY SECURITY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ectPr>
          <w:pgSz w:w="11900" w:h="16838" w:orient="portrait"/>
          <w:cols w:equalWidth="0" w:num="1">
            <w:col w:w="11240"/>
          </w:cols>
          <w:pgMar w:left="320" w:top="908" w:right="339" w:bottom="1440" w:gutter="0" w:footer="0" w:header="0"/>
        </w:sectPr>
      </w:pP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RGN</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w:t>
      </w:r>
    </w:p>
    <w:p>
      <w:pPr>
        <w:spacing w:after="0" w:line="211" w:lineRule="exact"/>
        <w:rPr>
          <w:sz w:val="20"/>
          <w:szCs w:val="20"/>
          <w:color w:val="auto"/>
        </w:rPr>
      </w:pPr>
    </w:p>
    <w:p>
      <w:pPr>
        <w:sectPr>
          <w:pgSz w:w="11900" w:h="16838" w:orient="portrait"/>
          <w:cols w:equalWidth="0" w:num="2">
            <w:col w:w="9140" w:space="720"/>
            <w:col w:w="1380"/>
          </w:cols>
          <w:pgMar w:left="320" w:top="908" w:right="33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WASTE MANAGEMENT,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right"/>
        <w:ind w:right="100"/>
        <w:spacing w:after="0"/>
        <w:tabs>
          <w:tab w:leader="none" w:pos="20" w:val="left"/>
        </w:tabs>
        <w:rPr>
          <w:sz w:val="20"/>
          <w:szCs w:val="20"/>
          <w:color w:val="auto"/>
        </w:rPr>
      </w:pPr>
      <w:r>
        <w:rPr>
          <w:rFonts w:ascii="Arial" w:cs="Arial" w:eastAsia="Arial" w:hAnsi="Arial"/>
          <w:sz w:val="18"/>
          <w:szCs w:val="18"/>
          <w:color w:val="auto"/>
        </w:rPr>
        <w:t>U.S. $</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which may be decreased</w:t>
      </w:r>
    </w:p>
    <w:p>
      <w:pPr>
        <w:spacing w:after="0" w:line="4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sectPr>
          <w:pgSz w:w="11900" w:h="16838" w:orient="portrait"/>
          <w:cols w:equalWidth="0" w:num="2">
            <w:col w:w="8660" w:space="720"/>
            <w:col w:w="1860"/>
          </w:cols>
          <w:pgMar w:left="320" w:top="908" w:right="339" w:bottom="1440" w:gutter="0" w:footer="0" w:header="0"/>
          <w:type w:val="continuous"/>
        </w:sectPr>
      </w:pPr>
    </w:p>
    <w:p>
      <w:pPr>
        <w:ind w:left="9400"/>
        <w:spacing w:after="0"/>
        <w:rPr>
          <w:sz w:val="20"/>
          <w:szCs w:val="20"/>
          <w:color w:val="auto"/>
        </w:rPr>
      </w:pPr>
      <w:r>
        <w:rPr>
          <w:rFonts w:ascii="Arial" w:cs="Arial" w:eastAsia="Arial" w:hAnsi="Arial"/>
          <w:sz w:val="17"/>
          <w:szCs w:val="17"/>
          <w:color w:val="auto"/>
        </w:rPr>
        <w:t>Exchanges of Definitive</w:t>
      </w:r>
    </w:p>
    <w:p>
      <w:pPr>
        <w:spacing w:after="0" w:line="21" w:lineRule="exact"/>
        <w:rPr>
          <w:sz w:val="20"/>
          <w:szCs w:val="20"/>
          <w:color w:val="auto"/>
        </w:rPr>
      </w:pPr>
    </w:p>
    <w:p>
      <w:pPr>
        <w:ind w:left="9400"/>
        <w:spacing w:after="0"/>
        <w:rPr>
          <w:sz w:val="20"/>
          <w:szCs w:val="20"/>
          <w:color w:val="auto"/>
        </w:rPr>
      </w:pPr>
      <w:r>
        <w:rPr>
          <w:rFonts w:ascii="Arial" w:cs="Arial" w:eastAsia="Arial" w:hAnsi="Arial"/>
          <w:sz w:val="16"/>
          <w:szCs w:val="16"/>
          <w:color w:val="auto"/>
        </w:rPr>
        <w:t>Security attached hereto</w:t>
      </w:r>
    </w:p>
    <w:p>
      <w:pPr>
        <w:spacing w:after="0" w:line="234"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4.15% SENIOR NOTES DUE 2032</w:t>
      </w:r>
    </w:p>
    <w:p>
      <w:pPr>
        <w:spacing w:after="0" w:line="225"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CUSIP 94106L BS7</w:t>
      </w:r>
    </w:p>
    <w:p>
      <w:pPr>
        <w:spacing w:after="0" w:line="23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857"/>
        <w:spacing w:after="0" w:line="271" w:lineRule="auto"/>
        <w:rPr>
          <w:sz w:val="20"/>
          <w:szCs w:val="20"/>
          <w:color w:val="auto"/>
        </w:rPr>
      </w:pPr>
      <w:r>
        <w:rPr>
          <w:rFonts w:ascii="Arial" w:cs="Arial" w:eastAsia="Arial" w:hAnsi="Arial"/>
          <w:sz w:val="17"/>
          <w:szCs w:val="17"/>
          <w:color w:val="auto"/>
        </w:rPr>
        <w:t>Million ($ ) U.S. dollars, or such lesser principal sum as is shown on the attached Schedule of Exchanges of Definitive Security, on April 15, 2032 in such coin or currency of the United States of America as at the time of payment shall be legal tender for the payment of public and private debts, and to pay interest at an annual rate of 4.15% payable on April 15 and October 15 of each year, to the person in whose name this Security is registered at the close of business on the record date for such interest, which shall be the preceding April 1 or October 1, respectively, payable commencing October 15, 2022, with interest accruing from May 12, 2022,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9" w:name="page50"/>
    <w:bookmarkEnd w:id="49"/>
    <w:p>
      <w:pPr>
        <w:jc w:val="both"/>
        <w:ind w:firstLine="648"/>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Security is issued in respect of a series of Securities of an initial aggregate of U.S. $1,000,000,000 in principal amount designated as the 4.15% Senior Notes due 2032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firstLine="648"/>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6960" w:type="dxa"/>
            <w:vAlign w:val="bottom"/>
            <w:gridSpan w:val="2"/>
          </w:tcPr>
          <w:p>
            <w:pPr>
              <w:ind w:left="1260"/>
              <w:spacing w:after="0"/>
              <w:rPr>
                <w:sz w:val="20"/>
                <w:szCs w:val="20"/>
                <w:color w:val="auto"/>
              </w:rPr>
            </w:pPr>
            <w:r>
              <w:rPr>
                <w:rFonts w:ascii="Arial" w:cs="Arial" w:eastAsia="Arial" w:hAnsi="Arial"/>
                <w:sz w:val="18"/>
                <w:szCs w:val="18"/>
                <w:color w:val="auto"/>
              </w:rPr>
              <w:t>WASTE MANAGEMENT, INC.,</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Dated:</w:t>
            </w:r>
          </w:p>
        </w:tc>
        <w:tc>
          <w:tcPr>
            <w:tcW w:w="6960" w:type="dxa"/>
            <w:vAlign w:val="bottom"/>
            <w:gridSpan w:val="2"/>
          </w:tcPr>
          <w:p>
            <w:pPr>
              <w:ind w:left="1260"/>
              <w:spacing w:after="0"/>
              <w:rPr>
                <w:sz w:val="20"/>
                <w:szCs w:val="20"/>
                <w:color w:val="auto"/>
              </w:rPr>
            </w:pPr>
            <w:r>
              <w:rPr>
                <w:rFonts w:ascii="Arial" w:cs="Arial" w:eastAsia="Arial" w:hAnsi="Arial"/>
                <w:sz w:val="18"/>
                <w:szCs w:val="18"/>
                <w:color w:val="auto"/>
              </w:rPr>
              <w:t>a Delaware corporation</w:t>
            </w:r>
          </w:p>
        </w:tc>
      </w:tr>
      <w:tr>
        <w:trPr>
          <w:trHeight w:val="432"/>
        </w:trPr>
        <w:tc>
          <w:tcPr>
            <w:tcW w:w="4280" w:type="dxa"/>
            <w:vAlign w:val="bottom"/>
          </w:tcPr>
          <w:p>
            <w:pPr>
              <w:spacing w:after="0"/>
              <w:rPr>
                <w:sz w:val="24"/>
                <w:szCs w:val="24"/>
                <w:color w:val="auto"/>
              </w:rPr>
            </w:pPr>
          </w:p>
        </w:tc>
        <w:tc>
          <w:tcPr>
            <w:tcW w:w="6960" w:type="dxa"/>
            <w:vAlign w:val="bottom"/>
            <w:gridSpan w:val="2"/>
          </w:tcPr>
          <w:p>
            <w:pPr>
              <w:ind w:left="1260"/>
              <w:spacing w:after="0"/>
              <w:rPr>
                <w:sz w:val="20"/>
                <w:szCs w:val="20"/>
                <w:color w:val="auto"/>
              </w:rPr>
            </w:pPr>
            <w:r>
              <w:rPr>
                <w:rFonts w:ascii="Arial" w:cs="Arial" w:eastAsia="Arial" w:hAnsi="Arial"/>
                <w:sz w:val="18"/>
                <w:szCs w:val="18"/>
                <w:color w:val="auto"/>
              </w:rPr>
              <w:t>By:</w:t>
            </w:r>
          </w:p>
        </w:tc>
      </w:tr>
      <w:tr>
        <w:trPr>
          <w:trHeight w:val="195"/>
        </w:trPr>
        <w:tc>
          <w:tcPr>
            <w:tcW w:w="4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L. Reed</w:t>
            </w:r>
          </w:p>
        </w:tc>
      </w:tr>
      <w:tr>
        <w:trPr>
          <w:trHeight w:val="230"/>
        </w:trPr>
        <w:tc>
          <w:tcPr>
            <w:tcW w:w="4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4280" w:type="dxa"/>
            <w:vAlign w:val="bottom"/>
          </w:tcPr>
          <w:p>
            <w:pPr>
              <w:spacing w:after="0"/>
              <w:rPr>
                <w:sz w:val="24"/>
                <w:szCs w:val="24"/>
                <w:color w:val="auto"/>
              </w:rPr>
            </w:pPr>
          </w:p>
        </w:tc>
        <w:tc>
          <w:tcPr>
            <w:tcW w:w="6960" w:type="dxa"/>
            <w:vAlign w:val="bottom"/>
            <w:gridSpan w:val="2"/>
          </w:tcPr>
          <w:p>
            <w:pPr>
              <w:ind w:left="1260"/>
              <w:spacing w:after="0"/>
              <w:rPr>
                <w:sz w:val="20"/>
                <w:szCs w:val="20"/>
                <w:color w:val="auto"/>
              </w:rPr>
            </w:pPr>
            <w:r>
              <w:rPr>
                <w:rFonts w:ascii="Arial" w:cs="Arial" w:eastAsia="Arial" w:hAnsi="Arial"/>
                <w:sz w:val="18"/>
                <w:szCs w:val="18"/>
                <w:color w:val="auto"/>
              </w:rPr>
              <w:t>Attest:</w:t>
            </w:r>
          </w:p>
        </w:tc>
      </w:tr>
      <w:tr>
        <w:trPr>
          <w:trHeight w:val="432"/>
        </w:trPr>
        <w:tc>
          <w:tcPr>
            <w:tcW w:w="4280" w:type="dxa"/>
            <w:vAlign w:val="bottom"/>
          </w:tcPr>
          <w:p>
            <w:pPr>
              <w:spacing w:after="0"/>
              <w:rPr>
                <w:sz w:val="24"/>
                <w:szCs w:val="24"/>
                <w:color w:val="auto"/>
              </w:rPr>
            </w:pPr>
          </w:p>
        </w:tc>
        <w:tc>
          <w:tcPr>
            <w:tcW w:w="6960" w:type="dxa"/>
            <w:vAlign w:val="bottom"/>
            <w:gridSpan w:val="2"/>
          </w:tcPr>
          <w:p>
            <w:pPr>
              <w:ind w:left="1260"/>
              <w:spacing w:after="0"/>
              <w:rPr>
                <w:sz w:val="20"/>
                <w:szCs w:val="20"/>
                <w:color w:val="auto"/>
              </w:rPr>
            </w:pPr>
            <w:r>
              <w:rPr>
                <w:rFonts w:ascii="Arial" w:cs="Arial" w:eastAsia="Arial" w:hAnsi="Arial"/>
                <w:sz w:val="18"/>
                <w:szCs w:val="18"/>
                <w:color w:val="auto"/>
              </w:rPr>
              <w:t>By:</w:t>
            </w:r>
          </w:p>
        </w:tc>
      </w:tr>
      <w:tr>
        <w:trPr>
          <w:trHeight w:val="195"/>
        </w:trPr>
        <w:tc>
          <w:tcPr>
            <w:tcW w:w="4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r>
      <w:tr>
        <w:trPr>
          <w:trHeight w:val="230"/>
        </w:trPr>
        <w:tc>
          <w:tcPr>
            <w:tcW w:w="4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r>
        <w:trPr>
          <w:trHeight w:val="432"/>
        </w:trPr>
        <w:tc>
          <w:tcPr>
            <w:tcW w:w="4280" w:type="dxa"/>
            <w:vAlign w:val="bottom"/>
          </w:tcPr>
          <w:p>
            <w:pPr>
              <w:spacing w:after="0"/>
              <w:rPr>
                <w:sz w:val="20"/>
                <w:szCs w:val="20"/>
                <w:color w:val="auto"/>
              </w:rPr>
            </w:pPr>
            <w:r>
              <w:rPr>
                <w:rFonts w:ascii="Arial" w:cs="Arial" w:eastAsia="Arial" w:hAnsi="Arial"/>
                <w:sz w:val="18"/>
                <w:szCs w:val="18"/>
                <w:color w:val="auto"/>
              </w:rPr>
              <w:t>CERTIFICATE OF AUTHENTICATION</w:t>
            </w:r>
          </w:p>
        </w:tc>
        <w:tc>
          <w:tcPr>
            <w:tcW w:w="1620" w:type="dxa"/>
            <w:vAlign w:val="bottom"/>
          </w:tcPr>
          <w:p>
            <w:pPr>
              <w:spacing w:after="0"/>
              <w:rPr>
                <w:sz w:val="24"/>
                <w:szCs w:val="24"/>
                <w:color w:val="auto"/>
              </w:rPr>
            </w:pPr>
          </w:p>
        </w:tc>
        <w:tc>
          <w:tcPr>
            <w:tcW w:w="5340" w:type="dxa"/>
            <w:vAlign w:val="bottom"/>
          </w:tcPr>
          <w:p>
            <w:pPr>
              <w:spacing w:after="0"/>
              <w:rPr>
                <w:sz w:val="24"/>
                <w:szCs w:val="24"/>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 of Authentication:</w:t>
      </w:r>
      <w:r>
        <w:rPr>
          <w:sz w:val="20"/>
          <w:szCs w:val="20"/>
          <w:color w:val="auto"/>
        </w:rPr>
        <w:tab/>
      </w:r>
      <w:r>
        <w:rPr>
          <w:rFonts w:ascii="Arial" w:cs="Arial" w:eastAsia="Arial" w:hAnsi="Arial"/>
          <w:sz w:val="16"/>
          <w:szCs w:val="16"/>
          <w:color w:val="auto"/>
        </w:rPr>
        <w:t>The Bank of New York Mellon Trust Company, N.A., as Trustee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4.15% SENIOR NOTES DUE 2032</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4.15% Senior Notes due 2032 of the Company, in initial aggregate principal amount of $1,000,000,000 (the “Securities”).</w:t>
      </w:r>
    </w:p>
    <w:p>
      <w:pPr>
        <w:spacing w:after="0" w:line="195" w:lineRule="exact"/>
        <w:rPr>
          <w:sz w:val="20"/>
          <w:szCs w:val="20"/>
          <w:color w:val="auto"/>
        </w:rPr>
      </w:pPr>
    </w:p>
    <w:p>
      <w:pPr>
        <w:ind w:left="1340" w:hanging="684"/>
        <w:spacing w:after="0"/>
        <w:tabs>
          <w:tab w:leader="none" w:pos="13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promises to pay interest on the principal amount of this Security at the rate of 4.15% per annum.</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pay interest semi-annually on April 15 and October 15 of each year (each an “Interest Payment Date”), commencing October 15, 2022. Interest on the Securities will accrue from the most recent date to which interest has been paid or, if no interest has been paid on the Securities, from May 12, 2022.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4.15% per annum, in each case to the extent lawful.</w:t>
      </w:r>
    </w:p>
    <w:p>
      <w:pPr>
        <w:spacing w:after="0" w:line="192" w:lineRule="exact"/>
        <w:rPr>
          <w:sz w:val="20"/>
          <w:szCs w:val="20"/>
          <w:color w:val="auto"/>
        </w:rPr>
      </w:pPr>
    </w:p>
    <w:p>
      <w:pPr>
        <w:ind w:left="1340" w:hanging="684"/>
        <w:spacing w:after="0"/>
        <w:tabs>
          <w:tab w:leader="none" w:pos="1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Method of Payment.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ind w:left="1340" w:hanging="684"/>
        <w:spacing w:after="0"/>
        <w:tabs>
          <w:tab w:leader="none" w:pos="13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84" w:lineRule="exact"/>
        <w:rPr>
          <w:sz w:val="20"/>
          <w:szCs w:val="20"/>
          <w:color w:val="auto"/>
        </w:rPr>
      </w:pPr>
    </w:p>
    <w:p>
      <w:pPr>
        <w:ind w:left="1340" w:hanging="684"/>
        <w:spacing w:after="0"/>
        <w:tabs>
          <w:tab w:leader="none" w:pos="1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Indenture.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Security is one of a duly authorized issue of Debt Securities of the Company issued and to be issued in one or more series under the Indenture.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(the “Resolutions”) and the written consents of the Sole Director of Waste Management Holdings, Inc. on April 18, 2022 and April 25, 2022 (collectively,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$1,000,000,000.</w:t>
      </w:r>
    </w:p>
    <w:p>
      <w:pPr>
        <w:spacing w:after="0" w:line="166" w:lineRule="exact"/>
        <w:rPr>
          <w:sz w:val="20"/>
          <w:szCs w:val="20"/>
          <w:color w:val="auto"/>
        </w:rPr>
      </w:pPr>
    </w:p>
    <w:p>
      <w:pPr>
        <w:ind w:left="1340" w:hanging="684"/>
        <w:spacing w:after="0"/>
        <w:tabs>
          <w:tab w:leader="none" w:pos="1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Prior to the Par Call Date, the Company may redeem the Securities at its option, in whole or in part, at any time and from time to time, at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(expressed as a percentage of principal amount and rounded to three decimal places) equal to the greater of:</w:t>
      </w:r>
    </w:p>
    <w:p>
      <w:pPr>
        <w:spacing w:after="0" w:line="211" w:lineRule="exact"/>
        <w:rPr>
          <w:sz w:val="20"/>
          <w:szCs w:val="20"/>
          <w:color w:val="auto"/>
        </w:rPr>
      </w:pPr>
    </w:p>
    <w:p>
      <w:pPr>
        <w:jc w:val="both"/>
        <w:ind w:left="660" w:hanging="4"/>
        <w:spacing w:after="0" w:line="286" w:lineRule="auto"/>
        <w:tabs>
          <w:tab w:leader="none" w:pos="93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20 basis points less (b) interest accrued to the date of redemption, and</w:t>
      </w:r>
    </w:p>
    <w:p>
      <w:pPr>
        <w:spacing w:after="0" w:line="165" w:lineRule="exact"/>
        <w:rPr>
          <w:rFonts w:ascii="Arial" w:cs="Arial" w:eastAsia="Arial" w:hAnsi="Arial"/>
          <w:sz w:val="17"/>
          <w:szCs w:val="17"/>
          <w:color w:val="auto"/>
        </w:rPr>
      </w:pPr>
    </w:p>
    <w:p>
      <w:pPr>
        <w:ind w:left="920" w:hanging="264"/>
        <w:spacing w:after="0"/>
        <w:tabs>
          <w:tab w:leader="none" w:pos="9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ind w:firstLine="648"/>
        <w:spacing w:after="0" w:line="263" w:lineRule="auto"/>
        <w:rPr>
          <w:sz w:val="20"/>
          <w:szCs w:val="20"/>
          <w:color w:val="auto"/>
        </w:rPr>
      </w:pPr>
      <w:r>
        <w:rPr>
          <w:rFonts w:ascii="Arial" w:cs="Arial" w:eastAsia="Arial" w:hAnsi="Arial"/>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 Call Date” means January 15, 2032.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“Treasury Rate” means, with respect to any Redemption Date, the yield determined by the Company in accordance with the following two paragraphs.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86" w:lineRule="auto"/>
        <w:rPr>
          <w:sz w:val="20"/>
          <w:szCs w:val="20"/>
          <w:color w:val="auto"/>
        </w:rPr>
      </w:pPr>
      <w:r>
        <w:rPr>
          <w:rFonts w:ascii="Arial" w:cs="Arial" w:eastAsia="Arial" w:hAnsi="Arial"/>
          <w:sz w:val="17"/>
          <w:szCs w:val="17"/>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Securities may be redeemed in part in a minimum principal amount of $2,000, or any integral multiple of $1,000 in excess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225" w:lineRule="exact"/>
        <w:rPr>
          <w:sz w:val="20"/>
          <w:szCs w:val="20"/>
          <w:color w:val="auto"/>
        </w:rPr>
      </w:pPr>
    </w:p>
    <w:p>
      <w:pPr>
        <w:ind w:left="1340" w:hanging="684"/>
        <w:spacing w:after="0"/>
        <w:tabs>
          <w:tab w:leader="none" w:pos="13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Change of Control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accept for payment all Securities or portions of Securities properly tendered and not withdrawn pursuant to the Change of Control Offer;</w:t>
      </w:r>
    </w:p>
    <w:p>
      <w:pPr>
        <w:spacing w:after="0" w:line="248"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69"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“Fitch” means Fitch Inc. and its successors.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“S&amp;P” means S&amp;P Global Ratings, a division of S&amp;P Global Inc., and its successors.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70" w:lineRule="exact"/>
        <w:rPr>
          <w:sz w:val="20"/>
          <w:szCs w:val="20"/>
          <w:color w:val="auto"/>
        </w:rPr>
      </w:pPr>
    </w:p>
    <w:p>
      <w:pPr>
        <w:ind w:left="1340" w:hanging="684"/>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87"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Person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225" w:lineRule="exact"/>
        <w:rPr>
          <w:sz w:val="20"/>
          <w:szCs w:val="20"/>
          <w:color w:val="auto"/>
        </w:rPr>
      </w:pPr>
    </w:p>
    <w:p>
      <w:pPr>
        <w:ind w:left="1340" w:hanging="684"/>
        <w:spacing w:after="0"/>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Amendment; Supplement; Waiver.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77" w:lineRule="exact"/>
        <w:rPr>
          <w:sz w:val="20"/>
          <w:szCs w:val="20"/>
          <w:color w:val="auto"/>
        </w:rPr>
      </w:pPr>
    </w:p>
    <w:p>
      <w:pPr>
        <w:ind w:left="1420" w:hanging="764"/>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Defaults and Remedies.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4" w:lineRule="exact"/>
        <w:rPr>
          <w:sz w:val="20"/>
          <w:szCs w:val="20"/>
          <w:color w:val="auto"/>
        </w:rPr>
      </w:pPr>
    </w:p>
    <w:p>
      <w:pPr>
        <w:jc w:val="both"/>
        <w:ind w:firstLine="8"/>
        <w:spacing w:after="0" w:line="251" w:lineRule="auto"/>
        <w:tabs>
          <w:tab w:leader="none" w:pos="3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1420" w:hanging="764"/>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Trustee Dealings with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84" w:lineRule="exact"/>
        <w:rPr>
          <w:sz w:val="20"/>
          <w:szCs w:val="20"/>
          <w:color w:val="auto"/>
        </w:rPr>
      </w:pPr>
    </w:p>
    <w:p>
      <w:pPr>
        <w:ind w:left="1420" w:hanging="764"/>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shall not be valid until the Trustee or authenticating agent signs the certificate of authentication on the other side of this Security.</w:t>
      </w:r>
    </w:p>
    <w:p>
      <w:pPr>
        <w:spacing w:after="0" w:line="248" w:lineRule="exact"/>
        <w:rPr>
          <w:sz w:val="20"/>
          <w:szCs w:val="20"/>
          <w:color w:val="auto"/>
        </w:rPr>
      </w:pPr>
    </w:p>
    <w:p>
      <w:pPr>
        <w:ind w:left="1420" w:hanging="764"/>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Abbreviations and Defined Terms.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84" w:lineRule="exact"/>
        <w:rPr>
          <w:sz w:val="20"/>
          <w:szCs w:val="20"/>
          <w:color w:val="auto"/>
        </w:rPr>
      </w:pPr>
    </w:p>
    <w:p>
      <w:pPr>
        <w:ind w:left="1420" w:hanging="764"/>
        <w:spacing w:after="0"/>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CUSIP Numbers.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84" w:lineRule="exact"/>
        <w:rPr>
          <w:sz w:val="20"/>
          <w:szCs w:val="20"/>
          <w:color w:val="auto"/>
        </w:rPr>
      </w:pPr>
    </w:p>
    <w:p>
      <w:pPr>
        <w:ind w:left="1420" w:hanging="764"/>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Absolute Obligation.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1420" w:hanging="764"/>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No Recourse.</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61" w:lineRule="exact"/>
        <w:rPr>
          <w:sz w:val="20"/>
          <w:szCs w:val="20"/>
          <w:color w:val="auto"/>
        </w:rPr>
      </w:pPr>
    </w:p>
    <w:p>
      <w:pPr>
        <w:ind w:left="1420" w:hanging="764"/>
        <w:spacing w:after="0"/>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225" w:lineRule="exact"/>
        <w:rPr>
          <w:sz w:val="20"/>
          <w:szCs w:val="20"/>
          <w:color w:val="auto"/>
        </w:rPr>
      </w:pPr>
    </w:p>
    <w:p>
      <w:pPr>
        <w:ind w:left="1420" w:hanging="764"/>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Guarantee.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 owned subsidiary, Waste Management Holdings, Inc., pursuant to the terms and conditions of a Guarantee, dated as of May 12, 2022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57" w:lineRule="exact"/>
        <w:rPr>
          <w:sz w:val="20"/>
          <w:szCs w:val="20"/>
          <w:color w:val="auto"/>
        </w:rPr>
      </w:pPr>
    </w:p>
    <w:p>
      <w:pPr>
        <w:ind w:left="1420" w:hanging="764"/>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Satisfaction and Discharge.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gridSpan w:val="6"/>
          </w:tcPr>
          <w:p>
            <w:pPr>
              <w:ind w:left="1040"/>
              <w:spacing w:after="0"/>
              <w:rPr>
                <w:sz w:val="20"/>
                <w:szCs w:val="20"/>
                <w:color w:val="auto"/>
              </w:rPr>
            </w:pPr>
            <w:r>
              <w:rPr>
                <w:rFonts w:ascii="Arial" w:cs="Arial" w:eastAsia="Arial" w:hAnsi="Arial"/>
                <w:sz w:val="18"/>
                <w:szCs w:val="18"/>
                <w:color w:val="auto"/>
              </w:rPr>
              <w:t>SCHEDULE OF EXCHANGES OF DEFINITIVE SECURITY</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00" w:type="dxa"/>
            <w:vAlign w:val="bottom"/>
            <w:gridSpan w:val="8"/>
          </w:tcPr>
          <w:p>
            <w:pPr>
              <w:ind w:left="660"/>
              <w:spacing w:after="0"/>
              <w:rPr>
                <w:sz w:val="20"/>
                <w:szCs w:val="20"/>
                <w:color w:val="auto"/>
              </w:rPr>
            </w:pPr>
            <w:r>
              <w:rPr>
                <w:rFonts w:ascii="Arial" w:cs="Arial" w:eastAsia="Arial" w:hAnsi="Arial"/>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Amount of</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Amount of increase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Principal Amount</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decrease in</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in Principal</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of this Book-Entry</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 of</w:t>
            </w: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Principal Amount</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Amount of this</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Security following</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 officer</w:t>
            </w: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of this Book-Entry</w:t>
            </w:r>
          </w:p>
        </w:tc>
        <w:tc>
          <w:tcPr>
            <w:tcW w:w="2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Book-Entry</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such decrease (or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of Trustee or</w:t>
            </w:r>
          </w:p>
        </w:tc>
        <w:tc>
          <w:tcPr>
            <w:tcW w:w="100" w:type="dxa"/>
            <w:vAlign w:val="bottom"/>
          </w:tcPr>
          <w:p>
            <w:pPr>
              <w:spacing w:after="0"/>
              <w:rPr>
                <w:sz w:val="18"/>
                <w:szCs w:val="18"/>
                <w:color w:val="auto"/>
              </w:rPr>
            </w:pPr>
          </w:p>
        </w:tc>
      </w:tr>
      <w:tr>
        <w:trPr>
          <w:trHeight w:val="234"/>
        </w:trPr>
        <w:tc>
          <w:tcPr>
            <w:tcW w:w="2280" w:type="dxa"/>
            <w:vAlign w:val="bottom"/>
            <w:gridSpan w:val="2"/>
          </w:tcPr>
          <w:p>
            <w:pPr>
              <w:ind w:left="400"/>
              <w:spacing w:after="0"/>
              <w:rPr>
                <w:sz w:val="20"/>
                <w:szCs w:val="20"/>
                <w:color w:val="auto"/>
              </w:rPr>
            </w:pPr>
            <w:r>
              <w:rPr>
                <w:rFonts w:ascii="Arial" w:cs="Arial" w:eastAsia="Arial" w:hAnsi="Arial"/>
                <w:sz w:val="18"/>
                <w:szCs w:val="18"/>
                <w:b w:val="1"/>
                <w:bCs w:val="1"/>
                <w:color w:val="auto"/>
              </w:rPr>
              <w:t>Date of Exchange</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Security</w:t>
            </w:r>
          </w:p>
        </w:tc>
        <w:tc>
          <w:tcPr>
            <w:tcW w:w="2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increase)</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Security Custodian</w:t>
            </w:r>
          </w:p>
        </w:tc>
        <w:tc>
          <w:tcPr>
            <w:tcW w:w="100" w:type="dxa"/>
            <w:vAlign w:val="bottom"/>
          </w:tcPr>
          <w:p>
            <w:pPr>
              <w:spacing w:after="0"/>
              <w:rPr>
                <w:sz w:val="20"/>
                <w:szCs w:val="20"/>
                <w:color w:val="auto"/>
              </w:rPr>
            </w:pPr>
          </w:p>
        </w:tc>
      </w:tr>
      <w:tr>
        <w:trPr>
          <w:trHeight w:val="884"/>
        </w:trPr>
        <w:tc>
          <w:tcPr>
            <w:tcW w:w="21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GUARANTEE</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BY WASTE MANAGEMENT HOLDINGS,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(formerly known as Waste Management,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in Favor of The Bank of New York Mellon Trust Company, N.A., as Trustee for the Holders</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of Certain Debt Securities of</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$1,000,000,000</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4.15% Senior Notes due 2032</w:t>
      </w:r>
    </w:p>
    <w:p>
      <w:pPr>
        <w:spacing w:after="0" w:line="2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2" w:name="page63"/>
    <w:bookmarkEnd w:id="62"/>
    <w:p>
      <w:pPr>
        <w:jc w:val="both"/>
        <w:ind w:firstLine="648"/>
        <w:spacing w:after="0" w:line="259" w:lineRule="auto"/>
        <w:rPr>
          <w:sz w:val="20"/>
          <w:szCs w:val="20"/>
          <w:color w:val="auto"/>
        </w:rPr>
      </w:pPr>
      <w:r>
        <w:rPr>
          <w:rFonts w:ascii="Arial" w:cs="Arial" w:eastAsia="Arial" w:hAnsi="Arial"/>
          <w:sz w:val="18"/>
          <w:szCs w:val="18"/>
          <w:color w:val="auto"/>
        </w:rPr>
        <w:t>GUARANTEE, dated as of May 12, 2022 (as amended from time to time, this “Guarantee”), made by Waste Management Holdings, Inc. (formerly known as Waste Management, Inc.), a Delaware corporation (the “Guarantor”), in favor of The Bank of New York Mellon Trust Company, N.A., as trustee for the holders of the $1 billion aggregate principal amount of 4.15% Senior Notes due 2032 (the “Debt Securities”) of Waste Management, Inc. (formerly known as USA Waste Services, Inc.), a Delaware corporation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5" w:lineRule="auto"/>
        <w:tabs>
          <w:tab w:leader="none" w:pos="21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Guarantor hereby unconditionally guarantees the punctual payment when due, whether at stated maturity, by acceleration or otherwise, of the principal of, premium, if any, and interest on the Debt Securities and any amounts and obligations due and payable with respect to the Debt Securities under Section 607 of the Indenture (as amended, modified or otherwise supplemented from time to time, the “Indenture”), dated as of September 10, 1997, between the Issuer, as successor to USA Waste Services, Inc., and The Bank of New York Mellon Trust Company, N.A. (the current successor to Texas Commerce Bank National Association), as trustee (the “Trustee”) (the “Obligations”), according to the terms of the Debt Securities and the Indenture, as applicable.</w:t>
      </w:r>
    </w:p>
    <w:p>
      <w:pPr>
        <w:spacing w:after="0" w:line="192" w:lineRule="exact"/>
        <w:rPr>
          <w:rFonts w:ascii="Arial" w:cs="Arial" w:eastAsia="Arial" w:hAnsi="Arial"/>
          <w:sz w:val="18"/>
          <w:szCs w:val="18"/>
          <w:color w:val="auto"/>
        </w:rPr>
      </w:pPr>
    </w:p>
    <w:p>
      <w:pPr>
        <w:jc w:val="both"/>
        <w:ind w:firstLine="1304"/>
        <w:spacing w:after="0" w:line="254" w:lineRule="auto"/>
        <w:tabs>
          <w:tab w:leader="none" w:pos="2306" w:val="left"/>
        </w:tabs>
        <w:numPr>
          <w:ilvl w:val="0"/>
          <w:numId w:val="75"/>
        </w:numPr>
        <w:rPr>
          <w:rFonts w:ascii="Arial" w:cs="Arial" w:eastAsia="Arial" w:hAnsi="Arial"/>
          <w:sz w:val="18"/>
          <w:szCs w:val="18"/>
          <w:color w:val="auto"/>
        </w:rPr>
      </w:pPr>
      <w:r>
        <w:rPr>
          <w:rFonts w:ascii="Arial" w:cs="Arial" w:eastAsia="Arial" w:hAnsi="Arial"/>
          <w:sz w:val="18"/>
          <w:szCs w:val="18"/>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“Bankruptcy Law” means Title 11, U.S. Code, or any similar Federal or state law for the relief of debtors.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Guarantee Absolute</w:t>
      </w:r>
      <w:r>
        <w:rPr>
          <w:rFonts w:ascii="Arial" w:cs="Arial" w:eastAsia="Arial" w:hAnsi="Arial"/>
          <w:sz w:val="17"/>
          <w:szCs w:val="17"/>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165" w:lineRule="exact"/>
        <w:rPr>
          <w:sz w:val="20"/>
          <w:szCs w:val="20"/>
          <w:color w:val="auto"/>
        </w:rPr>
      </w:pPr>
    </w:p>
    <w:p>
      <w:pPr>
        <w:ind w:left="2340" w:hanging="1036"/>
        <w:spacing w:after="0"/>
        <w:tabs>
          <w:tab w:leader="none" w:pos="2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any lack of validity or enforceability of the Indenture, the Debt Securities or any other agreement or instrument relating</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260" w:firstLine="1044"/>
        <w:spacing w:after="0" w:line="277" w:lineRule="auto"/>
        <w:tabs>
          <w:tab w:leader="none" w:pos="22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170" w:lineRule="exact"/>
        <w:rPr>
          <w:rFonts w:ascii="Arial" w:cs="Arial" w:eastAsia="Arial" w:hAnsi="Arial"/>
          <w:sz w:val="18"/>
          <w:szCs w:val="18"/>
          <w:color w:val="auto"/>
        </w:rPr>
      </w:pPr>
    </w:p>
    <w:p>
      <w:pPr>
        <w:ind w:left="260" w:firstLine="1044"/>
        <w:spacing w:after="0" w:line="277" w:lineRule="auto"/>
        <w:tabs>
          <w:tab w:leader="none" w:pos="22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2140" w:hanging="836"/>
        <w:spacing w:after="0"/>
        <w:tabs>
          <w:tab w:leader="none" w:pos="21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other circumstance which might otherwise constitute a defense available to, or a discharge of, the Issuer or a guarantor.</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3" w:lineRule="auto"/>
        <w:tabs>
          <w:tab w:leader="none" w:pos="218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235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1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Continuing Guarantee; Transfer of Interest</w:t>
      </w:r>
      <w:r>
        <w:rPr>
          <w:rFonts w:ascii="Arial" w:cs="Arial" w:eastAsia="Arial" w:hAnsi="Arial"/>
          <w:sz w:val="17"/>
          <w:szCs w:val="17"/>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Fifth Amended and Restated Revolving Credit Agreement dated as of November 7, 2019 by and among the Issuer, Waste Management of Canada Corporation, WM Quebec Inc., the Guarantor (as guarantor), certain banks party thereto, and Bank of America, N.A., as administrative agent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648"/>
        <w:spacing w:after="0" w:line="263"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ind w:firstLine="648"/>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L. Reed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Jeff Bennett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Assistant Treasurer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Guarantee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(4.15%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6" w:name="page67"/>
    <w:bookmarkEnd w:id="66"/>
    <w:tbl>
      <w:tblPr>
        <w:tblLayout w:type="fixed"/>
        <w:tblInd w:w="5640" w:type="dxa"/>
        <w:tblCellMar>
          <w:top w:w="0" w:type="dxa"/>
          <w:left w:w="0" w:type="dxa"/>
          <w:bottom w:w="0" w:type="dxa"/>
          <w:right w:w="0" w:type="dxa"/>
        </w:tblCellMar>
      </w:tblPr>
      <w:tr>
        <w:trPr>
          <w:trHeight w:val="280"/>
        </w:trPr>
        <w:tc>
          <w:tcPr>
            <w:tcW w:w="2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ind w:left="960"/>
              <w:spacing w:after="0"/>
              <w:rPr>
                <w:sz w:val="20"/>
                <w:szCs w:val="20"/>
                <w:color w:val="auto"/>
              </w:rPr>
            </w:pPr>
            <w:r>
              <w:rPr>
                <w:rFonts w:ascii="Arial" w:cs="Arial" w:eastAsia="Arial" w:hAnsi="Arial"/>
                <w:sz w:val="22"/>
                <w:szCs w:val="22"/>
                <w:b w:val="1"/>
                <w:bCs w:val="1"/>
                <w:color w:val="auto"/>
                <w:w w:val="89"/>
              </w:rPr>
              <w:t>Exhibit 5.1</w:t>
            </w:r>
          </w:p>
        </w:tc>
      </w:tr>
      <w:tr>
        <w:trPr>
          <w:trHeight w:val="435"/>
        </w:trPr>
        <w:tc>
          <w:tcPr>
            <w:tcW w:w="2040" w:type="dxa"/>
            <w:vAlign w:val="bottom"/>
          </w:tcPr>
          <w:p>
            <w:pPr>
              <w:spacing w:after="0"/>
              <w:rPr>
                <w:sz w:val="20"/>
                <w:szCs w:val="20"/>
                <w:color w:val="auto"/>
              </w:rPr>
            </w:pPr>
            <w:r>
              <w:rPr>
                <w:rFonts w:ascii="Arial" w:cs="Arial" w:eastAsia="Arial" w:hAnsi="Arial"/>
                <w:sz w:val="18"/>
                <w:szCs w:val="18"/>
                <w:color w:val="auto"/>
              </w:rPr>
              <w:t>910 LOUISIANA</w:t>
            </w:r>
          </w:p>
        </w:tc>
        <w:tc>
          <w:tcPr>
            <w:tcW w:w="1600" w:type="dxa"/>
            <w:vAlign w:val="bottom"/>
          </w:tcPr>
          <w:p>
            <w:pPr>
              <w:ind w:left="420"/>
              <w:spacing w:after="0"/>
              <w:rPr>
                <w:sz w:val="20"/>
                <w:szCs w:val="20"/>
                <w:color w:val="auto"/>
              </w:rPr>
            </w:pPr>
            <w:r>
              <w:rPr>
                <w:rFonts w:ascii="Arial" w:cs="Arial" w:eastAsia="Arial" w:hAnsi="Arial"/>
                <w:sz w:val="18"/>
                <w:szCs w:val="18"/>
                <w:color w:val="auto"/>
              </w:rPr>
              <w:t>AUSTIN</w:t>
            </w:r>
          </w:p>
        </w:tc>
        <w:tc>
          <w:tcPr>
            <w:tcW w:w="1960" w:type="dxa"/>
            <w:vAlign w:val="bottom"/>
          </w:tcPr>
          <w:p>
            <w:pPr>
              <w:ind w:left="280"/>
              <w:spacing w:after="0"/>
              <w:rPr>
                <w:sz w:val="20"/>
                <w:szCs w:val="20"/>
                <w:color w:val="auto"/>
              </w:rPr>
            </w:pPr>
            <w:r>
              <w:rPr>
                <w:rFonts w:ascii="Arial" w:cs="Arial" w:eastAsia="Arial" w:hAnsi="Arial"/>
                <w:sz w:val="18"/>
                <w:szCs w:val="18"/>
                <w:color w:val="auto"/>
              </w:rPr>
              <w:t>MOSCOW</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HOUSTON, TEXAS</w:t>
            </w:r>
          </w:p>
        </w:tc>
        <w:tc>
          <w:tcPr>
            <w:tcW w:w="1600" w:type="dxa"/>
            <w:vAlign w:val="bottom"/>
          </w:tcPr>
          <w:p>
            <w:pPr>
              <w:ind w:left="420"/>
              <w:spacing w:after="0"/>
              <w:rPr>
                <w:sz w:val="20"/>
                <w:szCs w:val="20"/>
                <w:color w:val="auto"/>
              </w:rPr>
            </w:pPr>
            <w:r>
              <w:rPr>
                <w:rFonts w:ascii="Arial" w:cs="Arial" w:eastAsia="Arial" w:hAnsi="Arial"/>
                <w:sz w:val="18"/>
                <w:szCs w:val="18"/>
                <w:color w:val="auto"/>
              </w:rPr>
              <w:t>BRUSSELS</w:t>
            </w:r>
          </w:p>
        </w:tc>
        <w:tc>
          <w:tcPr>
            <w:tcW w:w="1960" w:type="dxa"/>
            <w:vAlign w:val="bottom"/>
          </w:tcPr>
          <w:p>
            <w:pPr>
              <w:ind w:left="280"/>
              <w:spacing w:after="0"/>
              <w:rPr>
                <w:sz w:val="20"/>
                <w:szCs w:val="20"/>
                <w:color w:val="auto"/>
              </w:rPr>
            </w:pPr>
            <w:r>
              <w:rPr>
                <w:rFonts w:ascii="Arial" w:cs="Arial" w:eastAsia="Arial" w:hAnsi="Arial"/>
                <w:sz w:val="18"/>
                <w:szCs w:val="18"/>
                <w:color w:val="auto"/>
              </w:rPr>
              <w:t>NEW YORK</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77002-4995</w:t>
            </w:r>
          </w:p>
        </w:tc>
        <w:tc>
          <w:tcPr>
            <w:tcW w:w="1600" w:type="dxa"/>
            <w:vAlign w:val="bottom"/>
          </w:tcPr>
          <w:p>
            <w:pPr>
              <w:ind w:left="420"/>
              <w:spacing w:after="0"/>
              <w:rPr>
                <w:sz w:val="20"/>
                <w:szCs w:val="20"/>
                <w:color w:val="auto"/>
              </w:rPr>
            </w:pPr>
            <w:r>
              <w:rPr>
                <w:rFonts w:ascii="Arial" w:cs="Arial" w:eastAsia="Arial" w:hAnsi="Arial"/>
                <w:sz w:val="18"/>
                <w:szCs w:val="18"/>
                <w:color w:val="auto"/>
              </w:rPr>
              <w:t>DALLAS</w:t>
            </w:r>
          </w:p>
        </w:tc>
        <w:tc>
          <w:tcPr>
            <w:tcW w:w="1960" w:type="dxa"/>
            <w:vAlign w:val="bottom"/>
          </w:tcPr>
          <w:p>
            <w:pPr>
              <w:ind w:left="280"/>
              <w:spacing w:after="0"/>
              <w:rPr>
                <w:sz w:val="20"/>
                <w:szCs w:val="20"/>
                <w:color w:val="auto"/>
              </w:rPr>
            </w:pPr>
            <w:r>
              <w:rPr>
                <w:rFonts w:ascii="Arial" w:cs="Arial" w:eastAsia="Arial" w:hAnsi="Arial"/>
                <w:sz w:val="18"/>
                <w:szCs w:val="18"/>
                <w:color w:val="auto"/>
              </w:rPr>
              <w:t>PALO ALTO</w:t>
            </w:r>
          </w:p>
        </w:tc>
      </w:tr>
      <w:tr>
        <w:trPr>
          <w:trHeight w:val="216"/>
        </w:trPr>
        <w:tc>
          <w:tcPr>
            <w:tcW w:w="2040" w:type="dxa"/>
            <w:vAlign w:val="bottom"/>
          </w:tcPr>
          <w:p>
            <w:pPr>
              <w:spacing w:after="0"/>
              <w:rPr>
                <w:sz w:val="18"/>
                <w:szCs w:val="18"/>
                <w:color w:val="auto"/>
              </w:rPr>
            </w:pPr>
          </w:p>
        </w:tc>
        <w:tc>
          <w:tcPr>
            <w:tcW w:w="1600" w:type="dxa"/>
            <w:vAlign w:val="bottom"/>
          </w:tcPr>
          <w:p>
            <w:pPr>
              <w:ind w:left="420"/>
              <w:spacing w:after="0"/>
              <w:rPr>
                <w:sz w:val="20"/>
                <w:szCs w:val="20"/>
                <w:color w:val="auto"/>
              </w:rPr>
            </w:pPr>
            <w:r>
              <w:rPr>
                <w:rFonts w:ascii="Arial" w:cs="Arial" w:eastAsia="Arial" w:hAnsi="Arial"/>
                <w:sz w:val="18"/>
                <w:szCs w:val="18"/>
                <w:color w:val="auto"/>
              </w:rPr>
              <w:t>DUBAI</w:t>
            </w:r>
          </w:p>
        </w:tc>
        <w:tc>
          <w:tcPr>
            <w:tcW w:w="1960" w:type="dxa"/>
            <w:vAlign w:val="bottom"/>
          </w:tcPr>
          <w:p>
            <w:pPr>
              <w:ind w:left="280"/>
              <w:spacing w:after="0"/>
              <w:rPr>
                <w:sz w:val="20"/>
                <w:szCs w:val="20"/>
                <w:color w:val="auto"/>
              </w:rPr>
            </w:pPr>
            <w:r>
              <w:rPr>
                <w:rFonts w:ascii="Arial" w:cs="Arial" w:eastAsia="Arial" w:hAnsi="Arial"/>
                <w:sz w:val="18"/>
                <w:szCs w:val="18"/>
                <w:color w:val="auto"/>
              </w:rPr>
              <w:t>RIYADH</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TEL +1 713.229.1234</w:t>
            </w:r>
          </w:p>
        </w:tc>
        <w:tc>
          <w:tcPr>
            <w:tcW w:w="1600" w:type="dxa"/>
            <w:vAlign w:val="bottom"/>
          </w:tcPr>
          <w:p>
            <w:pPr>
              <w:ind w:left="420"/>
              <w:spacing w:after="0"/>
              <w:rPr>
                <w:sz w:val="20"/>
                <w:szCs w:val="20"/>
                <w:color w:val="auto"/>
              </w:rPr>
            </w:pPr>
            <w:r>
              <w:rPr>
                <w:rFonts w:ascii="Arial" w:cs="Arial" w:eastAsia="Arial" w:hAnsi="Arial"/>
                <w:sz w:val="18"/>
                <w:szCs w:val="18"/>
                <w:color w:val="auto"/>
              </w:rPr>
              <w:t>HOUSTON</w:t>
            </w:r>
          </w:p>
        </w:tc>
        <w:tc>
          <w:tcPr>
            <w:tcW w:w="1960" w:type="dxa"/>
            <w:vAlign w:val="bottom"/>
          </w:tcPr>
          <w:p>
            <w:pPr>
              <w:ind w:left="280"/>
              <w:spacing w:after="0"/>
              <w:rPr>
                <w:sz w:val="20"/>
                <w:szCs w:val="20"/>
                <w:color w:val="auto"/>
              </w:rPr>
            </w:pPr>
            <w:r>
              <w:rPr>
                <w:rFonts w:ascii="Arial" w:cs="Arial" w:eastAsia="Arial" w:hAnsi="Arial"/>
                <w:sz w:val="18"/>
                <w:szCs w:val="18"/>
                <w:color w:val="auto"/>
              </w:rPr>
              <w:t>SAN FRANCISCO</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FAX +1 713.229.1522</w:t>
            </w:r>
          </w:p>
        </w:tc>
        <w:tc>
          <w:tcPr>
            <w:tcW w:w="1600" w:type="dxa"/>
            <w:vAlign w:val="bottom"/>
          </w:tcPr>
          <w:p>
            <w:pPr>
              <w:ind w:left="420"/>
              <w:spacing w:after="0"/>
              <w:rPr>
                <w:sz w:val="20"/>
                <w:szCs w:val="20"/>
                <w:color w:val="auto"/>
              </w:rPr>
            </w:pPr>
            <w:r>
              <w:rPr>
                <w:rFonts w:ascii="Arial" w:cs="Arial" w:eastAsia="Arial" w:hAnsi="Arial"/>
                <w:sz w:val="18"/>
                <w:szCs w:val="18"/>
                <w:color w:val="auto"/>
              </w:rPr>
              <w:t>LONDON</w:t>
            </w:r>
          </w:p>
        </w:tc>
        <w:tc>
          <w:tcPr>
            <w:tcW w:w="1960" w:type="dxa"/>
            <w:vAlign w:val="bottom"/>
          </w:tcPr>
          <w:p>
            <w:pPr>
              <w:ind w:left="280"/>
              <w:spacing w:after="0"/>
              <w:rPr>
                <w:sz w:val="20"/>
                <w:szCs w:val="20"/>
                <w:color w:val="auto"/>
              </w:rPr>
            </w:pPr>
            <w:r>
              <w:rPr>
                <w:rFonts w:ascii="Arial" w:cs="Arial" w:eastAsia="Arial" w:hAnsi="Arial"/>
                <w:sz w:val="18"/>
                <w:szCs w:val="18"/>
                <w:color w:val="auto"/>
              </w:rPr>
              <w:t>WASHINGTON</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BakerBotts.com</w:t>
            </w:r>
          </w:p>
        </w:tc>
        <w:tc>
          <w:tcPr>
            <w:tcW w:w="160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2074545" cy="291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74545" cy="29146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Waste Management, Inc., a Delaware corporation (the “Company”), and Waste Management Holdings, Inc., a Delaware corporation (“Holdings”), have engaged us to render the opinions expressed below in connection with the Company’s proposed issuance of $1,000,000,000 aggregate principal amount of its 4.15% Senior Notes due 2032 (the “Notes”) and the issuance of the related guarantee of the Notes by Holdings (the “Guarantee”), as contemplated by the Registration Statement on Form S-3 (Registration No. 333-264493)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April 26, 2022 and prospectus supplement dated April 28, 2022 relating to the Notes (collectively, the “Prospectus”) have been filed with the Commission pursuant to Rule 424(b) under the Act.</w:t>
      </w:r>
    </w:p>
    <w:p>
      <w:pPr>
        <w:spacing w:after="0" w:line="184"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Company and Holdings entered into an Underwriting Agreement (the “Underwriting Agreement”), dated April 28, 2022, with Barclays Capital Inc., BofA Securities, Inc., Deutsche Bank Securities Inc., MUFG Securities Americas Inc. and Scotia Capital (USA)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92"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6"/>
          <w:szCs w:val="16"/>
          <w:color w:val="auto"/>
        </w:rPr>
        <w:t>In our capacity as counsel to the Company and Holdings in connection with the matters referred to above, we have examined the following: (i) the Third Restated Certificate of Incorporation and the Amended and Restated By-Laws of the Company, each as amended to date; (ii) the Third Restated Certificate of Incorporation and the Amended and Restated By-Laws of Holdings, each as amended to date; (iii) the Indenture; (iv) the form of Officers’ Certificate to be delivered pursuant to Section 301 of the Indenture; (v) the form of Guarantee to be entered into by Holdings in favor of the holders of the Notes concurrently with the issuance of the Notes under the Indenture (the “Guarantee Agreement”); (vi) the Underwriting Agreement;</w:t>
      </w:r>
    </w:p>
    <w:p>
      <w:pPr>
        <w:spacing w:after="0" w:line="2" w:lineRule="exact"/>
        <w:rPr>
          <w:sz w:val="20"/>
          <w:szCs w:val="20"/>
          <w:color w:val="auto"/>
        </w:rPr>
      </w:pPr>
    </w:p>
    <w:p>
      <w:pPr>
        <w:jc w:val="both"/>
        <w:ind w:firstLine="8"/>
        <w:spacing w:after="0" w:line="286" w:lineRule="auto"/>
        <w:tabs>
          <w:tab w:leader="none" w:pos="35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we have deemed necessary or advisable as a basis for the opinions hereinafter expressed. In giving the opinions set forth below, we have relied, with your consent and without independent investigation or verification, to the extent we deemed appropriate, upon certificates, statements or other representations of officers or other representatives of the Company and Holdings and of governmental and public officials with respect to the accuracy and completeness of the factual matters contained in or covered by such certificates, statements or representations. In making our examination, we have assumed, with your consent and without independent investigation or verification, the legal capacity and competency of all natural persons, that all signatures on documents examined by us are genuine, all documents submitted to us as originals are authentic and complete, all documents submitted to us as copies are true, correct and complete copies of the originals thereof and all information submitted to us was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Waste Management, Inc.</w:t>
            </w:r>
          </w:p>
        </w:tc>
        <w:tc>
          <w:tcPr>
            <w:tcW w:w="4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080" w:type="dxa"/>
            <w:vAlign w:val="bottom"/>
          </w:tcPr>
          <w:p>
            <w:pPr>
              <w:jc w:val="right"/>
              <w:ind w:right="2190"/>
              <w:spacing w:after="0"/>
              <w:rPr>
                <w:sz w:val="20"/>
                <w:szCs w:val="20"/>
                <w:color w:val="auto"/>
              </w:rPr>
            </w:pPr>
            <w:r>
              <w:rPr>
                <w:rFonts w:ascii="Arial" w:cs="Arial" w:eastAsia="Arial" w:hAnsi="Arial"/>
                <w:sz w:val="18"/>
                <w:szCs w:val="18"/>
                <w:color w:val="auto"/>
              </w:rPr>
              <w:t>- 2 -</w:t>
            </w:r>
          </w:p>
        </w:tc>
        <w:tc>
          <w:tcPr>
            <w:tcW w:w="3180" w:type="dxa"/>
            <w:vAlign w:val="bottom"/>
          </w:tcPr>
          <w:p>
            <w:pPr>
              <w:ind w:left="2260"/>
              <w:spacing w:after="0"/>
              <w:rPr>
                <w:sz w:val="20"/>
                <w:szCs w:val="20"/>
                <w:color w:val="auto"/>
              </w:rPr>
            </w:pPr>
            <w:r>
              <w:rPr>
                <w:rFonts w:ascii="Arial" w:cs="Arial" w:eastAsia="Arial" w:hAnsi="Arial"/>
                <w:sz w:val="18"/>
                <w:szCs w:val="18"/>
                <w:color w:val="auto"/>
                <w:w w:val="90"/>
              </w:rPr>
              <w:t>May 3, 2022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397000" cy="2228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22885"/>
                    </a:xfrm>
                    <a:prstGeom prst="rect">
                      <a:avLst/>
                    </a:prstGeom>
                    <a:noFill/>
                  </pic:spPr>
                </pic:pic>
              </a:graphicData>
            </a:graphic>
          </wp:anchor>
        </w:drawing>
      </w:r>
    </w:p>
    <w:p>
      <w:pPr>
        <w:spacing w:after="0" w:line="21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w:t>
      </w:r>
    </w:p>
    <w:p>
      <w:pPr>
        <w:spacing w:after="0" w:line="23" w:lineRule="exact"/>
        <w:rPr>
          <w:sz w:val="20"/>
          <w:szCs w:val="20"/>
          <w:color w:val="auto"/>
        </w:rPr>
      </w:pPr>
    </w:p>
    <w:p>
      <w:pPr>
        <w:jc w:val="both"/>
        <w:ind w:firstLine="8"/>
        <w:spacing w:after="0" w:line="285" w:lineRule="auto"/>
        <w:tabs>
          <w:tab w:leader="none" w:pos="225"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 will, when Holdings has duly authorized, executed and delivered the Guarantee Agreement and the Notes have been duly authorized, executed, authenticated, issued and delivered in accordance with the provisions of the Indenture and duly purchased and paid for in accordance with the terms of the Underwriting Agreement, constitute a legal, valid and binding obligation of Holdings, enforceable against it in accordance with its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17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opinions set forth in this letter are limited in all respects to matters of the General Corporation Law of the State of Delaware and the contract law of the State of New York, each as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Waste Management, Inc.</w:t>
            </w:r>
          </w:p>
        </w:tc>
        <w:tc>
          <w:tcPr>
            <w:tcW w:w="408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Waste Management Holdings, Inc.</w:t>
            </w:r>
          </w:p>
        </w:tc>
        <w:tc>
          <w:tcPr>
            <w:tcW w:w="4080" w:type="dxa"/>
            <w:vAlign w:val="bottom"/>
          </w:tcPr>
          <w:p>
            <w:pPr>
              <w:jc w:val="right"/>
              <w:ind w:right="2190"/>
              <w:spacing w:after="0"/>
              <w:rPr>
                <w:sz w:val="20"/>
                <w:szCs w:val="20"/>
                <w:color w:val="auto"/>
              </w:rPr>
            </w:pPr>
            <w:r>
              <w:rPr>
                <w:rFonts w:ascii="Arial" w:cs="Arial" w:eastAsia="Arial" w:hAnsi="Arial"/>
                <w:sz w:val="18"/>
                <w:szCs w:val="18"/>
                <w:color w:val="auto"/>
              </w:rPr>
              <w:t>- 3 -</w:t>
            </w:r>
          </w:p>
        </w:tc>
        <w:tc>
          <w:tcPr>
            <w:tcW w:w="3180" w:type="dxa"/>
            <w:vAlign w:val="bottom"/>
          </w:tcPr>
          <w:p>
            <w:pPr>
              <w:ind w:left="2260"/>
              <w:spacing w:after="0"/>
              <w:rPr>
                <w:sz w:val="20"/>
                <w:szCs w:val="20"/>
                <w:color w:val="auto"/>
              </w:rPr>
            </w:pPr>
            <w:r>
              <w:rPr>
                <w:rFonts w:ascii="Arial" w:cs="Arial" w:eastAsia="Arial" w:hAnsi="Arial"/>
                <w:sz w:val="18"/>
                <w:szCs w:val="18"/>
                <w:color w:val="auto"/>
                <w:w w:val="90"/>
              </w:rPr>
              <w:t>May 3, 2022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397000" cy="2228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22885"/>
                    </a:xfrm>
                    <a:prstGeom prst="rect">
                      <a:avLst/>
                    </a:prstGeom>
                    <a:noFill/>
                  </pic:spPr>
                </pic:pic>
              </a:graphicData>
            </a:graphic>
          </wp:anchor>
        </w:drawing>
      </w:r>
    </w:p>
    <w:p>
      <w:pPr>
        <w:jc w:val="both"/>
        <w:ind w:firstLine="1296"/>
        <w:spacing w:after="0" w:line="279" w:lineRule="auto"/>
        <w:rPr>
          <w:sz w:val="20"/>
          <w:szCs w:val="20"/>
          <w:color w:val="auto"/>
        </w:rPr>
      </w:pPr>
      <w:r>
        <w:rPr>
          <w:rFonts w:ascii="Arial" w:cs="Arial" w:eastAsia="Arial" w:hAnsi="Arial"/>
          <w:sz w:val="17"/>
          <w:szCs w:val="17"/>
          <w:color w:val="auto"/>
        </w:rPr>
        <w:t>We hereby consent to the filing of this opinion letter as Exhibit 5.1 to the Company’s Current Report on Form 8-K to be filed with the Commission on the date hereof and to the incorporation by reference of this opinion letter into the Registration Statement. We also consent to the reference to our Firm under the heading “Legal Matters” in the Prospectus. In giving this consent, we do not 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lowerLetter"/>
      <w:start w:val="4"/>
    </w:lvl>
  </w:abstractNum>
  <w:abstractNum w:abstractNumId="2">
    <w:nsid w:val="70A64E2A"/>
    <w:multiLevelType w:val="hybridMultilevel"/>
    <w:lvl w:ilvl="0">
      <w:lvlJc w:val="left"/>
      <w:lvlText w:val="%1."/>
      <w:numFmt w:val="decimal"/>
      <w:start w:val="1"/>
    </w:lvl>
    <w:lvl w:ilvl="1">
      <w:lvlJc w:val="left"/>
      <w:lvlText w:val="(%2)"/>
      <w:numFmt w:val="lowerLetter"/>
      <w:start w:val="1"/>
    </w:lvl>
  </w:abstractNum>
  <w:abstractNum w:abstractNumId="3">
    <w:nsid w:val="6A2342EC"/>
    <w:multiLevelType w:val="hybridMultilevel"/>
    <w:lvl w:ilvl="0">
      <w:lvlJc w:val="left"/>
      <w:lvlText w:val="%1"/>
      <w:numFmt w:val="lowerLetter"/>
      <w:start w:val="1"/>
    </w:lvl>
    <w:lvl w:ilvl="1">
      <w:lvlJc w:val="left"/>
      <w:lvlText w:val="(%2)"/>
      <w:numFmt w:val="lowerLetter"/>
      <w:start w:val="3"/>
    </w:lvl>
  </w:abstractNum>
  <w:abstractNum w:abstractNumId="4">
    <w:nsid w:val="2A487CB0"/>
    <w:multiLevelType w:val="hybridMultilevel"/>
    <w:lvl w:ilvl="0">
      <w:lvlJc w:val="left"/>
      <w:lvlText w:val="(%1)"/>
      <w:numFmt w:val="lowerLetter"/>
      <w:start w:val="35"/>
    </w:lvl>
    <w:lvl w:ilvl="1">
      <w:lvlJc w:val="left"/>
      <w:lvlText w:val="%2"/>
      <w:numFmt w:val="lowerLetter"/>
      <w:start w:val="1"/>
    </w:lvl>
  </w:abstractNum>
  <w:abstractNum w:abstractNumId="5">
    <w:nsid w:val="1D4ED43B"/>
    <w:multiLevelType w:val="hybridMultilevel"/>
    <w:lvl w:ilvl="0">
      <w:lvlJc w:val="left"/>
      <w:lvlText w:val="(%1)"/>
      <w:numFmt w:val="lowerLetter"/>
      <w:start w:val="5"/>
    </w:lvl>
  </w:abstractNum>
  <w:abstractNum w:abstractNumId="6">
    <w:nsid w:val="725A06FB"/>
    <w:multiLevelType w:val="hybridMultilevel"/>
    <w:lvl w:ilvl="0">
      <w:lvlJc w:val="left"/>
      <w:lvlText w:val="(%1)"/>
      <w:numFmt w:val="lowerLetter"/>
      <w:start w:val="9"/>
    </w:lvl>
  </w:abstractNum>
  <w:abstractNum w:abstractNumId="7">
    <w:nsid w:val="2CD89A32"/>
    <w:multiLevelType w:val="hybridMultilevel"/>
    <w:lvl w:ilvl="0">
      <w:lvlJc w:val="left"/>
      <w:lvlText w:val="(%1)"/>
      <w:numFmt w:val="lowerLetter"/>
      <w:start w:val="14"/>
    </w:lvl>
  </w:abstractNum>
  <w:abstractNum w:abstractNumId="8">
    <w:nsid w:val="57E4CCAF"/>
    <w:multiLevelType w:val="hybridMultilevel"/>
    <w:lvl w:ilvl="0">
      <w:lvlJc w:val="left"/>
      <w:lvlText w:val="(%1)"/>
      <w:numFmt w:val="lowerLetter"/>
      <w:start w:val="18"/>
    </w:lvl>
  </w:abstractNum>
  <w:abstractNum w:abstractNumId="9">
    <w:nsid w:val="7A6D8D3C"/>
    <w:multiLevelType w:val="hybridMultilevel"/>
    <w:lvl w:ilvl="0">
      <w:lvlJc w:val="left"/>
      <w:lvlText w:val="(%1)"/>
      <w:numFmt w:val="lowerLetter"/>
      <w:start w:val="23"/>
    </w:lvl>
  </w:abstractNum>
  <w:abstractNum w:abstractNumId="10">
    <w:nsid w:val="4B588F54"/>
    <w:multiLevelType w:val="hybridMultilevel"/>
    <w:lvl w:ilvl="0">
      <w:lvlJc w:val="left"/>
      <w:lvlText w:val="%1"/>
      <w:numFmt w:val="lowerRoman"/>
      <w:start w:val="1"/>
    </w:lvl>
    <w:lvl w:ilvl="1">
      <w:lvlJc w:val="left"/>
      <w:lvlText w:val="(%2)"/>
      <w:numFmt w:val="lowerLetter"/>
      <w:start w:val="27"/>
    </w:lvl>
  </w:abstractNum>
  <w:abstractNum w:abstractNumId="11">
    <w:nsid w:val="542289EC"/>
    <w:multiLevelType w:val="hybridMultilevel"/>
    <w:lvl w:ilvl="0">
      <w:lvlJc w:val="left"/>
      <w:lvlText w:val="(%1)"/>
      <w:numFmt w:val="lowerRoman"/>
      <w:start w:val="4"/>
    </w:lvl>
    <w:lvl w:ilvl="1">
      <w:lvlJc w:val="left"/>
      <w:lvlText w:val="%2"/>
      <w:numFmt w:val="lowerLetter"/>
      <w:start w:val="1"/>
    </w:lvl>
  </w:abstractNum>
  <w:abstractNum w:abstractNumId="12">
    <w:nsid w:val="6DE91B18"/>
    <w:multiLevelType w:val="hybridMultilevel"/>
    <w:lvl w:ilvl="0">
      <w:lvlJc w:val="left"/>
      <w:lvlText w:val="%1"/>
      <w:numFmt w:val="lowerRoman"/>
      <w:start w:val="1"/>
    </w:lvl>
    <w:lvl w:ilvl="1">
      <w:lvlJc w:val="left"/>
      <w:lvlText w:val="(%2)"/>
      <w:numFmt w:val="lowerLetter"/>
      <w:start w:val="28"/>
    </w:lvl>
  </w:abstractNum>
  <w:abstractNum w:abstractNumId="13">
    <w:nsid w:val="38437FDB"/>
    <w:multiLevelType w:val="hybridMultilevel"/>
    <w:lvl w:ilvl="0">
      <w:lvlJc w:val="left"/>
      <w:lvlText w:val="(%1)"/>
      <w:numFmt w:val="lowerRoman"/>
      <w:start w:val="4"/>
    </w:lvl>
    <w:lvl w:ilvl="1">
      <w:lvlJc w:val="left"/>
      <w:lvlText w:val="(%2)"/>
      <w:numFmt w:val="lowerLetter"/>
      <w:start w:val="31"/>
    </w:lvl>
  </w:abstractNum>
  <w:abstractNum w:abstractNumId="14">
    <w:nsid w:val="7644A45C"/>
    <w:multiLevelType w:val="hybridMultilevel"/>
    <w:lvl w:ilvl="0">
      <w:lvlJc w:val="left"/>
      <w:lvlText w:val="(%1)"/>
      <w:numFmt w:val="lowerLetter"/>
      <w:start w:val="32"/>
    </w:lvl>
  </w:abstractNum>
  <w:abstractNum w:abstractNumId="15">
    <w:nsid w:val="32FFF902"/>
    <w:multiLevelType w:val="hybridMultilevel"/>
    <w:lvl w:ilvl="0">
      <w:lvlJc w:val="left"/>
      <w:lvlText w:val="(%1)"/>
      <w:numFmt w:val="lowerLetter"/>
      <w:start w:val="35"/>
    </w:lvl>
  </w:abstractNum>
  <w:abstractNum w:abstractNumId="16">
    <w:nsid w:val="684A481A"/>
    <w:multiLevelType w:val="hybridMultilevel"/>
    <w:lvl w:ilvl="0">
      <w:lvlJc w:val="left"/>
      <w:lvlText w:val="(%1)"/>
      <w:numFmt w:val="lowerLetter"/>
      <w:start w:val="40"/>
    </w:lvl>
  </w:abstractNum>
  <w:abstractNum w:abstractNumId="17">
    <w:nsid w:val="579478FE"/>
    <w:multiLevelType w:val="hybridMultilevel"/>
    <w:lvl w:ilvl="0">
      <w:lvlJc w:val="left"/>
      <w:lvlText w:val="(%1)"/>
      <w:numFmt w:val="lowerLetter"/>
      <w:start w:val="45"/>
    </w:lvl>
  </w:abstractNum>
  <w:abstractNum w:abstractNumId="18">
    <w:nsid w:val="749ABB43"/>
    <w:multiLevelType w:val="hybridMultilevel"/>
    <w:lvl w:ilvl="0">
      <w:lvlJc w:val="left"/>
      <w:lvlText w:val="%1."/>
      <w:numFmt w:val="decimal"/>
      <w:start w:val="2"/>
    </w:lvl>
  </w:abstractNum>
  <w:abstractNum w:abstractNumId="19">
    <w:nsid w:val="3DC240FB"/>
    <w:multiLevelType w:val="hybridMultilevel"/>
    <w:lvl w:ilvl="0">
      <w:lvlJc w:val="left"/>
      <w:lvlText w:val="%1."/>
      <w:numFmt w:val="decimal"/>
      <w:start w:val="3"/>
    </w:lvl>
    <w:lvl w:ilvl="1">
      <w:lvlJc w:val="left"/>
      <w:lvlText w:val="(%2)"/>
      <w:numFmt w:val="lowerLetter"/>
      <w:start w:val="1"/>
    </w:lvl>
  </w:abstractNum>
  <w:abstractNum w:abstractNumId="20">
    <w:nsid w:val="1BA026FA"/>
    <w:multiLevelType w:val="hybridMultilevel"/>
    <w:lvl w:ilvl="0">
      <w:lvlJc w:val="left"/>
      <w:lvlText w:val="%1"/>
      <w:numFmt w:val="lowerRoman"/>
      <w:start w:val="1"/>
    </w:lvl>
    <w:lvl w:ilvl="1">
      <w:lvlJc w:val="left"/>
      <w:lvlText w:val="(%2)"/>
      <w:numFmt w:val="lowerLetter"/>
      <w:start w:val="3"/>
    </w:lvl>
  </w:abstractNum>
  <w:abstractNum w:abstractNumId="21">
    <w:nsid w:val="79A1DEAA"/>
    <w:multiLevelType w:val="hybridMultilevel"/>
    <w:lvl w:ilvl="0">
      <w:lvlJc w:val="left"/>
      <w:lvlText w:val="(%1)"/>
      <w:numFmt w:val="lowerRoman"/>
      <w:start w:val="6"/>
    </w:lvl>
    <w:lvl w:ilvl="1">
      <w:lvlJc w:val="left"/>
      <w:lvlText w:val="(%2)"/>
      <w:numFmt w:val="lowerLetter"/>
      <w:start w:val="4"/>
    </w:lvl>
  </w:abstractNum>
  <w:abstractNum w:abstractNumId="22">
    <w:nsid w:val="75C6C33A"/>
    <w:multiLevelType w:val="hybridMultilevel"/>
    <w:lvl w:ilvl="0">
      <w:lvlJc w:val="left"/>
      <w:lvlText w:val="(%1)"/>
      <w:numFmt w:val="lowerLetter"/>
      <w:start w:val="6"/>
    </w:lvl>
  </w:abstractNum>
  <w:abstractNum w:abstractNumId="23">
    <w:nsid w:val="12E685FB"/>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24">
    <w:nsid w:val="70C6A529"/>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25">
    <w:nsid w:val="520EEDD1"/>
    <w:multiLevelType w:val="hybridMultilevel"/>
    <w:lvl w:ilvl="0">
      <w:lvlJc w:val="left"/>
      <w:lvlText w:val="(%1)"/>
      <w:numFmt w:val="lowerRoman"/>
      <w:start w:val="2"/>
    </w:lvl>
  </w:abstractNum>
  <w:abstractNum w:abstractNumId="26">
    <w:nsid w:val="374A3FE6"/>
    <w:multiLevelType w:val="hybridMultilevel"/>
    <w:lvl w:ilvl="0">
      <w:lvlJc w:val="left"/>
      <w:lvlText w:val="(%1)"/>
      <w:numFmt w:val="lowerRoman"/>
      <w:start w:val="6"/>
    </w:lvl>
  </w:abstractNum>
  <w:abstractNum w:abstractNumId="27">
    <w:nsid w:val="4F4EF005"/>
    <w:multiLevelType w:val="hybridMultilevel"/>
    <w:lvl w:ilvl="0">
      <w:lvlJc w:val="left"/>
      <w:lvlText w:val="(%1)"/>
      <w:numFmt w:val="lowerLetter"/>
      <w:start w:val="3"/>
    </w:lvl>
    <w:lvl w:ilvl="1">
      <w:lvlJc w:val="left"/>
      <w:lvlText w:val="(%2)"/>
      <w:numFmt w:val="lowerRoman"/>
      <w:start w:val="1"/>
    </w:lvl>
  </w:abstractNum>
  <w:abstractNum w:abstractNumId="28">
    <w:nsid w:val="23F9C13C"/>
    <w:multiLevelType w:val="hybridMultilevel"/>
    <w:lvl w:ilvl="0">
      <w:lvlJc w:val="left"/>
      <w:lvlText w:val="(%1)"/>
      <w:numFmt w:val="lowerLetter"/>
      <w:start w:val="4"/>
    </w:lvl>
    <w:lvl w:ilvl="1">
      <w:lvlJc w:val="left"/>
      <w:lvlText w:val="(%2)"/>
      <w:numFmt w:val="lowerRoman"/>
      <w:start w:val="1"/>
    </w:lvl>
  </w:abstractNum>
  <w:abstractNum w:abstractNumId="29">
    <w:nsid w:val="649BB77C"/>
    <w:multiLevelType w:val="hybridMultilevel"/>
    <w:lvl w:ilvl="0">
      <w:lvlJc w:val="left"/>
      <w:lvlText w:val="(%1)"/>
      <w:numFmt w:val="lowerLetter"/>
      <w:start w:val="6"/>
    </w:lvl>
    <w:lvl w:ilvl="1">
      <w:lvlJc w:val="left"/>
      <w:lvlText w:val="(%2)"/>
      <w:numFmt w:val="lowerRoman"/>
      <w:start w:val="1"/>
    </w:lvl>
  </w:abstractNum>
  <w:abstractNum w:abstractNumId="30">
    <w:nsid w:val="275AC794"/>
    <w:multiLevelType w:val="hybridMultilevel"/>
    <w:lvl w:ilvl="0">
      <w:lvlJc w:val="left"/>
      <w:lvlText w:val="(%1)"/>
      <w:numFmt w:val="lowerLetter"/>
      <w:start w:val="7"/>
    </w:lvl>
  </w:abstractNum>
  <w:abstractNum w:abstractNumId="31">
    <w:nsid w:val="39386575"/>
    <w:multiLevelType w:val="hybridMultilevel"/>
    <w:lvl w:ilvl="0">
      <w:lvlJc w:val="left"/>
      <w:lvlText w:val="%1."/>
      <w:numFmt w:val="decimal"/>
      <w:start w:val="8"/>
    </w:lvl>
    <w:lvl w:ilvl="1">
      <w:lvlJc w:val="left"/>
      <w:lvlText w:val="(%2)"/>
      <w:numFmt w:val="lowerLetter"/>
      <w:start w:val="2"/>
    </w:lvl>
  </w:abstractNum>
  <w:abstractNum w:abstractNumId="32">
    <w:nsid w:val="1CF10FD8"/>
    <w:multiLevelType w:val="hybridMultilevel"/>
    <w:lvl w:ilvl="0">
      <w:lvlJc w:val="left"/>
      <w:lvlText w:val="%1"/>
      <w:numFmt w:val="lowerLetter"/>
      <w:start w:val="1"/>
    </w:lvl>
    <w:lvl w:ilvl="1">
      <w:lvlJc w:val="left"/>
      <w:lvlText w:val="(%2)"/>
      <w:numFmt w:val="lowerLetter"/>
      <w:start w:val="3"/>
    </w:lvl>
  </w:abstractNum>
  <w:abstractNum w:abstractNumId="33">
    <w:nsid w:val="180115BE"/>
    <w:multiLevelType w:val="hybridMultilevel"/>
    <w:lvl w:ilvl="0">
      <w:lvlJc w:val="left"/>
      <w:lvlText w:val="(%1)"/>
      <w:numFmt w:val="lowerLetter"/>
      <w:start w:val="2"/>
    </w:lvl>
    <w:lvl w:ilvl="1">
      <w:lvlJc w:val="left"/>
      <w:lvlText w:val="%2"/>
      <w:numFmt w:val="lowerLetter"/>
      <w:start w:val="1"/>
    </w:lvl>
  </w:abstractNum>
  <w:abstractNum w:abstractNumId="34">
    <w:nsid w:val="235BA861"/>
    <w:multiLevelType w:val="hybridMultilevel"/>
    <w:lvl w:ilvl="0">
      <w:lvlJc w:val="left"/>
      <w:lvlText w:val="%1"/>
      <w:numFmt w:val="decimal"/>
      <w:start w:val="1"/>
    </w:lvl>
    <w:lvl w:ilvl="1">
      <w:lvlJc w:val="left"/>
      <w:lvlText w:val="(%2)"/>
      <w:numFmt w:val="lowerLetter"/>
      <w:start w:val="4"/>
    </w:lvl>
  </w:abstractNum>
  <w:abstractNum w:abstractNumId="35">
    <w:nsid w:val="47398C89"/>
    <w:multiLevelType w:val="hybridMultilevel"/>
    <w:lvl w:ilvl="0">
      <w:lvlJc w:val="left"/>
      <w:lvlText w:val="%1."/>
      <w:numFmt w:val="decimal"/>
      <w:start w:val="10"/>
    </w:lvl>
    <w:lvl w:ilvl="1">
      <w:lvlJc w:val="left"/>
      <w:lvlText w:val="%2"/>
      <w:numFmt w:val="lowerLetter"/>
      <w:start w:val="1"/>
    </w:lvl>
  </w:abstractNum>
  <w:abstractNum w:abstractNumId="36">
    <w:nsid w:val="354FE9F9"/>
    <w:multiLevelType w:val="hybridMultilevel"/>
    <w:lvl w:ilvl="0">
      <w:lvlJc w:val="left"/>
      <w:lvlText w:val="%1"/>
      <w:numFmt w:val="lowerRoman"/>
      <w:start w:val="1"/>
    </w:lvl>
    <w:lvl w:ilvl="1">
      <w:lvlJc w:val="left"/>
      <w:lvlText w:val="%2."/>
      <w:numFmt w:val="decimal"/>
      <w:start w:val="11"/>
    </w:lvl>
  </w:abstractNum>
  <w:abstractNum w:abstractNumId="37">
    <w:nsid w:val="15B5AF5C"/>
    <w:multiLevelType w:val="hybridMultilevel"/>
    <w:lvl w:ilvl="0">
      <w:lvlJc w:val="left"/>
      <w:lvlText w:val="(%1)"/>
      <w:numFmt w:val="lowerRoman"/>
      <w:start w:val="4"/>
    </w:lvl>
    <w:lvl w:ilvl="1">
      <w:lvlJc w:val="left"/>
      <w:lvlText w:val="%2."/>
      <w:numFmt w:val="decimal"/>
      <w:start w:val="12"/>
    </w:lvl>
  </w:abstractNum>
  <w:abstractNum w:abstractNumId="38">
    <w:nsid w:val="741226BB"/>
    <w:multiLevelType w:val="hybridMultilevel"/>
    <w:lvl w:ilvl="0">
      <w:lvlJc w:val="left"/>
      <w:lvlText w:val="%1."/>
      <w:numFmt w:val="decimal"/>
      <w:start w:val="14"/>
    </w:lvl>
    <w:lvl w:ilvl="1">
      <w:lvlJc w:val="left"/>
      <w:lvlText w:val="(%2)"/>
      <w:numFmt w:val="lowerLetter"/>
      <w:start w:val="1"/>
    </w:lvl>
  </w:abstractNum>
  <w:abstractNum w:abstractNumId="39">
    <w:nsid w:val="D34B6A8"/>
    <w:multiLevelType w:val="hybridMultilevel"/>
    <w:lvl w:ilvl="0">
      <w:lvlJc w:val="left"/>
      <w:lvlText w:val="(%1)"/>
      <w:numFmt w:val="lowerRoman"/>
      <w:start w:val="1"/>
    </w:lvl>
  </w:abstractNum>
  <w:abstractNum w:abstractNumId="40">
    <w:nsid w:val="10233C99"/>
    <w:multiLevelType w:val="hybridMultilevel"/>
    <w:lvl w:ilvl="0">
      <w:lvlJc w:val="left"/>
      <w:lvlText w:val="%1."/>
      <w:numFmt w:val="decimal"/>
      <w:start w:val="17"/>
    </w:lvl>
  </w:abstractNum>
  <w:abstractNum w:abstractNumId="41">
    <w:nsid w:val="3F6AB60F"/>
    <w:multiLevelType w:val="hybridMultilevel"/>
    <w:lvl w:ilvl="0">
      <w:lvlJc w:val="left"/>
      <w:lvlText w:val="%1."/>
      <w:numFmt w:val="decimal"/>
      <w:start w:val="20"/>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lvl w:ilvl="1">
      <w:lvlJc w:val="left"/>
      <w:lvlText w:val="(%2)"/>
      <w:numFmt w:val="lowerRoman"/>
      <w:start w:val="4"/>
    </w:lvl>
  </w:abstractNum>
  <w:abstractNum w:abstractNumId="44">
    <w:nsid w:val="77AE35EB"/>
    <w:multiLevelType w:val="hybridMultilevel"/>
    <w:lvl w:ilvl="0">
      <w:lvlJc w:val="left"/>
      <w:lvlText w:val="%1"/>
      <w:numFmt w:val="decimal"/>
      <w:start w:val="1"/>
    </w:lvl>
    <w:lvl w:ilvl="1">
      <w:lvlJc w:val="left"/>
      <w:lvlText w:val="(%2)"/>
      <w:numFmt w:val="lowerRoman"/>
      <w:start w:val="8"/>
    </w:lvl>
  </w:abstractNum>
  <w:abstractNum w:abstractNumId="45">
    <w:nsid w:val="579BE4F1"/>
    <w:multiLevelType w:val="hybridMultilevel"/>
    <w:lvl w:ilvl="0">
      <w:lvlJc w:val="left"/>
      <w:lvlText w:val="%1"/>
      <w:numFmt w:val="decimal"/>
      <w:start w:val="1"/>
    </w:lvl>
    <w:lvl w:ilvl="1">
      <w:lvlJc w:val="left"/>
      <w:lvlText w:val="(%2)"/>
      <w:numFmt w:val="lowerRoman"/>
      <w:start w:val="12"/>
    </w:lvl>
  </w:abstractNum>
  <w:abstractNum w:abstractNumId="46">
    <w:nsid w:val="310C50B3"/>
    <w:multiLevelType w:val="hybridMultilevel"/>
    <w:lvl w:ilvl="0">
      <w:lvlJc w:val="left"/>
      <w:lvlText w:val="%1"/>
      <w:numFmt w:val="decimal"/>
      <w:start w:val="1"/>
    </w:lvl>
    <w:lvl w:ilvl="1">
      <w:lvlJc w:val="left"/>
      <w:lvlText w:val="(%2)"/>
      <w:numFmt w:val="lowerRoman"/>
      <w:start w:val="16"/>
    </w:lvl>
  </w:abstractNum>
  <w:abstractNum w:abstractNumId="47">
    <w:nsid w:val="5FF87E05"/>
    <w:multiLevelType w:val="hybridMultilevel"/>
    <w:lvl w:ilvl="0">
      <w:lvlJc w:val="left"/>
      <w:lvlText w:val="%1."/>
      <w:numFmt w:val="decimal"/>
      <w:start w:val="4"/>
    </w:lvl>
    <w:lvl w:ilvl="1">
      <w:lvlJc w:val="left"/>
      <w:lvlText w:val="%2"/>
      <w:numFmt w:val="lowerRoman"/>
      <w:start w:val="1"/>
    </w:lvl>
  </w:abstractNum>
  <w:abstractNum w:abstractNumId="48">
    <w:nsid w:val="2F305DEF"/>
    <w:multiLevelType w:val="hybridMultilevel"/>
    <w:lvl w:ilvl="0">
      <w:lvlJc w:val="left"/>
      <w:lvlText w:val="%1."/>
      <w:numFmt w:val="decimal"/>
      <w:start w:val="1"/>
    </w:lvl>
  </w:abstractNum>
  <w:abstractNum w:abstractNumId="49">
    <w:nsid w:val="25A70BF7"/>
    <w:multiLevelType w:val="hybridMultilevel"/>
    <w:lvl w:ilvl="0">
      <w:lvlJc w:val="left"/>
      <w:lvlText w:val="(%1)"/>
      <w:numFmt w:val="decimal"/>
      <w:start w:val="1"/>
    </w:lvl>
  </w:abstractNum>
  <w:abstractNum w:abstractNumId="50">
    <w:nsid w:val="1DBABF00"/>
    <w:multiLevelType w:val="hybridMultilevel"/>
    <w:lvl w:ilvl="0">
      <w:lvlJc w:val="left"/>
      <w:lvlText w:val="(%1)"/>
      <w:numFmt w:val="decimal"/>
      <w:start w:val="8"/>
    </w:lvl>
    <w:lvl w:ilvl="1">
      <w:lvlJc w:val="left"/>
      <w:lvlText w:val="(%2)"/>
      <w:numFmt w:val="decimal"/>
      <w:start w:val="1"/>
    </w:lvl>
  </w:abstractNum>
  <w:abstractNum w:abstractNumId="51">
    <w:nsid w:val="4AD084E9"/>
    <w:multiLevelType w:val="hybridMultilevel"/>
    <w:lvl w:ilvl="0">
      <w:lvlJc w:val="left"/>
      <w:lvlText w:val="(%1)"/>
      <w:numFmt w:val="decimal"/>
      <w:start w:val="10"/>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2"/>
    </w:lvl>
  </w:abstractNum>
  <w:abstractNum w:abstractNumId="54">
    <w:nsid w:val="5DB70AE5"/>
    <w:multiLevelType w:val="hybridMultilevel"/>
    <w:lvl w:ilvl="0">
      <w:lvlJc w:val="left"/>
      <w:lvlText w:val="%1."/>
      <w:numFmt w:val="decimal"/>
      <w:start w:val="3"/>
    </w:lvl>
  </w:abstractNum>
  <w:abstractNum w:abstractNumId="55">
    <w:nsid w:val="100F8FCA"/>
    <w:multiLevelType w:val="hybridMultilevel"/>
    <w:lvl w:ilvl="0">
      <w:lvlJc w:val="left"/>
      <w:lvlText w:val="%1."/>
      <w:numFmt w:val="decimal"/>
      <w:start w:val="4"/>
    </w:lvl>
  </w:abstractNum>
  <w:abstractNum w:abstractNumId="56">
    <w:nsid w:val="6590700B"/>
    <w:multiLevelType w:val="hybridMultilevel"/>
    <w:lvl w:ilvl="0">
      <w:lvlJc w:val="left"/>
      <w:lvlText w:val="%1."/>
      <w:numFmt w:val="decimal"/>
      <w:start w:val="5"/>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6"/>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1."/>
      <w:numFmt w:val="decimal"/>
      <w:start w:val="7"/>
    </w:lvl>
  </w:abstractNum>
  <w:abstractNum w:abstractNumId="61">
    <w:nsid w:val="6B94764"/>
    <w:multiLevelType w:val="hybridMultilevel"/>
    <w:lvl w:ilvl="0">
      <w:lvlJc w:val="left"/>
      <w:lvlText w:val="%1."/>
      <w:numFmt w:val="decimal"/>
      <w:start w:val="8"/>
    </w:lvl>
  </w:abstractNum>
  <w:abstractNum w:abstractNumId="62">
    <w:nsid w:val="42C296BD"/>
    <w:multiLevelType w:val="hybridMultilevel"/>
    <w:lvl w:ilvl="0">
      <w:lvlJc w:val="left"/>
      <w:lvlText w:val="%1."/>
      <w:numFmt w:val="decimal"/>
      <w:start w:val="9"/>
    </w:lvl>
  </w:abstractNum>
  <w:abstractNum w:abstractNumId="63">
    <w:nsid w:val="168E121F"/>
    <w:multiLevelType w:val="hybridMultilevel"/>
    <w:lvl w:ilvl="0">
      <w:lvlJc w:val="left"/>
      <w:lvlText w:val="%1."/>
      <w:numFmt w:val="decimal"/>
      <w:start w:val="10"/>
    </w:lvl>
  </w:abstractNum>
  <w:abstractNum w:abstractNumId="64">
    <w:nsid w:val="1EBA5D23"/>
    <w:multiLevelType w:val="hybridMultilevel"/>
    <w:lvl w:ilvl="0">
      <w:lvlJc w:val="left"/>
      <w:lvlText w:val="(%1)"/>
      <w:numFmt w:val="upperLetter"/>
      <w:start w:val="2"/>
    </w:lvl>
  </w:abstractNum>
  <w:abstractNum w:abstractNumId="65">
    <w:nsid w:val="661E3F1E"/>
    <w:multiLevelType w:val="hybridMultilevel"/>
    <w:lvl w:ilvl="0">
      <w:lvlJc w:val="left"/>
      <w:lvlText w:val="%1."/>
      <w:numFmt w:val="decimal"/>
      <w:start w:val="11"/>
    </w:lvl>
  </w:abstractNum>
  <w:abstractNum w:abstractNumId="66">
    <w:nsid w:val="5DC79EA8"/>
    <w:multiLevelType w:val="hybridMultilevel"/>
    <w:lvl w:ilvl="0">
      <w:lvlJc w:val="left"/>
      <w:lvlText w:val="%1."/>
      <w:numFmt w:val="decimal"/>
      <w:start w:val="12"/>
    </w:lvl>
  </w:abstractNum>
  <w:abstractNum w:abstractNumId="67">
    <w:nsid w:val="540A471C"/>
    <w:multiLevelType w:val="hybridMultilevel"/>
    <w:lvl w:ilvl="0">
      <w:lvlJc w:val="left"/>
      <w:lvlText w:val="%1."/>
      <w:numFmt w:val="decimal"/>
      <w:start w:val="13"/>
    </w:lvl>
  </w:abstractNum>
  <w:abstractNum w:abstractNumId="68">
    <w:nsid w:val="7BD3EE7B"/>
    <w:multiLevelType w:val="hybridMultilevel"/>
    <w:lvl w:ilvl="0">
      <w:lvlJc w:val="left"/>
      <w:lvlText w:val="%1."/>
      <w:numFmt w:val="decimal"/>
      <w:start w:val="14"/>
    </w:lvl>
  </w:abstractNum>
  <w:abstractNum w:abstractNumId="69">
    <w:nsid w:val="51D9C564"/>
    <w:multiLevelType w:val="hybridMultilevel"/>
    <w:lvl w:ilvl="0">
      <w:lvlJc w:val="left"/>
      <w:lvlText w:val="%1."/>
      <w:numFmt w:val="decimal"/>
      <w:start w:val="15"/>
    </w:lvl>
  </w:abstractNum>
  <w:abstractNum w:abstractNumId="70">
    <w:nsid w:val="613EFDC5"/>
    <w:multiLevelType w:val="hybridMultilevel"/>
    <w:lvl w:ilvl="0">
      <w:lvlJc w:val="left"/>
      <w:lvlText w:val="%1."/>
      <w:numFmt w:val="decimal"/>
      <w:start w:val="16"/>
    </w:lvl>
  </w:abstractNum>
  <w:abstractNum w:abstractNumId="71">
    <w:nsid w:val="BF72B14"/>
    <w:multiLevelType w:val="hybridMultilevel"/>
    <w:lvl w:ilvl="0">
      <w:lvlJc w:val="left"/>
      <w:lvlText w:val="%1."/>
      <w:numFmt w:val="decimal"/>
      <w:start w:val="17"/>
    </w:lvl>
  </w:abstractNum>
  <w:abstractNum w:abstractNumId="72">
    <w:nsid w:val="11447B73"/>
    <w:multiLevelType w:val="hybridMultilevel"/>
    <w:lvl w:ilvl="0">
      <w:lvlJc w:val="left"/>
      <w:lvlText w:val="%1."/>
      <w:numFmt w:val="decimal"/>
      <w:start w:val="18"/>
    </w:lvl>
  </w:abstractNum>
  <w:abstractNum w:abstractNumId="73">
    <w:nsid w:val="42963E5A"/>
    <w:multiLevelType w:val="hybridMultilevel"/>
    <w:lvl w:ilvl="0">
      <w:lvlJc w:val="left"/>
      <w:lvlText w:val="%1."/>
      <w:numFmt w:val="decimal"/>
      <w:start w:val="19"/>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lowerRoman"/>
      <w:start w:val="1"/>
    </w:lvl>
  </w:abstractNum>
  <w:abstractNum w:abstractNumId="76">
    <w:nsid w:val="1A32234B"/>
    <w:multiLevelType w:val="hybridMultilevel"/>
    <w:lvl w:ilvl="0">
      <w:lvlJc w:val="left"/>
      <w:lvlText w:val="(%1)"/>
      <w:numFmt w:val="lowerRoman"/>
      <w:start w:val="2"/>
    </w:lvl>
  </w:abstractNum>
  <w:abstractNum w:abstractNumId="77">
    <w:nsid w:val="3B0FD379"/>
    <w:multiLevelType w:val="hybridMultilevel"/>
    <w:lvl w:ilvl="0">
      <w:lvlJc w:val="left"/>
      <w:lvlText w:val="(%1)"/>
      <w:numFmt w:val="lowerRoman"/>
      <w:start w:val="4"/>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lowerRoman"/>
      <w:start w:val="7"/>
    </w:lvl>
  </w:abstractNum>
  <w:abstractNum w:abstractNumId="80">
    <w:nsid w:val="60B6DF7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15" Type="http://schemas.openxmlformats.org/officeDocument/2006/relationships/hyperlink" Target="http://www.sec.gov/Archives/edgar/data/823768/0000950129-97-00390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2022-05-03T15:51:52Z</dcterms:created>
  <dcterms:modified xsi:type="dcterms:W3CDTF">2022-05-03T15:51:52Z</dcterms:modified>
</cp:coreProperties>
</file>