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0058-2_424b5.htm"/>
        <w:bookmarkStart w:id="1" w:name="kstm2320058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File No. 333-264493</w:t>
      </w:r>
      <w:r>
        <w:rPr>
          <w:rFonts w:ascii="Times New Roman;Times;serif" w:hAnsi="Times New Roman;Times;serif"/>
          <w:b/>
          <w:i w:val="false"/>
          <w:caps w:val="false"/>
          <w:smallCaps w:val="false"/>
          <w:color w:val="000000"/>
          <w:sz w:val="20"/>
        </w:rPr>
        <w:t>​</w:t>
      </w:r>
    </w:p>
    <w:p>
      <w:pPr>
        <w:pStyle w:val="TextBody"/>
        <w:bidi w:val="0"/>
        <w:spacing w:lineRule="atLeast" w:line="23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April 26, 2022)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$2,000,000,000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14" w:after="283"/>
        <w:jc w:val="center"/>
        <w:rPr>
          <w:caps w:val="false"/>
          <w:smallCaps w:val="false"/>
          <w:color w:val="000000"/>
        </w:rPr>
      </w:pPr>
      <w:r>
        <w:rPr>
          <w:caps w:val="false"/>
          <w:smallCaps w:val="false"/>
          <w:color w:val="000000"/>
        </w:rPr>
        <w:drawing>
          <wp:inline distT="0" distB="0" distL="0" distR="0">
            <wp:extent cx="24765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6572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$750,000,000 4.875% Senior Notes due 2029</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$1,250,000,000 4.875% Senior Notes due 2034</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56"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are offering $2,000,000,000 of our senior notes, consisting of $750,000,000 of our 4.875% senior notes due 2029 (the “2029 notes”) and $1,250,000,000 of our 4.875% senior notes due 2034 (the “2034 notes” and, together with the 2029 notes, the “notes”). Interest on the notes will accrue from August 3, 2023 and will be payable on February 15 and August 15 of each year, beginning February 15, 2024. The 2029 notes will mature on February 15, 2029 and the 2034 notes will mature on February 15, 2034.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may redeem each series of the notes, in whole or in part, at any time at the redemption prices described beginning on page S-12. If a change of control triggering event as described beginning on page S-15 occurs, we may be required to offer to purchase the notes of each series from holders. </w:t>
      </w:r>
    </w:p>
    <w:p>
      <w:pPr>
        <w:pStyle w:val="TextBody"/>
        <w:bidi w:val="0"/>
        <w:spacing w:lineRule="atLeast" w:line="210" w:before="80" w:after="283"/>
        <w:ind w:left="1393" w:right="0" w:firstLine="400"/>
        <w:jc w:val="left"/>
        <w:rPr/>
      </w:pPr>
      <w:r>
        <w:rPr>
          <w:rFonts w:ascii="Times New Roman;Times;serif" w:hAnsi="Times New Roman;Times;serif"/>
          <w:b/>
          <w:i w:val="false"/>
          <w:caps w:val="false"/>
          <w:smallCaps w:val="false"/>
          <w:color w:val="000000"/>
          <w:spacing w:val="-4"/>
          <w:sz w:val="19"/>
        </w:rPr>
        <w:t>Investing in the notes involves risks. See “</w:t>
      </w:r>
      <w:r>
        <w:rPr>
          <w:rFonts w:ascii="Times New Roman;Times;serif" w:hAnsi="Times New Roman;Times;serif"/>
          <w:b/>
          <w:i/>
          <w:caps w:val="false"/>
          <w:smallCaps w:val="false"/>
          <w:color w:val="000000"/>
          <w:spacing w:val="-4"/>
          <w:sz w:val="19"/>
        </w:rPr>
        <w:t>Risk Factors</w:t>
      </w:r>
      <w:r>
        <w:rPr>
          <w:rFonts w:ascii="Times New Roman;Times;serif" w:hAnsi="Times New Roman;Times;serif"/>
          <w:b/>
          <w:i w:val="false"/>
          <w:caps w:val="false"/>
          <w:smallCaps w:val="false"/>
          <w:color w:val="000000"/>
          <w:spacing w:val="-4"/>
          <w:sz w:val="19"/>
        </w:rPr>
        <w:t xml:space="preserve">” beginning on page </w:t>
      </w:r>
      <w:hyperlink w:anchor="tRIFA">
        <w:r>
          <w:rPr>
            <w:rStyle w:val="InternetLink"/>
          </w:rPr>
          <w:t>S-5</w:t>
        </w:r>
      </w:hyperlink>
      <w:r>
        <w:rPr>
          <w:rFonts w:ascii="Times New Roman;Times;serif" w:hAnsi="Times New Roman;Times;serif"/>
          <w:b/>
          <w:i w:val="false"/>
          <w:caps w:val="false"/>
          <w:smallCaps w:val="false"/>
          <w:color w:val="000000"/>
          <w:spacing w:val="-4"/>
          <w:sz w:val="19"/>
        </w:rPr>
        <w:t xml:space="preserve"> of this prospectus supplement and page </w:t>
      </w:r>
      <w:hyperlink w:anchor="bRIFA">
        <w:r>
          <w:rPr>
            <w:rStyle w:val="InternetLink"/>
          </w:rPr>
          <w:t>8</w:t>
        </w:r>
      </w:hyperlink>
      <w:r>
        <w:rPr>
          <w:rFonts w:ascii="Times New Roman;Times;serif" w:hAnsi="Times New Roman;Times;serif"/>
          <w:b/>
          <w:i w:val="false"/>
          <w:caps w:val="false"/>
          <w:smallCaps w:val="false"/>
          <w:color w:val="000000"/>
          <w:spacing w:val="-4"/>
          <w:sz w:val="19"/>
        </w:rPr>
        <w:t xml:space="preserve"> of the accompanying prospectus.</w:t>
      </w:r>
      <w:r>
        <w:rPr>
          <w:rFonts w:ascii="Times New Roman;Times;serif" w:hAnsi="Times New Roman;Times;serif"/>
          <w:b/>
          <w:i w:val="false"/>
          <w:caps w:val="false"/>
          <w:smallCaps w:val="false"/>
          <w:color w:val="000000"/>
          <w:spacing w:val="4"/>
          <w:sz w:val="19"/>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58" w:after="283"/>
        <w:ind w:left="1393"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28" w:type="dxa"/>
          <w:right w:w="0" w:type="dxa"/>
        </w:tblCellMar>
      </w:tblPr>
      <w:tblGrid>
        <w:gridCol w:w="1565"/>
        <w:gridCol w:w="109"/>
        <w:gridCol w:w="109"/>
        <w:gridCol w:w="109"/>
        <w:gridCol w:w="109"/>
        <w:gridCol w:w="776"/>
        <w:gridCol w:w="109"/>
        <w:gridCol w:w="109"/>
        <w:gridCol w:w="109"/>
        <w:gridCol w:w="109"/>
        <w:gridCol w:w="226"/>
        <w:gridCol w:w="1309"/>
        <w:gridCol w:w="109"/>
        <w:gridCol w:w="109"/>
        <w:gridCol w:w="109"/>
        <w:gridCol w:w="109"/>
        <w:gridCol w:w="109"/>
        <w:gridCol w:w="776"/>
        <w:gridCol w:w="109"/>
        <w:gridCol w:w="109"/>
        <w:gridCol w:w="109"/>
        <w:gridCol w:w="109"/>
        <w:gridCol w:w="226"/>
        <w:gridCol w:w="1489"/>
        <w:gridCol w:w="109"/>
        <w:gridCol w:w="109"/>
        <w:gridCol w:w="109"/>
        <w:gridCol w:w="109"/>
        <w:gridCol w:w="156"/>
      </w:tblGrid>
      <w:tr>
        <w:trPr/>
        <w:tc>
          <w:tcPr>
            <w:tcW w:w="15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7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5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5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99.314%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 xml:space="preserve">744,855,000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98.502%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9" w:type="dxa"/>
            <w:tcBorders/>
            <w:shd w:fill="CCEEFF" w:val="clear"/>
            <w:tcMar>
              <w:bottom w:w="0" w:type="dxa"/>
            </w:tcMar>
            <w:vAlign w:val="center"/>
          </w:tcPr>
          <w:p>
            <w:pPr>
              <w:pStyle w:val="TableContents"/>
              <w:bidi w:val="0"/>
              <w:spacing w:before="0" w:after="283"/>
              <w:jc w:val="right"/>
              <w:rPr/>
            </w:pPr>
            <w:r>
              <w:rPr/>
              <w:t xml:space="preserve">1,231,275,000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74" w:type="dxa"/>
            <w:gridSpan w:val="3"/>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2,625,000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0.650%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9" w:type="dxa"/>
            <w:tcBorders/>
            <w:tcMar>
              <w:bottom w:w="0" w:type="dxa"/>
            </w:tcMar>
            <w:vAlign w:val="center"/>
          </w:tcPr>
          <w:p>
            <w:pPr>
              <w:pStyle w:val="TableContents"/>
              <w:bidi w:val="0"/>
              <w:spacing w:before="0" w:after="283"/>
              <w:jc w:val="right"/>
              <w:rPr/>
            </w:pPr>
            <w:r>
              <w:rPr/>
              <w:t xml:space="preserve">8,125,000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(excluding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98.964%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742,230,000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97.852%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9" w:type="dxa"/>
            <w:tcBorders/>
            <w:shd w:fill="CCEEFF" w:val="clear"/>
            <w:tcMar>
              <w:bottom w:w="0" w:type="dxa"/>
            </w:tcMar>
            <w:vAlign w:val="center"/>
          </w:tcPr>
          <w:p>
            <w:pPr>
              <w:pStyle w:val="TableContents"/>
              <w:bidi w:val="0"/>
              <w:spacing w:before="0" w:after="283"/>
              <w:jc w:val="right"/>
              <w:rPr/>
            </w:pPr>
            <w:r>
              <w:rPr/>
              <w:t>1,223,150,000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74" w:type="dxa"/>
            <w:gridSpan w:val="3"/>
            <w:tcBorders/>
            <w:shd w:fill="CCEEFF" w:val="clear"/>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August 3, 2023, if delivery occurs after that date. </w:t>
      </w:r>
      <w:r>
        <mc:AlternateContent>
          <mc:Choice Requires="wps">
            <w:drawing>
              <wp:anchor behindDoc="0" distT="99060" distB="0" distL="0" distR="0" simplePos="0" locked="0" layoutInCell="1" allowOverlap="1" relativeHeight="2">
                <wp:simplePos x="0" y="0"/>
                <wp:positionH relativeFrom="column">
                  <wp:align>left</wp:align>
                </wp:positionH>
                <wp:positionV relativeFrom="line">
                  <wp:align>top</wp:align>
                </wp:positionV>
                <wp:extent cx="254000" cy="29337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notes will not be listed on any securities exchange. Currently, there is no public market for the notes. </w:t>
      </w:r>
    </w:p>
    <w:p>
      <w:pPr>
        <w:pStyle w:val="TextBody"/>
        <w:bidi w:val="0"/>
        <w:spacing w:lineRule="atLeast" w:line="21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underwriters expect to deliver the notes to investors on or about August 3, 2023 only in book-entry form through the facilities of The Depository Trust Company and its participants, including Clearstream Banking S.A. and Euroclear Bank SA/NV, as operator of the Euroclear System. </w:t>
      </w:r>
    </w:p>
    <w:p>
      <w:pPr>
        <w:pStyle w:val="TextBody"/>
        <w:bidi w:val="0"/>
        <w:spacing w:lineRule="atLeast" w:line="220" w:before="8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Joint Book-Running Managers </w:t>
      </w:r>
    </w:p>
    <w:tbl>
      <w:tblPr>
        <w:tblW w:w="5754" w:type="dxa"/>
        <w:jc w:val="left"/>
        <w:tblInd w:w="1393" w:type="dxa"/>
        <w:tblLayout w:type="fixed"/>
        <w:tblCellMar>
          <w:top w:w="0" w:type="dxa"/>
          <w:left w:w="0" w:type="dxa"/>
          <w:bottom w:w="0" w:type="dxa"/>
          <w:right w:w="0" w:type="dxa"/>
        </w:tblCellMar>
      </w:tblPr>
      <w:tblGrid>
        <w:gridCol w:w="124"/>
        <w:gridCol w:w="949"/>
        <w:gridCol w:w="109"/>
        <w:gridCol w:w="109"/>
        <w:gridCol w:w="1609"/>
        <w:gridCol w:w="109"/>
        <w:gridCol w:w="109"/>
        <w:gridCol w:w="2482"/>
        <w:gridCol w:w="154"/>
      </w:tblGrid>
      <w:tr>
        <w:trPr/>
        <w:tc>
          <w:tcPr>
            <w:tcW w:w="124"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left"/>
              <w:rPr>
                <w:spacing w:val="-6"/>
              </w:rPr>
            </w:pPr>
            <w:r>
              <w:rPr>
                <w:spacing w:val="-6"/>
              </w:rPr>
              <w:t xml:space="preserve">Barclays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283"/>
              <w:jc w:val="left"/>
              <w:rPr>
                <w:spacing w:val="-6"/>
              </w:rPr>
            </w:pPr>
            <w:r>
              <w:rPr>
                <w:spacing w:val="-6"/>
              </w:rPr>
              <w:t xml:space="preserve">BofA Securities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right"/>
              <w:rPr/>
            </w:pPr>
            <w:r>
              <w:rPr>
                <w:spacing w:val="-6"/>
              </w:rPr>
              <w:t>Deutsche Bank Securities</w:t>
            </w:r>
            <w:r>
              <w:rPr/>
              <w:t xml:space="preserve"> </w:t>
            </w:r>
          </w:p>
        </w:tc>
        <w:tc>
          <w:tcPr>
            <w:tcW w:w="154" w:type="dxa"/>
            <w:tcBorders/>
            <w:vAlign w:val="center"/>
          </w:tcPr>
          <w:p>
            <w:pPr>
              <w:pStyle w:val="TableContents"/>
              <w:bidi w:val="0"/>
              <w:spacing w:before="0" w:after="283"/>
              <w:jc w:val="left"/>
              <w:rPr/>
            </w:pPr>
            <w:r>
              <w:rPr/>
              <w:t>​</w:t>
            </w:r>
          </w:p>
        </w:tc>
      </w:tr>
    </w:tbl>
    <w:tbl>
      <w:tblPr>
        <w:tblW w:w="4398" w:type="dxa"/>
        <w:jc w:val="left"/>
        <w:tblInd w:w="1393" w:type="dxa"/>
        <w:tblLayout w:type="fixed"/>
        <w:tblCellMar>
          <w:top w:w="0" w:type="dxa"/>
          <w:left w:w="0" w:type="dxa"/>
          <w:bottom w:w="0" w:type="dxa"/>
          <w:right w:w="0" w:type="dxa"/>
        </w:tblCellMar>
      </w:tblPr>
      <w:tblGrid>
        <w:gridCol w:w="124"/>
        <w:gridCol w:w="2740"/>
        <w:gridCol w:w="109"/>
        <w:gridCol w:w="109"/>
        <w:gridCol w:w="1162"/>
        <w:gridCol w:w="154"/>
      </w:tblGrid>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283"/>
              <w:jc w:val="left"/>
              <w:rPr>
                <w:spacing w:val="-6"/>
              </w:rPr>
            </w:pPr>
            <w:r>
              <w:rPr>
                <w:spacing w:val="-6"/>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0"/>
              <w:jc w:val="right"/>
              <w:rPr/>
            </w:pPr>
            <w:r>
              <w:rPr>
                <w:spacing w:val="-6"/>
              </w:rPr>
              <w:t>Scotiabank</w:t>
            </w:r>
            <w:r>
              <w:rPr/>
              <w:t xml:space="preserve"> </w:t>
            </w:r>
          </w:p>
        </w:tc>
        <w:tc>
          <w:tcPr>
            <w:tcW w:w="154" w:type="dxa"/>
            <w:tcBorders/>
            <w:vAlign w:val="center"/>
          </w:tcPr>
          <w:p>
            <w:pPr>
              <w:pStyle w:val="TableContents"/>
              <w:bidi w:val="0"/>
              <w:spacing w:before="0" w:after="283"/>
              <w:jc w:val="left"/>
              <w:rPr/>
            </w:pPr>
            <w:r>
              <w:rPr/>
              <w:t>​</w:t>
            </w:r>
          </w:p>
        </w:tc>
      </w:tr>
    </w:tbl>
    <w:tbl>
      <w:tblPr>
        <w:tblW w:w="7227" w:type="dxa"/>
        <w:jc w:val="left"/>
        <w:tblInd w:w="1393" w:type="dxa"/>
        <w:tblLayout w:type="fixed"/>
        <w:tblCellMar>
          <w:top w:w="0" w:type="dxa"/>
          <w:left w:w="0" w:type="dxa"/>
          <w:bottom w:w="0" w:type="dxa"/>
          <w:right w:w="0" w:type="dxa"/>
        </w:tblCellMar>
      </w:tblPr>
      <w:tblGrid>
        <w:gridCol w:w="124"/>
        <w:gridCol w:w="1693"/>
        <w:gridCol w:w="109"/>
        <w:gridCol w:w="109"/>
        <w:gridCol w:w="853"/>
        <w:gridCol w:w="109"/>
        <w:gridCol w:w="109"/>
        <w:gridCol w:w="2137"/>
        <w:gridCol w:w="109"/>
        <w:gridCol w:w="109"/>
        <w:gridCol w:w="1612"/>
        <w:gridCol w:w="154"/>
      </w:tblGrid>
      <w:tr>
        <w:trPr/>
        <w:tc>
          <w:tcPr>
            <w:tcW w:w="124"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283"/>
              <w:jc w:val="left"/>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tcBorders/>
            <w:vAlign w:val="center"/>
          </w:tcPr>
          <w:p>
            <w:pPr>
              <w:pStyle w:val="TableContents"/>
              <w:bidi w:val="0"/>
              <w:spacing w:before="0" w:after="0"/>
              <w:jc w:val="center"/>
              <w:rPr/>
            </w:pPr>
            <w:r>
              <w:rPr>
                <w:spacing w:val="-6"/>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7" w:type="dxa"/>
            <w:tcBorders/>
            <w:vAlign w:val="center"/>
          </w:tcPr>
          <w:p>
            <w:pPr>
              <w:pStyle w:val="TableContents"/>
              <w:bidi w:val="0"/>
              <w:spacing w:before="0" w:after="0"/>
              <w:jc w:val="center"/>
              <w:rPr/>
            </w:pPr>
            <w:r>
              <w:rPr>
                <w:spacing w:val="-6"/>
              </w:rPr>
              <w:t>RBC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right"/>
              <w:rPr/>
            </w:pPr>
            <w:r>
              <w:rPr>
                <w:spacing w:val="-6"/>
              </w:rPr>
              <w:t>Truist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36" w:after="283"/>
        <w:ind w:left="1393" w:right="0" w:hanging="0"/>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Co-Managers </w:t>
      </w:r>
    </w:p>
    <w:tbl>
      <w:tblPr>
        <w:tblW w:w="8812" w:type="dxa"/>
        <w:jc w:val="left"/>
        <w:tblInd w:w="1393" w:type="dxa"/>
        <w:tblLayout w:type="fixed"/>
        <w:tblCellMar>
          <w:top w:w="0" w:type="dxa"/>
          <w:left w:w="0" w:type="dxa"/>
          <w:bottom w:w="0" w:type="dxa"/>
          <w:right w:w="0" w:type="dxa"/>
        </w:tblCellMar>
      </w:tblPr>
      <w:tblGrid>
        <w:gridCol w:w="124"/>
        <w:gridCol w:w="2375"/>
        <w:gridCol w:w="109"/>
        <w:gridCol w:w="109"/>
        <w:gridCol w:w="1692"/>
        <w:gridCol w:w="109"/>
        <w:gridCol w:w="109"/>
        <w:gridCol w:w="2430"/>
        <w:gridCol w:w="109"/>
        <w:gridCol w:w="109"/>
        <w:gridCol w:w="1381"/>
        <w:gridCol w:w="156"/>
      </w:tblGrid>
      <w:tr>
        <w:trPr/>
        <w:tc>
          <w:tcPr>
            <w:tcW w:w="124"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lineRule="atLeast" w:line="264" w:before="0" w:after="0"/>
              <w:jc w:val="left"/>
              <w:rPr/>
            </w:pPr>
            <w:r>
              <w:rPr>
                <w:spacing w:val="-4"/>
              </w:rPr>
              <w:t xml:space="preserve">J.P. Morgan </w:t>
            </w:r>
            <w:r>
              <w:rPr/>
              <w:br/>
            </w:r>
            <w:r>
              <w:rPr>
                <w:spacing w:val="-4"/>
              </w:rPr>
              <w:t>CastleOak Securities, L.P.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2" w:type="dxa"/>
            <w:tcBorders/>
            <w:vAlign w:val="center"/>
          </w:tcPr>
          <w:p>
            <w:pPr>
              <w:pStyle w:val="TableContents"/>
              <w:bidi w:val="0"/>
              <w:spacing w:lineRule="atLeast" w:line="264" w:before="0" w:after="0"/>
              <w:jc w:val="center"/>
              <w:rPr/>
            </w:pPr>
            <w:r>
              <w:rPr>
                <w:spacing w:val="-4"/>
              </w:rPr>
              <w:t>Mizuho</w:t>
            </w:r>
            <w:r>
              <w:rPr/>
              <w:t xml:space="preserve"> </w:t>
              <w:br/>
            </w:r>
            <w:r>
              <w:rPr>
                <w:spacing w:val="-4"/>
              </w:rPr>
              <w:t>CAVU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30" w:type="dxa"/>
            <w:tcBorders/>
            <w:vAlign w:val="center"/>
          </w:tcPr>
          <w:p>
            <w:pPr>
              <w:pStyle w:val="TableContents"/>
              <w:bidi w:val="0"/>
              <w:spacing w:lineRule="atLeast" w:line="264" w:before="0" w:after="0"/>
              <w:jc w:val="center"/>
              <w:rPr/>
            </w:pPr>
            <w:r>
              <w:rPr>
                <w:spacing w:val="-4"/>
              </w:rPr>
              <w:t>PNC Capital Markets LLC</w:t>
            </w:r>
            <w:r>
              <w:rPr/>
              <w:t xml:space="preserve"> </w:t>
              <w:br/>
            </w:r>
            <w:r>
              <w:rPr>
                <w:spacing w:val="-4"/>
              </w:rPr>
              <w:t>Loop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lineRule="atLeast" w:line="264" w:before="0" w:after="0"/>
              <w:jc w:val="right"/>
              <w:rPr/>
            </w:pPr>
            <w:r>
              <w:rPr>
                <w:spacing w:val="-4"/>
              </w:rPr>
              <w:t>SMBC Nikko</w:t>
            </w:r>
            <w:r>
              <w:rPr/>
              <w:t xml:space="preserve"> </w:t>
              <w:br/>
            </w:r>
            <w:r>
              <w:rPr>
                <w:spacing w:val="-4"/>
              </w:rPr>
              <w:t>Stern</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20" w:before="236" w:after="283"/>
        <w:ind w:left="1393" w:right="0" w:hanging="0"/>
        <w:jc w:val="center"/>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July 27, 2023</w:t>
      </w:r>
      <w:r>
        <w:rPr>
          <w:rFonts w:ascii="Times New Roman;Times;serif" w:hAnsi="Times New Roman;Time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41"/>
        <w:gridCol w:w="109"/>
        <w:gridCol w:w="109"/>
        <w:gridCol w:w="109"/>
        <w:gridCol w:w="109"/>
        <w:gridCol w:w="571"/>
        <w:gridCol w:w="109"/>
        <w:gridCol w:w="155"/>
      </w:tblGrid>
      <w:tr>
        <w:trPr/>
        <w:tc>
          <w:tcPr>
            <w:tcW w:w="75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41" w:type="dxa"/>
            <w:tcBorders/>
            <w:shd w:fill="CCEEFF" w:val="clear"/>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1"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S-1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1"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hyperlink w:anchor="tRIFA">
              <w:r>
                <w:rPr>
                  <w:rStyle w:val="InternetLink"/>
                  <w:spacing w:val="4"/>
                </w:rPr>
                <w:t>S-5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1"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1"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S-8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1" w:type="dxa"/>
            <w:tcBorders/>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hyperlink w:anchor="tCAP">
              <w:r>
                <w:rPr>
                  <w:rStyle w:val="InternetLink"/>
                  <w:spacing w:val="4"/>
                </w:rPr>
                <w:t>S-9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1" w:type="dxa"/>
            <w:tcBorders/>
            <w:shd w:fill="CCEEFF" w:val="clear"/>
            <w:tcMar>
              <w:bottom w:w="0" w:type="dxa"/>
            </w:tcMar>
            <w:vAlign w:val="center"/>
          </w:tcPr>
          <w:p>
            <w:pPr>
              <w:pStyle w:val="TableContents"/>
              <w:bidi w:val="0"/>
              <w:spacing w:before="0" w:after="0"/>
              <w:jc w:val="left"/>
              <w:rPr/>
            </w:pPr>
            <w:hyperlink w:anchor="t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1" w:type="dxa"/>
            <w:tcBorders/>
            <w:shd w:fill="CCEEFF" w:val="clear"/>
            <w:tcMar>
              <w:bottom w:w="0" w:type="dxa"/>
            </w:tcMar>
            <w:vAlign w:val="center"/>
          </w:tcPr>
          <w:p>
            <w:pPr>
              <w:pStyle w:val="TableContents"/>
              <w:bidi w:val="0"/>
              <w:spacing w:before="0" w:after="283"/>
              <w:jc w:val="right"/>
              <w:rPr/>
            </w:pPr>
            <w:hyperlink w:anchor="tDON">
              <w:r>
                <w:rPr>
                  <w:rStyle w:val="InternetLink"/>
                  <w:spacing w:val="4"/>
                </w:rPr>
                <w:t>S-11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1" w:type="dxa"/>
            <w:tcBorders/>
            <w:tcMar>
              <w:bottom w:w="0" w:type="dxa"/>
            </w:tcMar>
            <w:vAlign w:val="center"/>
          </w:tcPr>
          <w:p>
            <w:pPr>
              <w:pStyle w:val="TableContents"/>
              <w:bidi w:val="0"/>
              <w:spacing w:before="0" w:after="0"/>
              <w:jc w:val="left"/>
              <w:rPr/>
            </w:pPr>
            <w:hyperlink w:anchor="tCUFT">
              <w:r>
                <w:rPr>
                  <w:rStyle w:val="InternetLink"/>
                  <w:spacing w:val="4"/>
                </w:rPr>
                <w:t xml:space="preserve">CERTAIN U.S. FEDERAL TAX CONSIDERATIONS FOR NON-U.S. 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hyperlink w:anchor="tCUFT">
              <w:r>
                <w:rPr>
                  <w:rStyle w:val="InternetLink"/>
                  <w:spacing w:val="4"/>
                </w:rPr>
                <w:t>S-22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1" w:type="dxa"/>
            <w:tcBorders/>
            <w:shd w:fill="CCEEFF" w:val="clear"/>
            <w:tcMar>
              <w:bottom w:w="0" w:type="dxa"/>
            </w:tcMar>
            <w:vAlign w:val="center"/>
          </w:tcPr>
          <w:p>
            <w:pPr>
              <w:pStyle w:val="TableContents"/>
              <w:bidi w:val="0"/>
              <w:spacing w:before="0" w:after="0"/>
              <w:jc w:val="left"/>
              <w:rPr/>
            </w:pPr>
            <w:hyperlink w:anchor="t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1" w:type="dxa"/>
            <w:tcBorders/>
            <w:shd w:fill="CCEEFF" w:val="clear"/>
            <w:tcMar>
              <w:bottom w:w="0" w:type="dxa"/>
            </w:tcMar>
            <w:vAlign w:val="center"/>
          </w:tcPr>
          <w:p>
            <w:pPr>
              <w:pStyle w:val="TableContents"/>
              <w:bidi w:val="0"/>
              <w:spacing w:before="0" w:after="283"/>
              <w:jc w:val="right"/>
              <w:rPr/>
            </w:pPr>
            <w:hyperlink w:anchor="tUCOI">
              <w:r>
                <w:rPr>
                  <w:rStyle w:val="InternetLink"/>
                  <w:spacing w:val="4"/>
                </w:rPr>
                <w:t>S-26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1"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hyperlink w:anchor="tLEMA">
              <w:r>
                <w:rPr>
                  <w:rStyle w:val="InternetLink"/>
                  <w:spacing w:val="4"/>
                </w:rPr>
                <w:t>S-33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1"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1"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S-33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1" w:type="dxa"/>
            <w:tcBorders/>
            <w:tcMar>
              <w:bottom w:w="0" w:type="dxa"/>
            </w:tcMar>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hyperlink w:anchor="tIOCD">
              <w:r>
                <w:rPr>
                  <w:rStyle w:val="InternetLink"/>
                  <w:spacing w:val="4"/>
                </w:rPr>
                <w:t>S-34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409" w:type="dxa"/>
        <w:jc w:val="left"/>
        <w:tblInd w:w="1393" w:type="dxa"/>
        <w:tblLayout w:type="fixed"/>
        <w:tblCellMar>
          <w:top w:w="0" w:type="dxa"/>
          <w:left w:w="0" w:type="dxa"/>
          <w:bottom w:w="28" w:type="dxa"/>
          <w:right w:w="0" w:type="dxa"/>
        </w:tblCellMar>
      </w:tblPr>
      <w:tblGrid>
        <w:gridCol w:w="7300"/>
        <w:gridCol w:w="109"/>
        <w:gridCol w:w="109"/>
        <w:gridCol w:w="109"/>
        <w:gridCol w:w="109"/>
        <w:gridCol w:w="410"/>
        <w:gridCol w:w="109"/>
        <w:gridCol w:w="154"/>
      </w:tblGrid>
      <w:tr>
        <w:trPr/>
        <w:tc>
          <w:tcPr>
            <w:tcW w:w="73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FOST">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ATP">
              <w:r>
                <w:rPr>
                  <w:rStyle w:val="InternetLink"/>
                  <w:spacing w:val="4"/>
                </w:rPr>
                <w:t>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WYCF">
              <w:r>
                <w:rPr>
                  <w:rStyle w:val="InternetLink"/>
                  <w:spacing w:val="4"/>
                </w:rPr>
                <w:t>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THCO">
              <w:r>
                <w:rPr>
                  <w:rStyle w:val="InternetLink"/>
                  <w:spacing w:val="4"/>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RIFA">
              <w:r>
                <w:rPr>
                  <w:rStyle w:val="InternetLink"/>
                  <w:spacing w:val="4"/>
                </w:rPr>
                <w:t>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DOTD">
              <w:r>
                <w:rPr>
                  <w:rStyle w:val="InternetLink"/>
                  <w:spacing w:val="4"/>
                </w:rPr>
                <w:t xml:space="preserve">DESCRIPTION OF THE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TD">
              <w:r>
                <w:rPr>
                  <w:rStyle w:val="InternetLink"/>
                  <w:spacing w:val="4"/>
                </w:rPr>
                <w:t>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DOG">
              <w:r>
                <w:rPr>
                  <w:rStyle w:val="InternetLink"/>
                  <w:spacing w:val="4"/>
                </w:rPr>
                <w:t xml:space="preserve">DESCRIPTION OF GUARANTEES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DOG">
              <w:r>
                <w:rPr>
                  <w:rStyle w:val="InternetLink"/>
                  <w:spacing w:val="4"/>
                </w:rPr>
                <w:t>18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CS">
              <w:r>
                <w:rPr>
                  <w:rStyle w:val="InternetLink"/>
                  <w:spacing w:val="4"/>
                </w:rPr>
                <w:t>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DOOS">
              <w:r>
                <w:rPr>
                  <w:rStyle w:val="InternetLink"/>
                  <w:spacing w:val="4"/>
                </w:rPr>
                <w:t xml:space="preserve">DESCRIPTION OF OTHER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DOOS">
              <w:r>
                <w:rPr>
                  <w:rStyle w:val="InternetLink"/>
                  <w:spacing w:val="4"/>
                </w:rPr>
                <w:t>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POD">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SESE">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SESE">
              <w:r>
                <w:rPr>
                  <w:rStyle w:val="InternetLink"/>
                  <w:spacing w:val="4"/>
                </w:rPr>
                <w:t>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LEMA">
              <w:r>
                <w:rPr>
                  <w:rStyle w:val="InternetLink"/>
                  <w:spacing w:val="4"/>
                </w:rPr>
                <w:t>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EXP">
              <w:r>
                <w:rPr>
                  <w:rStyle w:val="InternetLink"/>
                  <w:spacing w:val="4"/>
                </w:rPr>
                <w:t>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As used in this prospectus supplement, the terms “we,” “us” or “our” refer to Waste Management, Inc. and its consolidated subsidiaries and consolidated variable interest entities, taken as a whole, unless the context clearly indicates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Waste Management,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business, we are also a leading developer, operator and owner of landfill gas-to-energy facilities in the U.S. and Canada that produce renewable electricity and renewable natural gas, which is a significant source of fuel that we allocate to our natural gas fleet.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800 Capitol Street, Suite 3000, Houston, Texas 77002. Our telephone number is (713) 512-6200. Our website address is </w:t>
      </w:r>
      <w:r>
        <w:rPr>
          <w:rFonts w:ascii="Times New Roman;Times;serif" w:hAnsi="Times New Roman;Times;serif"/>
          <w:b w:val="false"/>
          <w:i/>
          <w:caps w:val="false"/>
          <w:smallCaps w:val="false"/>
          <w:color w:val="000000"/>
          <w:spacing w:val="4"/>
          <w:sz w:val="20"/>
          <w:bdr w:val="single" w:sz="8" w:space="1" w:color="000000"/>
        </w:rPr>
        <w:t>www.wm.com</w:t>
      </w:r>
      <w:r>
        <w:rPr>
          <w:rFonts w:ascii="Times New Roman;Times;serif" w:hAnsi="Times New Roman;Times;serif"/>
          <w:b w:val="false"/>
          <w:i w:val="false"/>
          <w:caps w:val="false"/>
          <w:smallCaps w:val="false"/>
          <w:color w:val="000000"/>
          <w:spacing w:val="4"/>
          <w:sz w:val="20"/>
          <w:bdr w:val="single" w:sz="8" w:space="1" w:color="000000"/>
        </w:rPr>
        <w:t xml:space="preserve">.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Waste Management Holdings,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Waste Management Holdings, Inc., which we refer to in this prospectus supplement as “WM Holdings,” is a direct wholly owned subsidiary of Waste Management, Inc. WM Holdings is a holding company and all operations are conducted by subsidiaries.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Waste Management, Inc.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$2,000,000,000 aggregate principal amount of notes, consisting of the following series:</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      $750,000,000 aggregate principal amount of 4.875% Senior Notes due 2029</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 xml:space="preserve">      $1,250,000,000 aggregate principal amount of 4.875% Senior Notes due 2034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Subsidiary Guarantees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WM Holdings will fully and unconditionally guarantee, on a senior unsecured basis, the full and prompt payment of the principal and any premium and interest on the notes of each series, when and as they become due and payable, whether at maturity or otherwise.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2029 notes — February 15, 2029</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 xml:space="preserve">2034 notes — February 15, 2034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2029 notes — 4.875% per year</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 xml:space="preserve">2034 notes — 4.875% per year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February 15 and August 15 of each year, beginning February 15, 2024.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elect to redeem and repay any or all of the notes at any time and from time to time in minimum principal amounts of $2,000 or any integral multiple of $1,000 in excess thereof.</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2029 notes — Prior to January 15, 2029, we may redeem the 2029 notes at our option, in whole or in part, at any time and from time to time, at a redemption price equal to the greater of: (1) (a) the sum of the present values of the remaining scheduled payments of principal and interest thereon discounted to the redemption date (assuming the 2029 notes matured on the applicable Par Call Date (as defined under “Description of Notes — Optional Redemption”)) on a semi-annual basis (assuming a 360-day year consisting of twelve 30-day months) at the Treasury Rate (as defined under “Description of Notes — Optional Redemption”) plus 15 basis points, less (b) interest accrued to the redemption date, and (2) 100% of the principal amount of the 2029 notes to be redeemed, plus, in either case, accrued and unpaid interest thereon to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or after January 15, 2029, we may redeem the 2029 notes at our option, in whole or in part, at any time and from time to time, at a redemption price equal to 100% of the principal amount of the 2029 notes to be redeemed, plus accrued and unpaid interest thereon to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2034 notes — Prior to November 15, 2033, we may redeem the 2034 notes at our option, in whole or in part, at any time and from time to time, at a redemption price equal to the greater of: (1) (a) the sum of the present values of the remaining scheduled payments of principal and interest thereon discounted to the redemption date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(assuming the 2034 notes matured on the applicable Par Call Date) on a semi-annual basis (assuming a 360-day year consisting of twelve 30-day months) at the Treasury Rate plus 20 basis points, less (b) interest accrued to the redemption date, and (2) 100% of the principal amount of the 2034 notes to be redeemed, plus, in either case, accrued and unpaid interest thereon to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or after November 15, 2033, we may redeem the 2034 notes at our option, in whole or in part, at any time and from time to time, at a redemption price equal to 100% of the principal amount of the 2034 notes to be redeemed, plus accrued and unpaid interest thereon to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 Optional Redemption”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Offer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triggering event occurs, holders of the notes of each series may require us to purchase all or a portion of such holders’ notes at a price equal to 101% of the principal amount, plus accrued interest, if any, to the date of purchase. See “Description of Notes — Change of Control Offer”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the guarantees will constitute the senior unsecured debt of Waste Management, Inc. and WM Holdings, respectively, and will rank equally with all of our and its other existing and future senior obligations from time to time outstanding.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issue the notes under an indenture containing covenants for your benefit. These covenants restrict our ability, with certain exceptions,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create, incur or assume debt secured by liens; </w:t>
      </w:r>
      <w:r>
        <mc:AlternateContent>
          <mc:Choice Requires="wps">
            <w:drawing>
              <wp:anchor behindDoc="0" distT="102870" distB="0" distL="21336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engage in sale and leaseback transactions; and </w:t>
      </w:r>
      <w:r>
        <mc:AlternateContent>
          <mc:Choice Requires="wps">
            <w:drawing>
              <wp:anchor behindDoc="0" distT="102870" distB="0" distL="21336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 consolidate or transfer all or substantially all of our assets. </w:t>
      </w:r>
      <w:r>
        <mc:AlternateContent>
          <mc:Choice Requires="wps">
            <w:drawing>
              <wp:anchor behindDoc="0" distT="10287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the net proceeds from the offering of the notes to be $1.961 billion, after deducting the underwriting discounts and estimated expenses of the offering that we will pay.</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intend to use the net proceeds from the offering of the notes (i) to repay borrowings under our commercial paper program used for working capital, which is fully supported by our $3.5 billion revolving credit facility, (ii) to repay borrowings under our $1.0 billion, two-year, U.S. term credit agreement maturing May 2024 (“Term Loan”) and (iii) for general corporate purposes.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“Use of Proceeds”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underwriters or their respective affiliates in this offering are lenders to us under our $3.5 billion revolving credit facility and our Term Loan and may receive 5% or more of the net proceeds of this offering by reason of the repayment of amounts outstanding under our commercial paper program, which is fully supported by such credit facility, and our Term Loan. Accordingly, such underwriters are deemed to have a “conflict of interest” within the meaning of Rule 5121 of the Financial Industry Regulatory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Authority, Inc.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Trust Company, N.A.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Issuances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create and issue additional notes of each series ranking equally and ratably with the notes of such series offered by this prospectus supplement in all respects, so that such additional notes will be consolidated and form a single series with the notes of such series offered by this prospectus supplement and will have the same terms, as to status, redemption or otherwise except for the issue date, the initial interest payment date, if applicable, and the payment of interest accruing prior to the issue date of such additional notes; provided, however, that a separate CUSIP or ISIN will be issued for the additional notes unless the notes and the additional notes are fungible for U.S. federal income tax purposes.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page S-5 of this prospectus supplement and page 8 of the accompanying prospectus for a discussion of the risks you should consider before investing in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You should carefully consider the risk factors identified in Part I, Item 1A., “Risk Factors,” of our </w:t>
      </w:r>
      <w:hyperlink r:id="rId3">
        <w:r>
          <w:rPr>
            <w:rStyle w:val="InternetLink"/>
          </w:rPr>
          <w:t>Annual Report on Form 10-K for the year ended December 31, 2022</w:t>
        </w:r>
      </w:hyperlink>
      <w:r>
        <w:rPr>
          <w:rFonts w:ascii="Times New Roman;Times;serif" w:hAnsi="Times New Roman;Times;serif"/>
          <w:b w:val="false"/>
          <w:i/>
          <w:caps w:val="false"/>
          <w:smallCaps w:val="false"/>
          <w:color w:val="000000"/>
          <w:spacing w:val="4"/>
          <w:sz w:val="20"/>
        </w:rPr>
        <w:t xml:space="preserve"> and in Part II, Item 1A., “Risk Factors,” of our </w:t>
      </w:r>
      <w:hyperlink r:id="rId4">
        <w:r>
          <w:rPr>
            <w:rStyle w:val="InternetLink"/>
          </w:rPr>
          <w:t>Quarterly Report on Form 10-Q for the quarter ended March 31, 2023</w:t>
        </w:r>
      </w:hyperlink>
      <w:r>
        <w:rPr>
          <w:rFonts w:ascii="Times New Roman;Times;serif" w:hAnsi="Times New Roman;Times;serif"/>
          <w:b w:val="false"/>
          <w:i/>
          <w:caps w:val="false"/>
          <w:smallCaps w:val="false"/>
          <w:color w:val="000000"/>
          <w:spacing w:val="4"/>
          <w:sz w:val="20"/>
        </w:rPr>
        <w:t xml:space="preserve"> and the risks identified in our other 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substantial indebtedness could impair our financial condition and our ability to fulfill our debt obligations, including our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substantial indebtedness. At June 30, 2023, our ratio of total debt to total capitalization was 68.9%, and we had $15.4 billion of total debt. In addition, as of June 30, 2023, we had approximately $981 million of total letters of credit outstanding under our various facilities and certain bi-lateral agreements, including $179 million of such outstanding letters of credit that were issued under and supported by our $3.5 billion revolving credit facility. Our indebtedness that bears interest at a floating rate makes us vulnerable to changes in interest rates. As of June 30, 2023, we had approximately $3.6 billion of debt maturing within the next 12 months, including: (i) $1.3 billion of short-term borrowings under our commercial paper program (net of related discount on issuance); (ii) our $1.0 billion Term Loan; (iii) $983 million of tax-exempt bonds with term interest rate periods that expire within the next 12 months, which is prior to their scheduled maturities; (iv) $156 million of 3.5% senior notes that mature in May 2024; and (v) $172 million of other debt with scheduled maturities within the next 12 months, including $55 million of tax-exempt bonds. Our level of indebtedness and the covenants contained in the agreements governing our debt could have important consequences, including: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it more difficult for us to satisfy our obligations with respect to the notes and our other indebtedness, which could in turn result in an event of default on such other indebtedness or the notes; </w:t>
      </w:r>
      <w:r>
        <mc:AlternateContent>
          <mc:Choice Requires="wps">
            <w:drawing>
              <wp:anchor behindDoc="0" distT="8255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impairing our ability to obtain additional financing in the future for working capital, capital expenditures, acquisitions, general corporate purposes or other purposes; </w:t>
      </w:r>
      <w:r>
        <mc:AlternateContent>
          <mc:Choice Requires="wps">
            <w:drawing>
              <wp:anchor behindDoc="0" distT="8255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us to dedicate a substantial portion of our cash flow from operations to debt service payments, thereby reducing the availability of cash for working capital, capital expenditures, acquisitions, general corporate purposes or other purposes; </w:t>
      </w:r>
      <w:r>
        <mc:AlternateContent>
          <mc:Choice Requires="wps">
            <w:drawing>
              <wp:anchor behindDoc="0" distT="8255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limiting our flexibility in planning for, or reacting to, changes in our business and the industry in which we operate; and </w:t>
      </w:r>
      <w:r>
        <mc:AlternateContent>
          <mc:Choice Requires="wps">
            <w:drawing>
              <wp:anchor behindDoc="0" distT="8255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placing us at a competitive disadvantage compared to our competitors that have proportionately less debt. </w:t>
      </w:r>
      <w:r>
        <mc:AlternateContent>
          <mc:Choice Requires="wps">
            <w:drawing>
              <wp:anchor behindDoc="0" distT="8255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prohibited under the indenture governing the notes from incurring additional indebtedness. Although our $3.5 billion revolving credit facility and our Term Loan require us to maintain a specified ratio of Total Debt to EBITDA (as defined in each of our $3.5 billion revolving credit facility and our Term Loan), following this offering of notes and the use of proceeds contemplated hereby, we expect to have the ability to incur additional indebtedness while remaining in compliance with this covenant. Our incurrence of additional indebtedness would exacerbate the negative consequences mentioned above, and could adversely affect our ability to service and repay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holding company and we depend upon cash distributions from our subsidiaries to service our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Downgrades in our credit ratings or changes in the debt markets may adversely affect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for the notes will depend on a number of factors,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 ratings with major credit rating agencies; </w:t>
      </w:r>
      <w:r>
        <mc:AlternateContent>
          <mc:Choice Requires="wps">
            <w:drawing>
              <wp:anchor behindDoc="0" distT="7493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prevailing interest rates being paid by other companies similar to us; </w:t>
      </w:r>
      <w:r>
        <mc:AlternateContent>
          <mc:Choice Requires="wps">
            <w:drawing>
              <wp:anchor behindDoc="0" distT="7493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operating performance and future prospects; and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condition of the financial markets and global and domestic economies.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effectively subordinated to certain of our subsidiaries’ debt and our secured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June 30, 2023 was $260 million. As of June 30, 2023, our operating subsidiaries had $2.1 billion of indebtedness and WM Holdings had $223 million of long-term debt (excluding guarantees of $9.2 billion of our senior debt), in each case excluding intercompany loans. For a description of the ranking of the notes, see “Description of Notes — Ranking” in this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Fraudulent transfer statutes may limit your rights under the guarantees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have sufficient funds to purchase the notes upon a change of control triggering event, and this covenant provides limited protection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not be able to sell the notes for a profit or at 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the offering of the notes to be $1.961 billion, after deducting the underwriting discounts and estimated expenses of the offering that we will pay.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offering of the notes (i) to repay borrowings under our commercial paper program used for working capital, which is fully supported by our $3.5 billion revolving credit facility, (ii) to repay borrowings under our Term Loan and (iii) for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underwriters or their respective affiliates in this offering are lenders to us under our $3.5 billion revolving credit facility and our Term Loan and may receive 5% or more of the net proceeds of this offering by reason of the repayment of amounts outstanding under our commercial paper program, which is fully supported by such credit facility, and our Term Loan.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sales of the 2029 notes and the 2034 notes will take place concurrently. However, the sales of the 2029 notes and the 2034 notes are not conditioned upon each other, and we may consummate the sale of one series and not the other or consummate the sales at different times.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Commercial Paper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commercial paper program enables us to borrow up to $3.5 billion, which capacity is reduced by the aggregate amount of borrowings outstanding under our $3.5 billion revolving credit facility, for up to 397 days at competitive interest rates. As of July 25, 2023, we had $1.165 billion of outstanding borrowings under our commercial paper program with a weighted average interest rate of 5.5% and a weighted average maturity of 34.39 days. The proceeds of our commercial paper program were used for general corporate purposes.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 Loan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2022, we entered into our $1.0 billion Term Loan, which has a maturity date of May 27, 2024. As of July 25, 2023, we had $1.0 billion of outstanding borrowings under our Term Loan with an interest rate of 5.9% per annum.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A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consolidated cash and cash equivalents and consolidated capitalization as of June 30, 2023 on an actual basis and as adjusted to give effect to the offering of the notes and the application of the net proceeds thereof (i) to repay borrowings under our commercial paper program used for working capital, which is fully supported by our $3.5 billion revolving credit facility, (ii) to repay borrowings under our Term Loan and (iii) for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 </w:t>
      </w:r>
    </w:p>
    <w:tbl>
      <w:tblPr>
        <w:tblW w:w="8812" w:type="dxa"/>
        <w:jc w:val="left"/>
        <w:tblInd w:w="1393" w:type="dxa"/>
        <w:tblLayout w:type="fixed"/>
        <w:tblCellMar>
          <w:top w:w="0" w:type="dxa"/>
          <w:left w:w="0" w:type="dxa"/>
          <w:bottom w:w="28" w:type="dxa"/>
          <w:right w:w="0" w:type="dxa"/>
        </w:tblCellMar>
      </w:tblPr>
      <w:tblGrid>
        <w:gridCol w:w="5504"/>
        <w:gridCol w:w="109"/>
        <w:gridCol w:w="109"/>
        <w:gridCol w:w="111"/>
        <w:gridCol w:w="231"/>
        <w:gridCol w:w="901"/>
        <w:gridCol w:w="111"/>
        <w:gridCol w:w="111"/>
        <w:gridCol w:w="111"/>
        <w:gridCol w:w="111"/>
        <w:gridCol w:w="231"/>
        <w:gridCol w:w="901"/>
        <w:gridCol w:w="111"/>
        <w:gridCol w:w="160"/>
      </w:tblGrid>
      <w:tr>
        <w:trPr/>
        <w:tc>
          <w:tcPr>
            <w:tcW w:w="55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2023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5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35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0" w:type="dxa"/>
            <w:gridSpan w:val="10"/>
            <w:tcBorders/>
            <w:tcMar>
              <w:bottom w:w="0" w:type="dxa"/>
            </w:tcMar>
            <w:vAlign w:val="center"/>
          </w:tcPr>
          <w:p>
            <w:pPr>
              <w:pStyle w:val="TableContents"/>
              <w:bidi w:val="0"/>
              <w:spacing w:before="0" w:after="0"/>
              <w:jc w:val="center"/>
              <w:rPr>
                <w:spacing w:val="-3"/>
              </w:rPr>
            </w:pPr>
            <w:r>
              <w:rPr>
                <w:spacing w:val="-3"/>
              </w:rPr>
              <w:t xml:space="preserve">(Unaudited, Dollars in millions) </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144</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144</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283"/>
              <w:jc w:val="left"/>
              <w:rPr/>
            </w:pPr>
            <w:r>
              <w:rPr>
                <w:spacing w:val="-4"/>
              </w:rPr>
              <w:t>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200" w:right="0" w:hanging="0"/>
              <w:jc w:val="left"/>
              <w:rPr/>
            </w:pPr>
            <w:r>
              <w:rPr>
                <w:spacing w:val="4"/>
              </w:rPr>
              <w:t>Commercial paper program</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1,345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384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0"/>
              <w:ind w:left="200" w:right="0" w:hanging="0"/>
              <w:jc w:val="left"/>
              <w:rPr/>
            </w:pPr>
            <w:r>
              <w:rPr>
                <w:spacing w:val="4"/>
              </w:rPr>
              <w:t>$3.5 billion revolving credit facility</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200" w:right="0" w:hanging="0"/>
              <w:jc w:val="left"/>
              <w:rPr/>
            </w:pPr>
            <w:r>
              <w:rPr>
                <w:spacing w:val="4"/>
              </w:rPr>
              <w:t>Term Loan</w:t>
            </w:r>
            <w:r>
              <w:rPr>
                <w:spacing w:val="3"/>
                <w:sz w:val="13"/>
              </w:rPr>
              <w:t>(b)</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0"/>
              <w:ind w:left="200" w:right="0" w:hanging="0"/>
              <w:jc w:val="left"/>
              <w:rPr>
                <w:spacing w:val="4"/>
              </w:rPr>
            </w:pPr>
            <w:r>
              <w:rPr>
                <w:spacing w:val="4"/>
              </w:rPr>
              <w:t xml:space="preserve">Senior notes, maturing through 2050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9,376</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9,376</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4.875% Senior Notes due 2029 offered hereby (including unamortized discount)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0"/>
              <w:ind w:left="400" w:right="0" w:hanging="200"/>
              <w:jc w:val="left"/>
              <w:rPr>
                <w:spacing w:val="4"/>
              </w:rPr>
            </w:pPr>
            <w:r>
              <w:rPr>
                <w:spacing w:val="4"/>
              </w:rPr>
              <w:t xml:space="preserve">4.875% Senior Notes due 2034 offered hereby (including unamortized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1,250</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200" w:right="0" w:hanging="0"/>
              <w:jc w:val="left"/>
              <w:rPr/>
            </w:pPr>
            <w:r>
              <w:rPr>
                <w:spacing w:val="4"/>
              </w:rPr>
              <w:t>Canadian senior notes, C$500 million maturing September 2026</w:t>
            </w:r>
            <w:r>
              <w:rPr>
                <w:spacing w:val="3"/>
                <w:sz w:val="13"/>
              </w:rPr>
              <w:t>(c)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378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378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0"/>
              <w:ind w:left="200" w:right="0" w:hanging="0"/>
              <w:jc w:val="left"/>
              <w:rPr/>
            </w:pPr>
            <w:r>
              <w:rPr>
                <w:spacing w:val="4"/>
              </w:rPr>
              <w:t>Tax-exempt bonds, maturing through 2048</w:t>
            </w:r>
            <w:r>
              <w:rPr>
                <w:spacing w:val="3"/>
                <w:sz w:val="13"/>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2,658</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2,658</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Financing leases and other, maturing through 2071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702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702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bottom w:val="single" w:sz="2" w:space="0" w:color="FFFFFF"/>
            </w:tcBorders>
            <w:tcMar>
              <w:bottom w:w="50" w:type="dxa"/>
            </w:tcMar>
            <w:vAlign w:val="center"/>
          </w:tcPr>
          <w:p>
            <w:pPr>
              <w:pStyle w:val="TableContents"/>
              <w:bidi w:val="0"/>
              <w:spacing w:before="0" w:after="0"/>
              <w:ind w:left="200" w:right="0" w:hanging="0"/>
              <w:jc w:val="left"/>
              <w:rPr/>
            </w:pPr>
            <w:r>
              <w:rPr>
                <w:spacing w:val="4"/>
              </w:rPr>
              <w:t>Debt issuance costs, discounts and other</w:t>
            </w:r>
            <w:r>
              <w:rPr>
                <w:spacing w:val="3"/>
                <w:sz w:val="13"/>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1"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(91)</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1"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(91)</w:t>
            </w:r>
          </w:p>
        </w:tc>
        <w:tc>
          <w:tcPr>
            <w:tcW w:w="111"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504"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15,368</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15,407</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283"/>
              <w:jc w:val="left"/>
              <w:rPr/>
            </w:pPr>
            <w:r>
              <w:rPr>
                <w:spacing w:val="-4"/>
              </w:rPr>
              <w:t>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283"/>
              <w:jc w:val="left"/>
              <w:rPr>
                <w:spacing w:val="4"/>
              </w:rPr>
            </w:pPr>
            <w:r>
              <w:rPr>
                <w:spacing w:val="4"/>
              </w:rPr>
              <w:t xml:space="preserve">Waste Management, Inc.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0"/>
              <w:ind w:left="400" w:right="0" w:hanging="200"/>
              <w:jc w:val="left"/>
              <w:rPr>
                <w:spacing w:val="4"/>
              </w:rPr>
            </w:pPr>
            <w:r>
              <w:rPr>
                <w:spacing w:val="4"/>
              </w:rPr>
              <w:t xml:space="preserve">Common stock, $0.01 par value; 1,500,000,000 shares authorized; 630,282,461 shares 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6</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6</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5,341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5,341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13,744</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13,744</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Treasury stock at cost, 225,407,474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1"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(12,150)</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1"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(12,150)</w:t>
            </w:r>
          </w:p>
        </w:tc>
        <w:tc>
          <w:tcPr>
            <w:tcW w:w="111"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50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Waste Management, Inc.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6,909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6,909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50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Noncontrolling interests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1"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19</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1" w:type="dxa"/>
            <w:tcBorders>
              <w:bottom w:val="single" w:sz="2" w:space="0" w:color="000000"/>
            </w:tcBorders>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tcMar>
              <w:bottom w:w="50" w:type="dxa"/>
            </w:tcMar>
            <w:vAlign w:val="center"/>
          </w:tcPr>
          <w:p>
            <w:pPr>
              <w:pStyle w:val="TableContents"/>
              <w:bidi w:val="0"/>
              <w:spacing w:before="0" w:after="283"/>
              <w:jc w:val="right"/>
              <w:rPr/>
            </w:pPr>
            <w:r>
              <w:rPr/>
              <w:t>19</w:t>
            </w:r>
          </w:p>
        </w:tc>
        <w:tc>
          <w:tcPr>
            <w:tcW w:w="111"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50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6,928</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1" w:type="dxa"/>
            <w:tcBorders>
              <w:bottom w:val="single" w:sz="2" w:space="0" w:color="000000"/>
            </w:tcBorders>
            <w:shd w:fill="CCEEFF" w:val="clear"/>
            <w:tcMar>
              <w:bottom w:w="50" w:type="dxa"/>
            </w:tcMar>
            <w:vAlign w:val="center"/>
          </w:tcPr>
          <w:p>
            <w:pPr>
              <w:pStyle w:val="TableContents"/>
              <w:bidi w:val="0"/>
              <w:spacing w:before="0" w:after="283"/>
              <w:jc w:val="right"/>
              <w:rPr/>
            </w:pPr>
            <w:r>
              <w:rPr/>
              <w:t>6,928</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04"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debt and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bottom w:val="double" w:sz="8" w:space="0" w:color="000000"/>
            </w:tcBorders>
            <w:tcMar>
              <w:bottom w:w="50" w:type="dxa"/>
            </w:tcMar>
            <w:vAlign w:val="center"/>
          </w:tcPr>
          <w:p>
            <w:pPr>
              <w:pStyle w:val="TableContents"/>
              <w:bidi w:val="0"/>
              <w:spacing w:before="0" w:after="283"/>
              <w:jc w:val="right"/>
              <w:rPr/>
            </w:pPr>
            <w:r>
              <w:rPr/>
              <w:t>$</w:t>
            </w:r>
          </w:p>
        </w:tc>
        <w:tc>
          <w:tcPr>
            <w:tcW w:w="901" w:type="dxa"/>
            <w:tcBorders>
              <w:bottom w:val="double" w:sz="8" w:space="0" w:color="000000"/>
            </w:tcBorders>
            <w:tcMar>
              <w:bottom w:w="50" w:type="dxa"/>
            </w:tcMar>
            <w:vAlign w:val="center"/>
          </w:tcPr>
          <w:p>
            <w:pPr>
              <w:pStyle w:val="TableContents"/>
              <w:bidi w:val="0"/>
              <w:spacing w:before="0" w:after="283"/>
              <w:jc w:val="right"/>
              <w:rPr/>
            </w:pPr>
            <w:r>
              <w:rPr/>
              <w:t>22,296</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bottom w:val="double" w:sz="8" w:space="0" w:color="000000"/>
            </w:tcBorders>
            <w:tcMar>
              <w:bottom w:w="50" w:type="dxa"/>
            </w:tcMar>
            <w:vAlign w:val="center"/>
          </w:tcPr>
          <w:p>
            <w:pPr>
              <w:pStyle w:val="TableContents"/>
              <w:bidi w:val="0"/>
              <w:spacing w:before="0" w:after="283"/>
              <w:jc w:val="right"/>
              <w:rPr/>
            </w:pPr>
            <w:r>
              <w:rPr/>
              <w:t>$</w:t>
            </w:r>
          </w:p>
        </w:tc>
        <w:tc>
          <w:tcPr>
            <w:tcW w:w="901" w:type="dxa"/>
            <w:tcBorders>
              <w:bottom w:val="double" w:sz="8" w:space="0" w:color="000000"/>
            </w:tcBorders>
            <w:tcMar>
              <w:bottom w:w="50" w:type="dxa"/>
            </w:tcMar>
            <w:vAlign w:val="center"/>
          </w:tcPr>
          <w:p>
            <w:pPr>
              <w:pStyle w:val="TableContents"/>
              <w:bidi w:val="0"/>
              <w:spacing w:before="0" w:after="283"/>
              <w:jc w:val="right"/>
              <w:rPr/>
            </w:pPr>
            <w:r>
              <w:rPr/>
              <w:t>22,335</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$3.5 billion revolving credit facility expires in May 2027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 April 2024. </w:t>
      </w:r>
      <w:r>
        <mc:AlternateContent>
          <mc:Choice Requires="wps">
            <w:drawing>
              <wp:anchor behindDoc="0" distT="10414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rates we pay on outstanding U.S. or Canadian loans are based on a secured overnight financing rate administered by the Federal Reserve Bank of New York (“SOFR”) or the Canadian Dollar Offered Rate (“CDOR”), respectively, plus a spread depending on our senior public debt rating assigned by Moody’s Investors Service, Inc. and Standard and Poor’s Global Ratings. The spread above SOFR or CDOR can range from 0.585% to 1.025% per annum, plus a credit adjustment spread of 0.10% per annum on SOFR-based rates (the “SOFR Credit Adjustment Spread”) to account for the transition from the use of LIBOR to SOFR in such rate calculations. WM Holdings guarantees all of the obligations under our $3.5 billion revolving credit facility.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2023, we had $1.3 billion of outstanding borrowings under our commercial paper program (net of related discount on issuance), which is fully supported by our $3.5 billion revolving credit facility. Additionally, as of June 30, 2023, we had no borrowings under, and $179 million of letters of credit issued under and supported by, our $3.5 billion revolving credit facility, leaving unused and available credit capacity under this facility of $2.0 billion. As of July 25, 2023, we had $1.165 billion of outstanding borrowings under our commercial paper program, which were used for general corporate purposes.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$1.0 billion Term Loan is used for general corporate purposes. The interest rate we pay on our outstanding balance is generally based on SOFR, plus a spread depending on our senior public debt rating assigned by Moody’s Investors Service, Inc. and Standard and Poor’s Global Ratings. The spread above SOFR can range from 0.50% to 0.90% per annum, plus the SOFR Credit Adjustment Spread. As of July 25, 2023, we had $1.0 billion of outstanding borrowings under our Term Loan. WM Holdings also guarantees all of the obligations under the Term Loan. </w:t>
      </w:r>
      <w:r>
        <mc:AlternateContent>
          <mc:Choice Requires="wps">
            <w:drawing>
              <wp:anchor behindDoc="0" distT="508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2019, Waste Management of Canada Corporation, our indirect wholly owned subsidiary, issued C$500 million, or $378 million based on the conversion rate as of June 30, 2023, of 2.6% senior notes due 2026, all of which are fully and unconditionally guaranteed on a senior unsecured basis by us and WM Holdings. </w:t>
      </w:r>
      <w:r>
        <mc:AlternateContent>
          <mc:Choice Requires="wps">
            <w:drawing>
              <wp:anchor behindDoc="0" distT="508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 </w:t>
      </w:r>
      <w:r>
        <mc:AlternateContent>
          <mc:Choice Requires="wps">
            <w:drawing>
              <wp:anchor behindDoc="0" distT="508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 Adjusted column with respect to this line item does not include any debt issuance costs or unamortized discounts associated with the 2029 notes or the 2034 notes.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N"/>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$2,000,000,000 of our senior notes, consisting of $750,000,000 of our 4.875% senior notes due 2029 and $1,250,000,000 of our 4.875% senior notes due 2034.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2029 notes and the 2034 notes are separate series of notes under the Indenture. We will issue the notes of each series pursuant to a resolution of our Board of Directors and an accompanying officers’ certificate setting forth the specific terms applicable to the notes of each series.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Notes.</w:t>
      </w:r>
      <w:r>
        <w:rPr>
          <w:rFonts w:ascii="Times New Roman;Times;serif" w:hAnsi="Times New Roman;Times;serif"/>
          <w:b w:val="false"/>
          <w:i w:val="false"/>
          <w:caps w:val="false"/>
          <w:smallCaps w:val="false"/>
          <w:color w:val="000000"/>
          <w:spacing w:val="4"/>
          <w:sz w:val="20"/>
        </w:rPr>
        <w:t xml:space="preserve">   Each series of the notes will: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our general unsecured, senior obligations; </w:t>
      </w:r>
      <w:r>
        <mc:AlternateContent>
          <mc:Choice Requires="wps">
            <w:drawing>
              <wp:anchor behindDoc="0" distT="7239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constitute a new and separate series of debt securities issued under the Indenture and will be initially limited to an aggregate principal amount as follows: $750,000,000 in the case of the 2029 notes and $1,250,000,000 in the case of the 2034 notes; </w:t>
      </w:r>
      <w:r>
        <mc:AlternateContent>
          <mc:Choice Requires="wps">
            <w:drawing>
              <wp:anchor behindDoc="0" distT="7239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mature on February 15, 2029, in the case of the 2029 notes, and February 15, 2034, in the case of the 2034 notes; </w:t>
      </w:r>
      <w:r>
        <mc:AlternateContent>
          <mc:Choice Requires="wps">
            <w:drawing>
              <wp:anchor behindDoc="0" distT="7239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unconditionally guaranteed by our wholly owned subsidiary WM Holdings; </w:t>
      </w:r>
      <w:r>
        <mc:AlternateContent>
          <mc:Choice Requires="wps">
            <w:drawing>
              <wp:anchor behindDoc="0" distT="7239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entitled to the benefit of any sinking fund;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issued in minimum denominations of $2,000 and integral multiples of $1,000 in excess thereof; and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Interest.</w:t>
      </w:r>
      <w:r>
        <w:rPr>
          <w:rFonts w:ascii="Times New Roman;Times;serif" w:hAnsi="Times New Roman;Times;serif"/>
          <w:b w:val="false"/>
          <w:i w:val="false"/>
          <w:caps w:val="false"/>
          <w:smallCaps w:val="false"/>
          <w:color w:val="000000"/>
          <w:spacing w:val="4"/>
          <w:sz w:val="20"/>
        </w:rPr>
        <w:t xml:space="preserve">   Interest will: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accrue on the 2029 notes at the rate of 4.875% per annum and accrue on the 2034 notes at the rate of 4.875% per annum;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accrue from August 3, 2023 or the most recent interest payment date;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payable in cash semi-annually in arrears on February 15 and August 15 of each year, beginning on February 15, 2024;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payable to holders of record on the February 1 and August 1 immediately preceding the related interest payment dates; and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computed on the basis of a 360-day year consisting of twelve 30-day months.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holder of a note will be treated as the owner of it for all purposes.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applicable Par Call Date for each series of notes, we may redeem the notes of such series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15 basis points for the 2029 notes and 20 basis points for the 2034 notes, less (b) interest accrued to the redemption date,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notes of the applicable series to be redeemed, plus, in either case, accrued and unpaid interest thereon to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Par Call Date</w:t>
      </w:r>
      <w:r>
        <w:rPr>
          <w:rFonts w:ascii="Times New Roman;Times;serif" w:hAnsi="Times New Roman;Times;serif"/>
          <w:b w:val="false"/>
          <w:i w:val="false"/>
          <w:caps w:val="false"/>
          <w:smallCaps w:val="false"/>
          <w:color w:val="000000"/>
          <w:spacing w:val="4"/>
          <w:sz w:val="20"/>
        </w:rPr>
        <w:t xml:space="preserve">” means (i) January 15, 2029 (one month prior to the maturity date), in the case of the 2029 notes, and (ii) November 15, 2033 (three months prior to the maturity date), in the case of the 2034 notes.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the yield determined by us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subject to legal defeasance and to covenant defeasance as provided under “Description of the Debt Securities — Provisions Applicable to Each Indenture — Defeasance” in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either: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the notes of that series theretofore authenticated and delivered (except lost, stolen or destroyed notes which have been replaced or paid and notes for whose payment money has theretofore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been deposited in trust or segregated and held in trust by us and thereafter repaid to us or discharged from such trust) have been delivered to the Trustee for cancellation;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we have paid all other sums payable under the Indenture by us with respect to the notes of that series;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we have delivered to the Trustee an officers’ certificate and an opinion of counsel stating that all conditions precedent under the Indenture relating to the satisfaction and discharge of the Indenture have been complied with.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will be our unsecured and unsubordinated obligations, and will rank equally in contractual right of payment with the other series and all of our other existing and future senior indebtedness from time to time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2023, our operating subsidiaries had $2.1 billion of indebtedness and WM Holdings had $223 million of long-term debt (excluding guarantees of $9.2 billion of our senior debt), in each case excluding intercompany loans.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WM Holdings will unconditionally guarantee our obligations under the notes of each series. Each guarantee will be a general, unsecured obligation of WM Holdings and will rank equally in contractual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guarantees of the notes shall be binding on WM Holdings, its successors and assigns, and shall continue in full force and effect for the benefit of holders of the notes of each series until the earliest to occur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consolidation or merger of WM Holdings into Waste Management, Inc. or its successor;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consolidation or merger of Waste Management, Inc. or its successor into WM Holdings;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in full of all interest and principal due on the notes of that series; or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release of the guarantees by WM Holdings of obligations of Waste Management, Inc. under each of its $3.5 billion revolving credit facility (or any replacement or new principal credit facility) and its Term Loan. Our $3.5 billion revolving credit facility and our Term Loan each currently state that WM Holdings’ guarantees under such facility and Term Loan can only be released with the written consent of each of the lenders that is a party thereto.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change of control payment date, we will, to the extent lawful: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notes or portions of notes properly tendered and not withdrawn pursuant to the change of control offer; </w:t>
      </w:r>
      <w:r>
        <mc:AlternateContent>
          <mc:Choice Requires="wps">
            <w:drawing>
              <wp:anchor behindDoc="0" distT="7239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change of control payment in respect of all notes or portions of notes properly tendered; and </w:t>
      </w:r>
      <w:r>
        <mc:AlternateContent>
          <mc:Choice Requires="wps">
            <w:drawing>
              <wp:anchor behindDoc="0" distT="7239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or portions of notes being repurchased.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applicable requirements of Rule 14e-1 under the Securities Exchange Act of 1934, as amended (the “Exchange Act”), and any other securities laws and regulations thereunder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change of control offer provisions of the notes, the following terms will be applicable: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a transaction will not be deemed to involve a change of control under clause (2) above if (i) we become a direct or indirect wholly owned subsidiary of a holding company and (ii) (A)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triggering event</w:t>
      </w:r>
      <w:r>
        <w:rPr>
          <w:rFonts w:ascii="Times New Roman;Times;serif" w:hAnsi="Times New Roman;Times;serif"/>
          <w:b w:val="false"/>
          <w:i w:val="false"/>
          <w:caps w:val="false"/>
          <w:smallCaps w:val="false"/>
          <w:color w:val="000000"/>
          <w:spacing w:val="4"/>
          <w:sz w:val="20"/>
        </w:rPr>
        <w:t xml:space="preserve">” means the occurrence of both a change of control and a rating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 rating</w:t>
      </w:r>
      <w:r>
        <w:rPr>
          <w:rFonts w:ascii="Times New Roman;Times;serif" w:hAnsi="Times New Roman;Times;serif"/>
          <w:b w:val="false"/>
          <w:i w:val="false"/>
          <w:caps w:val="false"/>
          <w:smallCaps w:val="false"/>
          <w:color w:val="000000"/>
          <w:spacing w:val="4"/>
          <w:sz w:val="20"/>
        </w:rPr>
        <w:t xml:space="preserve">” means a rating equal to or higher than BBB — (or the equivalent) by Fitch, Baa3 (or the equivalent) by Moody’s and BBB — (or the equivalent) by S&amp;P, and the equivalent investment grade credit rating from any replacement rating agency or rating agencies selected by us.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agencies</w:t>
      </w:r>
      <w:r>
        <w:rPr>
          <w:rFonts w:ascii="Times New Roman;Times;serif" w:hAnsi="Times New Roman;Times;serif"/>
          <w:b w:val="false"/>
          <w:i w:val="false"/>
          <w:caps w:val="false"/>
          <w:smallCaps w:val="false"/>
          <w:color w:val="000000"/>
          <w:spacing w:val="4"/>
          <w:sz w:val="20"/>
        </w:rPr>
        <w:t xml:space="preserve">”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event</w:t>
      </w:r>
      <w:r>
        <w:rPr>
          <w:rFonts w:ascii="Times New Roman;Times;serif" w:hAnsi="Times New Roman;Times;serif"/>
          <w:b w:val="false"/>
          <w:i w:val="false"/>
          <w:caps w:val="false"/>
          <w:smallCaps w:val="false"/>
          <w:color w:val="000000"/>
          <w:spacing w:val="4"/>
          <w:sz w:val="20"/>
        </w:rPr>
        <w:t xml:space="preserve">”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division of S&amp;P Global Inc., and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means, with respect to any specified “person” ​(as that term is used in Section 13(d)(3) of the Exchange Act) as of any date, the capital stock of such person that is at the time entitled to vote generally in the election of the board of directors of such person.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covenants in the Indenture limit our ability and the ability of our subsidiaries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incur or assume debt secured by liens;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sale and leaseback transactions; and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 consolidate or transfer all or substantially all of our assets.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description of these covenants, see “Description of the Debt Securities — Provisions Applicable to Each Indenture — Consolidation, Merger and Sale of Assets” and “— Provisions Applicable Solely to Senior Debt Securities — Restrictive Covenants” in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following information concerning DTC, Euroclear and Clearstream and their respective book-entry systems has been obtained from sources that we believe to be reliable, we take no responsibility for the accuracy of that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DTC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and the underwriters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certain persons take physical delivery in definitive form of securities which they own. Consequently, those persons may be prohibited from purchasing beneficial interests in the global notes from any beneficial owner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notes are in DTC’s book-entry system, secondary market trading activity in the notes will settle in immediately available funds. We will make all applicable payments on the notes issued as global notes in immediately available funds.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Euroclear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Euroclear Operator is a Belgian bank, which is regulated and examined by the Belgian Banking Commission and the National Bank of Belgium.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Governing Use of Euroclear, the related Operating Procedures of Euroclear and applicable Belgian law govern securities clearance accounts and cash accounts with the Euroclear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Operator. Specifically, these terms and conditions govern transfers of securities and cash within Euroclear, withdrawal of securities and cash from Euroclear and receipts of payments with respect to securities in Euroclear.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the notes held beneficially through Euroclear will be credited to the cash accounts of Euroclear participants in accordance with Euroclear’s terms and conditions, to the extent received by the Euroclear Operator and by Euroclear.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Clearstream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or one or more of their affiliates. Other institutions that maintain a custodial relationship with a Clearstream participant may obtain indirect access to Clearstream. Clearstream is an indirect DTC participant.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the notes held beneficially through Clearstream will be credited to cash accounts of Clearstream participants in accordance with its rules and procedures, to the extent received by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UF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TAX CONSIDERATIONS FOR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Scope of Discussion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non-U.S. holders who purchase the notes at their “issue price”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“non-U.S. holder” for purposes of this discussion if you are a beneficial owner of a note (other than a partnership, or other entity or arrangement classified as a partnership for U.S. federal income tax purposes) and you are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U.S. citizen or U.S. resident alien, including without limitation an alien individual who is a lawful permanent resident of the United States or who has been present in the United States for 183 days or more during the taxable year;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that was created or organized in or under the laws of the United States, any state thereof or the District of Columbia;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U.S. federal income taxation regardless of its source; or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r>
        <mc:AlternateContent>
          <mc:Choice Requires="wps">
            <w:drawing>
              <wp:anchor behindDoc="0" distT="0" distB="0" distL="254000" distR="0" simplePos="0" locked="0" layoutInCell="1" allowOverlap="1" relativeHeight="53">
                <wp:simplePos x="0" y="0"/>
                <wp:positionH relativeFrom="column">
                  <wp:align>left</wp:align>
                </wp:positionH>
                <wp:positionV relativeFrom="line">
                  <wp:posOffset>635</wp:posOffset>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of Additional Amounts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on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the notes is not effectively connected with your conduct of a trade or business in the United States;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notes is in connection with an extension of credit made pursuant to a loan agreement entered into in the ordinary course of your trade or business;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10% or more of the total combined voting power of all classes of our stock entitled to vote; and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through actual or constructive stock ownership (as provided in the Code).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you) in the United States and you meet the certification requirements described below in “— Income or Gain Effectively Connected with a U.S. Trade or Business.”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Redemption, Exchange, Retirement or Other Taxable Disposition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withholding requirements discussed below, you generally will not be subject to U.S. federal income tax on any gain realized on the sale, redemption, exchange, retirement or other taxable disposition of a note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your conduct of a U.S. trade or business (and, if required by an applicable tax treaty, is attributable to your permanent establishment in the United States); or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has been present in the United States for 183 days or more in the taxable year of disposition and certain other requirements are met.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or Gain Effectively Connected with a U.S. Trade or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United States person;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foreign person that derives 50% or more of its gross income for certain periods from the conduct of a trade or business in the United States;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controlled foreign corporation for U.S. federal income tax purposes; or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foreign partnership that, at any time during its taxable year, has more than 50% of its income or capital interests owned by United States persons or is engaged in the conduct of a U.S. trade or business.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 withheld under the backup withholding rules may be credited against your U.S. federal income tax liability and any excess may be refundable if the proper information is timely provided to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consult your tax advisor regarding the application of information reporting and backup withholding in your particular circumstances and the availability of and procedure for obtaining an exemption from backup withholding under current U.S. Treasury regulations.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Accounts Tax Compliance Act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CO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Capital Inc., BofA Securities, Inc., Deutsche Bank Securities Inc., Goldman Sachs &amp; Co. LLC and Scotia Capital (USA) Inc. are acting as joint book-running managers of the offering and as representatives of the underwriters named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 </w:t>
      </w:r>
    </w:p>
    <w:tbl>
      <w:tblPr>
        <w:tblW w:w="8275" w:type="dxa"/>
        <w:jc w:val="left"/>
        <w:tblInd w:w="1393" w:type="dxa"/>
        <w:tblLayout w:type="fixed"/>
        <w:tblCellMar>
          <w:top w:w="0" w:type="dxa"/>
          <w:left w:w="0" w:type="dxa"/>
          <w:bottom w:w="43" w:type="dxa"/>
          <w:right w:w="0" w:type="dxa"/>
        </w:tblCellMar>
      </w:tblPr>
      <w:tblGrid>
        <w:gridCol w:w="3945"/>
        <w:gridCol w:w="109"/>
        <w:gridCol w:w="109"/>
        <w:gridCol w:w="109"/>
        <w:gridCol w:w="226"/>
        <w:gridCol w:w="1366"/>
        <w:gridCol w:w="109"/>
        <w:gridCol w:w="109"/>
        <w:gridCol w:w="109"/>
        <w:gridCol w:w="109"/>
        <w:gridCol w:w="226"/>
        <w:gridCol w:w="1486"/>
        <w:gridCol w:w="109"/>
        <w:gridCol w:w="154"/>
      </w:tblGrid>
      <w:tr>
        <w:trPr/>
        <w:tc>
          <w:tcPr>
            <w:tcW w:w="3945" w:type="dxa"/>
            <w:tcBorders>
              <w:bottom w:val="single" w:sz="2" w:space="0" w:color="000000"/>
            </w:tcBorders>
            <w:vAlign w:val="center"/>
          </w:tcPr>
          <w:p>
            <w:pPr>
              <w:pStyle w:val="TableContents"/>
              <w:bidi w:val="0"/>
              <w:spacing w:before="0" w:after="0"/>
              <w:jc w:val="left"/>
              <w:rPr/>
            </w:pPr>
            <w:r>
              <w:rPr>
                <w:spacing w:val="-3"/>
              </w:rPr>
              <w:t>Underwriters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Amount of</w:t>
            </w:r>
            <w:r>
              <w:rPr/>
              <w:t xml:space="preserve"> </w:t>
              <w:br/>
            </w:r>
            <w:r>
              <w:rPr>
                <w:spacing w:val="-3"/>
              </w:rPr>
              <w:t>2029 Notes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Amount of</w:t>
            </w:r>
            <w:r>
              <w:rPr/>
              <w:t xml:space="preserve"> </w:t>
              <w:br/>
            </w:r>
            <w:r>
              <w:rPr>
                <w:spacing w:val="-3"/>
              </w:rPr>
              <w:t>2034 Notes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162,500,000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97,500,000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162,500,000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162,500,000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97,500,000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162,500,000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162,500,000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43,125,000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71,875,000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43,125,000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71,875,000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RBC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43,125,000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71,875,000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43,125,000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71,875,000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15,000,000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15,000,000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CastleOak Securities,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12,500,000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CAVU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Loop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12,500,000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Stern Brothers &amp; Co.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7,500,000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12,500,000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tcMar>
              <w:bottom w:w="50" w:type="dxa"/>
            </w:tcMar>
            <w:vAlign w:val="center"/>
          </w:tcPr>
          <w:p>
            <w:pPr>
              <w:pStyle w:val="TableContents"/>
              <w:bidi w:val="0"/>
              <w:spacing w:before="0" w:after="283"/>
              <w:jc w:val="right"/>
              <w:rPr/>
            </w:pPr>
            <w:r>
              <w:rPr/>
              <w:t xml:space="preserve">750,000,000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1,250,000,000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0.225% of the principal amount of the 2029 notes and 0.40% of the principal amount of the 2034 notes. The underwriters may allow, and dealers may reallow, a concession not to exceed 0.125% of the principal amount of the 2029 notes and 0.25% of the principal amount of the 2034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consist of certain bids or purchases of notes made for the purpose of preventing or retarding a decline in the market price of the notes of that series while the offering is in progress.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(not including the underwriting discounts) for this offering will be approximately $4.8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will not offer to sell any of our debt securities (other than the notes, bank borrowings and commercial paper) until the date and time of delivery and payment for the notes and related guarantees without the prior written consent of the representatives.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of 1933, as amended, or to contribute to payments the underwriters may be required to make because of any of those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August 3,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one of their respective affiliates are lenders under our $3.5 billion revolving credit facility and our Term Loan.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underwriters or their respective affiliates in this offering are lenders to us under our $3.5 billion revolving credit facility and our Term Loan and may receive 5% or more of the net proceeds of this offering by reason of the repayment of amounts outstanding under our commercial paper program, which is fully supported by such credit facility, and our Term Loan.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prospectus or other disclosure document (as defined in the Corporations Act 2001 (Cth) of Australia (the “Corporations Act”)) in relation to the notes has been, or will be, lodged with the Australian Securities and Investments Commission (“ASIC”), the Australian Securities Exchange operated by ASX Limited or any other regulatory body or agency in Australia. This document has not been lodged with ASIC and is only directed to certain categories of exempt persons. Accordingly, if you receive this document in Australia: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confirm and warrant that you are either: </w:t>
      </w:r>
      <w:r>
        <mc:AlternateContent>
          <mc:Choice Requires="wps">
            <w:drawing>
              <wp:anchor behindDoc="0" distT="10033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“sophisticated investor” under section 708(8)(a) or (b) of the Corporations Act; </w:t>
      </w:r>
      <w:r>
        <mc:AlternateContent>
          <mc:Choice Requires="wps">
            <w:drawing>
              <wp:anchor behindDoc="0" distT="100330" distB="0" distL="508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“sophisticated investor” under section 708(8)(c) or (d) of the Corporations Act and that you have provided an accountant’s certificate to us which complies with the requirements of section 708(8)(c)(i) or (ii) of the Corporations Act and related regulations before the offer has been made; </w:t>
      </w:r>
      <w:r>
        <mc:AlternateContent>
          <mc:Choice Requires="wps">
            <w:drawing>
              <wp:anchor behindDoc="0" distT="100330" distB="0" distL="508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associated with the Company under section 708(12) of the Corporations Act; or </w:t>
      </w:r>
      <w:r>
        <mc:AlternateContent>
          <mc:Choice Requires="wps">
            <w:drawing>
              <wp:anchor behindDoc="0" distT="100330" distB="0" distL="508000" distR="0" simplePos="0" locked="0" layoutInCell="1" allowOverlap="1" relativeHeight="67">
                <wp:simplePos x="0" y="0"/>
                <wp:positionH relativeFrom="column">
                  <wp:align>left</wp:align>
                </wp:positionH>
                <wp:positionV relativeFrom="line">
                  <wp:align>top</wp:align>
                </wp:positionV>
                <wp:extent cx="254000" cy="52578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 </w:t>
      </w:r>
      <w:r>
        <mc:AlternateContent>
          <mc:Choice Requires="wps">
            <w:drawing>
              <wp:anchor behindDoc="0" distT="100330" distB="0" distL="508000" distR="0" simplePos="0" locked="0" layoutInCell="1" allowOverlap="1" relativeHeight="68">
                <wp:simplePos x="0" y="0"/>
                <wp:positionH relativeFrom="column">
                  <wp:align>left</wp:align>
                </wp:positionH>
                <wp:positionV relativeFrom="line">
                  <wp:align>top</wp:align>
                </wp:positionV>
                <wp:extent cx="254000" cy="52578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warrant and agree that you will not offer any of the notes for resale in Australia within 12 months of those notes being issued unless any such resale offer is exempt from the requirement to issue a disclosure document under section 708 of the Corporations Act. </w:t>
      </w:r>
      <w:r>
        <mc:AlternateContent>
          <mc:Choice Requires="wps">
            <w:drawing>
              <wp:anchor behindDoc="0" distT="10033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are not acting for anyone other than the issuer and will not be responsible to anyone other than the issuer for providing the protections afforded to their clients nor for providing advice in relation to the offering.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and will not be registered as a prospectus under the Securities and Futures Act, Chapter 289 of Singapore (the “SFA”) by the Monetary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of Singapore and the offer of the notes in Singapore is made primarily pursuant to the exemption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 (1A) of the SFA, and in accordance with the conditions specified in Section 275 of the SFA, or (c) otherwise pursuant to, and in accordance with, the conditions of any other applicable exemption or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condition of the offer that where the notes are subscribed for or acquired pursuant to an offer made in reliance on Section 275 of the SFA by a Relevant Person which is: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the sole business of which is to hold investments and the entire share capital of which is owned by one or more individuals, each of whom is an Accredited Investor; or </w:t>
      </w:r>
      <w:r>
        <mc:AlternateContent>
          <mc:Choice Requires="wps">
            <w:drawing>
              <wp:anchor behindDoc="0" distT="10414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and the beneficiaries’ rights and interest (howsoever defined) in that trust shall not be transferred within six months after that corporation or that trust has subscribed for or acquired the notes except: </w:t>
      </w:r>
      <w:r>
        <mc:AlternateContent>
          <mc:Choice Requires="wps">
            <w:drawing>
              <wp:anchor behindDoc="0" distT="10414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and Accredited Investor or other Relevant Person, or which arises from an offer referred to in Section 275(1A) of the SFA (in the case of that corporation) or Section 276(4)(i)(B) of the SFA (in the case of that trust); </w:t>
      </w:r>
      <w:r>
        <mc:AlternateContent>
          <mc:Choice Requires="wps">
            <w:drawing>
              <wp:anchor behindDoc="0" distT="104140" distB="0" distL="508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4140" distB="0" distL="508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4140" distB="0" distL="508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(z)</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(z)</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104140" distB="0" distL="508000" distR="0" simplePos="0" locked="0" layoutInCell="1" allowOverlap="1" relativeHeight="75">
                <wp:simplePos x="0" y="0"/>
                <wp:positionH relativeFrom="column">
                  <wp:align>left</wp:align>
                </wp:positionH>
                <wp:positionV relativeFrom="line">
                  <wp:align>top</wp:align>
                </wp:positionV>
                <wp:extent cx="254000" cy="52578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of Singapore. </w:t>
      </w:r>
      <w:r>
        <mc:AlternateContent>
          <mc:Choice Requires="wps">
            <w:drawing>
              <wp:anchor behindDoc="0" distT="104140" distB="0" distL="508000" distR="0" simplePos="0" locked="0" layoutInCell="1" allowOverlap="1" relativeHeight="76">
                <wp:simplePos x="0" y="0"/>
                <wp:positionH relativeFrom="column">
                  <wp:align>left</wp:align>
                </wp:positionH>
                <wp:positionV relativeFrom="line">
                  <wp:align>top</wp:align>
                </wp:positionV>
                <wp:extent cx="254000" cy="52578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(bb)</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100pt;mso-position-horizontal:left;mso-position-horizontal-relative:text">
                <v:textbox>
                  <w:txbxContent>
                    <w:p>
                      <w:pPr>
                        <w:pStyle w:val="TextBody"/>
                        <w:bidi w:val="0"/>
                        <w:spacing w:lineRule="atLeast" w:line="240" w:before="0" w:after="283"/>
                        <w:jc w:val="left"/>
                        <w:rPr/>
                      </w:pPr>
                      <w:r>
                        <w:rPr>
                          <w:spacing w:val="4"/>
                        </w:rPr>
                        <w:t>(bb)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under Section 309B(1)(c) of the SFA — 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South Korea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notes shall comply with all applicable regulatory requirements (including but not limited to requirements under the FETL) in connection with the purchase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the Republic of China (“Taiwan”), pursuant to relevant securities laws and regulations and may not be offered or sold in Taiwan through a public offering or in any manner which could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any retail investor in the United Kingdom (“UK”). For these purposes: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expression “retail investor” means a person who is one (or more) of the following: </w:t>
      </w:r>
      <w:r>
        <mc:AlternateContent>
          <mc:Choice Requires="wps">
            <w:drawing>
              <wp:anchor behindDoc="0" distT="10033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retail client as defined in point (8) of Article 2 of Regulation (EU) No 2017/565 as it forms part of domestic law by virtue of the European Union (Withdrawal) Act 2018 (“EUWA”); or </w:t>
      </w:r>
      <w:r>
        <mc:AlternateContent>
          <mc:Choice Requires="wps">
            <w:drawing>
              <wp:anchor behindDoc="0" distT="100330" distB="0" distL="508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 of Regulation (EU) No 600/2014 as it forms part of domestic law by virtue of the EUWA; or </w:t>
      </w:r>
      <w:r>
        <mc:AlternateContent>
          <mc:Choice Requires="wps">
            <w:drawing>
              <wp:anchor behindDoc="0" distT="100330" distB="0" distL="508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a qualified investor as defined in Article 2 of the UK Prospectus Regulation, and </w:t>
      </w:r>
      <w:r>
        <mc:AlternateContent>
          <mc:Choice Requires="wps">
            <w:drawing>
              <wp:anchor behindDoc="0" distT="101600" distB="0" distL="508000" distR="0" simplePos="0" locked="0" layoutInCell="1" allowOverlap="1" relativeHeight="80">
                <wp:simplePos x="0" y="0"/>
                <wp:positionH relativeFrom="column">
                  <wp:align>left</wp:align>
                </wp:positionH>
                <wp:positionV relativeFrom="line">
                  <wp:align>top</wp:align>
                </wp:positionV>
                <wp:extent cx="254000" cy="52578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expression “offer” includes the communication in any form and by any means of sufficient information on the terms of the offer and the notes to be offered so as to enable an investor to decide to purchase or subscribe for the notes, and “UK Prospectus Regulation” means Regulation (EU) 2017/1129 as it forms part of domestic law by virtue of the EUWA. </w:t>
      </w:r>
      <w:r>
        <mc:AlternateContent>
          <mc:Choice Requires="wps">
            <w:drawing>
              <wp:anchor behindDoc="0" distT="10160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key information document required by Regulation (EU) No 1286/2014 as it forms part of domestic law by virtue of the EUWA (the “UK PRIIPs Regulation”) for offering or selling the notes or otherwise making it available to retail investors in the UK has been prepared and therefore offering or selling the notes or otherwise making it available to any retail investor in the UK may be unlawful under the UK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being distributed only to, and are directed only at, and any offer subsequently made may only be directed at persons who are “qualified investors” ​(as defined in the UK Prospectus Regulation), who also (i) have professional experience in matters relating to investments falling within Article 19(5) of the Financial Services and Markets Act 2000 (Financial Promotion) Order 2005, as amended (the “Order”) and/or (ii) are high net worth companies falling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Article 49(2)(a) to (d) of the Order or are persons to whom an invitation or inducement to engage in investment activity (within the meaning of Section 21 of the FSMA) in connection with the issue or sale of any securities may otherwise be lawfully communicated or caused to be communicated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and the accompanying prospectus relate is only available to, and will be engaged in with, relevant persons.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this prospectus supplement will not be filed with, and the offer of the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Dubai International Financial Centre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Arab Emirates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Abu Dhabi Global Market or the Dubai International Financial Centre) other than in compliance with the laws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The prospectus supplement and the accompanying prospectus have not been approved by or filed with the Central Bank of the United Arab Emirates, the Securities and Commodities Authority, the Financial Services Regulatory Authority or the Dubai Financial Services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the notes offered hereby will be passed upon for us by Baker Botts L.L.P., Houston, Texas, and for the underwriters by Gibson, Dunn &amp; Crutcher LLP, Houston, Texas.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Waste Management, Inc. appearing in Waste Management, Inc.’s </w:t>
      </w:r>
      <w:hyperlink r:id="rId5">
        <w:r>
          <w:rPr>
            <w:rStyle w:val="InternetLink"/>
          </w:rPr>
          <w:t>Annual Report (Form 10-K) for the year ended December 31, 2022</w:t>
        </w:r>
      </w:hyperlink>
      <w:r>
        <w:rPr>
          <w:rFonts w:ascii="Times New Roman;Times;serif" w:hAnsi="Times New Roman;Times;serif"/>
          <w:b w:val="false"/>
          <w:i w:val="false"/>
          <w:caps w:val="false"/>
          <w:smallCaps w:val="false"/>
          <w:color w:val="000000"/>
          <w:spacing w:val="4"/>
          <w:sz w:val="20"/>
        </w:rPr>
        <w:t xml:space="preserve">, and the effectiveness of Waste Management, Inc.’s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IOC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 </w:t>
      </w:r>
    </w:p>
    <w:tbl>
      <w:tblPr>
        <w:tblW w:w="8812" w:type="dxa"/>
        <w:jc w:val="left"/>
        <w:tblInd w:w="1393" w:type="dxa"/>
        <w:tblLayout w:type="fixed"/>
        <w:tblCellMar>
          <w:top w:w="0" w:type="dxa"/>
          <w:left w:w="0" w:type="dxa"/>
          <w:bottom w:w="50" w:type="dxa"/>
          <w:right w:w="0" w:type="dxa"/>
        </w:tblCellMar>
      </w:tblPr>
      <w:tblGrid>
        <w:gridCol w:w="6884"/>
        <w:gridCol w:w="109"/>
        <w:gridCol w:w="109"/>
        <w:gridCol w:w="1555"/>
        <w:gridCol w:w="155"/>
      </w:tblGrid>
      <w:tr>
        <w:trPr/>
        <w:tc>
          <w:tcPr>
            <w:tcW w:w="6884" w:type="dxa"/>
            <w:tcBorders>
              <w:bottom w:val="single" w:sz="2" w:space="0" w:color="000000"/>
            </w:tcBorders>
            <w:vAlign w:val="center"/>
          </w:tcPr>
          <w:p>
            <w:pPr>
              <w:pStyle w:val="TableContents"/>
              <w:bidi w:val="0"/>
              <w:spacing w:before="0" w:after="0"/>
              <w:jc w:val="left"/>
              <w:rPr>
                <w:spacing w:val="-3"/>
              </w:rPr>
            </w:pPr>
            <w:r>
              <w:rPr>
                <w:spacing w:val="-3"/>
              </w:rPr>
              <w:t xml:space="preserve">SEC Filing (Our SEC File Number is 1-12154)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jc w:val="left"/>
              <w:rPr/>
            </w:pPr>
            <w:hyperlink r:id="rId6">
              <w:r>
                <w:rPr>
                  <w:rStyle w:val="InternetLink"/>
                </w:rPr>
                <w:t xml:space="preserve">Annual Report on Form 10-K for the year ended December 31, 2022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spacing w:val="4"/>
              </w:rPr>
            </w:pPr>
            <w:r>
              <w:rPr>
                <w:spacing w:val="4"/>
              </w:rPr>
              <w:t xml:space="preserve">February 7, 2023 </w:t>
            </w:r>
          </w:p>
        </w:tc>
        <w:tc>
          <w:tcPr>
            <w:tcW w:w="155" w:type="dxa"/>
            <w:tcBorders/>
            <w:tcMar>
              <w:bottom w:w="0"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jc w:val="left"/>
              <w:rPr/>
            </w:pPr>
            <w:hyperlink r:id="rId7">
              <w:r>
                <w:rPr>
                  <w:rStyle w:val="InternetLink"/>
                </w:rPr>
                <w:t>Quarterly Report on Form 10-Q for the quarter ended March 31, 2023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spacing w:val="4"/>
              </w:rPr>
            </w:pPr>
            <w:r>
              <w:rPr>
                <w:spacing w:val="4"/>
              </w:rPr>
              <w:t xml:space="preserve">April 27, 2023 </w:t>
            </w:r>
          </w:p>
        </w:tc>
        <w:tc>
          <w:tcPr>
            <w:tcW w:w="155" w:type="dxa"/>
            <w:tcBorders/>
            <w:tcMar>
              <w:bottom w:w="0"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jc w:val="left"/>
              <w:rPr/>
            </w:pPr>
            <w:hyperlink r:id="rId8">
              <w:r>
                <w:rPr>
                  <w:rStyle w:val="InternetLink"/>
                  <w:spacing w:val="4"/>
                </w:rPr>
                <w:t>Quarterly Report on Form 10-Q for the quarter ended June 30, 2023</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spacing w:val="4"/>
              </w:rPr>
            </w:pPr>
            <w:r>
              <w:rPr>
                <w:spacing w:val="4"/>
              </w:rPr>
              <w:t xml:space="preserve">July 26, 2023 </w:t>
            </w:r>
          </w:p>
        </w:tc>
        <w:tc>
          <w:tcPr>
            <w:tcW w:w="155" w:type="dxa"/>
            <w:tcBorders/>
            <w:tcMar>
              <w:bottom w:w="0"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jc w:val="left"/>
              <w:rPr/>
            </w:pPr>
            <w:hyperlink r:id="rId9">
              <w:r>
                <w:rPr>
                  <w:rStyle w:val="InternetLink"/>
                </w:rPr>
                <w:t xml:space="preserve">Current Report on Form 8-K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spacing w:val="4"/>
              </w:rPr>
            </w:pPr>
            <w:r>
              <w:rPr>
                <w:spacing w:val="4"/>
              </w:rPr>
              <w:t xml:space="preserve">February 6, 2023 </w:t>
            </w:r>
          </w:p>
        </w:tc>
        <w:tc>
          <w:tcPr>
            <w:tcW w:w="155" w:type="dxa"/>
            <w:tcBorders/>
            <w:tcMar>
              <w:bottom w:w="0"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jc w:val="left"/>
              <w:rPr/>
            </w:pPr>
            <w:hyperlink r:id="rId10">
              <w:r>
                <w:rPr>
                  <w:rStyle w:val="InternetLink"/>
                </w:rPr>
                <w:t xml:space="preserve">Current Report on Form 8-K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spacing w:val="4"/>
              </w:rPr>
            </w:pPr>
            <w:r>
              <w:rPr>
                <w:spacing w:val="4"/>
              </w:rPr>
              <w:t xml:space="preserve">February 13, 2023 </w:t>
            </w:r>
          </w:p>
        </w:tc>
        <w:tc>
          <w:tcPr>
            <w:tcW w:w="155" w:type="dxa"/>
            <w:tcBorders/>
            <w:tcMar>
              <w:bottom w:w="0"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jc w:val="left"/>
              <w:rPr/>
            </w:pPr>
            <w:hyperlink r:id="rId11">
              <w:r>
                <w:rPr>
                  <w:rStyle w:val="InternetLink"/>
                </w:rPr>
                <w:t xml:space="preserve">Current Report on Form 8-K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spacing w:val="4"/>
              </w:rPr>
            </w:pPr>
            <w:r>
              <w:rPr>
                <w:spacing w:val="4"/>
              </w:rPr>
              <w:t xml:space="preserve">March 10, 2023 </w:t>
            </w:r>
          </w:p>
        </w:tc>
        <w:tc>
          <w:tcPr>
            <w:tcW w:w="155" w:type="dxa"/>
            <w:tcBorders/>
            <w:tcMar>
              <w:bottom w:w="0"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jc w:val="left"/>
              <w:rPr/>
            </w:pPr>
            <w:hyperlink r:id="rId12">
              <w:r>
                <w:rPr>
                  <w:rStyle w:val="InternetLink"/>
                </w:rPr>
                <w:t xml:space="preserve">Current Report on Form 8-K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spacing w:val="4"/>
              </w:rPr>
            </w:pPr>
            <w:r>
              <w:rPr>
                <w:spacing w:val="4"/>
              </w:rPr>
              <w:t xml:space="preserve">May 10, 2023 </w:t>
            </w:r>
          </w:p>
        </w:tc>
        <w:tc>
          <w:tcPr>
            <w:tcW w:w="155" w:type="dxa"/>
            <w:tcBorders/>
            <w:tcMar>
              <w:bottom w:w="0" w:type="dxa"/>
            </w:tcMar>
            <w:vAlign w:val="center"/>
          </w:tcPr>
          <w:p>
            <w:pPr>
              <w:pStyle w:val="TableContents"/>
              <w:bidi w:val="0"/>
              <w:spacing w:before="0" w:after="283"/>
              <w:jc w:val="left"/>
              <w:rPr/>
            </w:pPr>
            <w:r>
              <w:rPr/>
              <w:t>​</w:t>
            </w:r>
          </w:p>
        </w:tc>
      </w:tr>
      <w:tr>
        <w:trPr/>
        <w:tc>
          <w:tcPr>
            <w:tcW w:w="6884" w:type="dxa"/>
            <w:tcBorders/>
            <w:tcMar>
              <w:bottom w:w="0" w:type="dxa"/>
            </w:tcMar>
            <w:vAlign w:val="center"/>
          </w:tcPr>
          <w:p>
            <w:pPr>
              <w:pStyle w:val="TableContents"/>
              <w:bidi w:val="0"/>
              <w:spacing w:before="0" w:after="0"/>
              <w:ind w:left="200" w:right="0" w:hanging="200"/>
              <w:jc w:val="left"/>
              <w:rPr/>
            </w:pPr>
            <w:r>
              <w:rPr>
                <w:spacing w:val="4"/>
              </w:rPr>
              <w:t xml:space="preserve">The portions of our </w:t>
            </w:r>
            <w:hyperlink r:id="rId13">
              <w:r>
                <w:rPr>
                  <w:rStyle w:val="InternetLink"/>
                  <w:spacing w:val="4"/>
                </w:rPr>
                <w:t>proxy statement for our 2023 annual meeting of stockholders</w:t>
              </w:r>
            </w:hyperlink>
            <w:r>
              <w:rPr>
                <w:spacing w:val="4"/>
              </w:rPr>
              <w:t xml:space="preserve"> incorporated by reference in our </w:t>
            </w:r>
            <w:hyperlink r:id="rId14">
              <w:r>
                <w:rPr>
                  <w:rStyle w:val="InternetLink"/>
                  <w:spacing w:val="4"/>
                </w:rPr>
                <w:t>Annual Report on Form 10-K for the year ended December 31, 2022</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tcBorders/>
            <w:tcMar>
              <w:bottom w:w="0" w:type="dxa"/>
            </w:tcMar>
            <w:vAlign w:val="center"/>
          </w:tcPr>
          <w:p>
            <w:pPr>
              <w:pStyle w:val="TableContents"/>
              <w:bidi w:val="0"/>
              <w:spacing w:before="0" w:after="0"/>
              <w:jc w:val="center"/>
              <w:rPr/>
            </w:pPr>
            <w:r>
              <w:rPr>
                <w:spacing w:val="4"/>
              </w:rPr>
              <w:t>March 28, 2023</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Waste Management,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800 Capitol Street, Suite 3000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(713) 512-6200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095625" cy="828675"/>
            <wp:effectExtent l="0" t="0" r="0" b="0"/>
            <wp:docPr id="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 descr=""/>
                    <pic:cNvPicPr>
                      <a:picLocks noChangeAspect="1" noChangeArrowheads="1"/>
                    </pic:cNvPicPr>
                  </pic:nvPicPr>
                  <pic:blipFill>
                    <a:blip r:embed="rId15"/>
                    <a:stretch>
                      <a:fillRect/>
                    </a:stretch>
                  </pic:blipFill>
                  <pic:spPr bwMode="auto">
                    <a:xfrm>
                      <a:off x="0" y="0"/>
                      <a:ext cx="3095625" cy="8286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WASTE MANAGEMENT,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DEBT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COMMON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PREFERRED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WARRANTS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GUARANTEES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UNITS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symbol “WM.”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risks.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on page </w:t>
      </w:r>
      <w:hyperlink w:anchor="bRIFA">
        <w:r>
          <w:rPr>
            <w:rStyle w:val="InternetLink"/>
          </w:rPr>
          <w:t>8</w:t>
        </w:r>
      </w:hyperlink>
      <w:r>
        <w:rPr>
          <w:rFonts w:ascii="Times New Roman;Times;serif" w:hAnsi="Times New Roman;Times;serif"/>
          <w:b/>
          <w:i w:val="false"/>
          <w:caps w:val="false"/>
          <w:smallCaps w:val="false"/>
          <w:color w:val="000000"/>
          <w:spacing w:val="-4"/>
          <w:sz w:val="20"/>
        </w:rPr>
        <w:t xml:space="preserve"> of this prospectus, the risk factors included in our periodic reports that we file with the Securities and Exchange Commission and incorporated by reference herein and the applicable prospectus supplement before you invest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52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dated April 26, 2022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C3"/>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2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283" w:type="dxa"/>
        <w:jc w:val="left"/>
        <w:tblInd w:w="1393" w:type="dxa"/>
        <w:tblLayout w:type="fixed"/>
        <w:tblCellMar>
          <w:top w:w="0" w:type="dxa"/>
          <w:left w:w="0" w:type="dxa"/>
          <w:bottom w:w="0" w:type="dxa"/>
          <w:right w:w="0" w:type="dxa"/>
        </w:tblCellMar>
      </w:tblPr>
      <w:tblGrid>
        <w:gridCol w:w="124"/>
        <w:gridCol w:w="5050"/>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FOST">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ATP">
              <w:r>
                <w:rPr>
                  <w:rStyle w:val="InternetLink"/>
                  <w:spacing w:val="4"/>
                </w:rPr>
                <w:t>5</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IOCD">
              <w:r>
                <w:rPr>
                  <w:rStyle w:val="InternetLink"/>
                  <w:spacing w:val="4"/>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THCO">
              <w:r>
                <w:rPr>
                  <w:rStyle w:val="InternetLink"/>
                  <w:spacing w:val="4"/>
                </w:rPr>
                <w:t>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RIFA">
              <w:r>
                <w:rPr>
                  <w:rStyle w:val="InternetLink"/>
                  <w:spacing w:val="4"/>
                </w:rPr>
                <w:t>8</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UOP">
              <w:r>
                <w:rPr>
                  <w:rStyle w:val="InternetLink"/>
                  <w:spacing w:val="4"/>
                </w:rPr>
                <w:t>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pPr>
            <w:hyperlink w:anchor="bDOTD">
              <w:r>
                <w:rPr>
                  <w:rStyle w:val="InternetLink"/>
                  <w:spacing w:val="4"/>
                </w:rPr>
                <w:t xml:space="preserve">Description of the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TD">
              <w:r>
                <w:rPr>
                  <w:rStyle w:val="InternetLink"/>
                  <w:spacing w:val="4"/>
                </w:rPr>
                <w:t>10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DOG">
              <w:r>
                <w:rPr>
                  <w:rStyle w:val="InternetLink"/>
                  <w:spacing w:val="4"/>
                </w:rPr>
                <w:t xml:space="preserve">Description of Guarantees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G">
              <w:r>
                <w:rPr>
                  <w:rStyle w:val="InternetLink"/>
                  <w:spacing w:val="4"/>
                </w:rPr>
                <w:t>18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CS">
              <w:r>
                <w:rPr>
                  <w:rStyle w:val="InternetLink"/>
                  <w:spacing w:val="4"/>
                </w:rPr>
                <w:t>19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DOOS">
              <w:r>
                <w:rPr>
                  <w:rStyle w:val="InternetLink"/>
                  <w:spacing w:val="4"/>
                </w:rPr>
                <w:t xml:space="preserve">Description of Other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S">
              <w:r>
                <w:rPr>
                  <w:rStyle w:val="InternetLink"/>
                  <w:spacing w:val="4"/>
                </w:rPr>
                <w:t>22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POD">
              <w:r>
                <w:rPr>
                  <w:rStyle w:val="InternetLink"/>
                  <w:spacing w:val="4"/>
                </w:rPr>
                <w:t>23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SESE">
              <w:r>
                <w:rPr>
                  <w:rStyle w:val="InternetLink"/>
                  <w:spacing w:val="4"/>
                </w:rPr>
                <w:t xml:space="preserve">Selling Securityholders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SESE">
              <w:r>
                <w:rPr>
                  <w:rStyle w:val="InternetLink"/>
                  <w:spacing w:val="4"/>
                </w:rPr>
                <w:t>25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LEMA">
              <w:r>
                <w:rPr>
                  <w:rStyle w:val="InternetLink"/>
                  <w:spacing w:val="4"/>
                </w:rPr>
                <w:t>26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EXP">
              <w:r>
                <w:rPr>
                  <w:rStyle w:val="InternetLink"/>
                  <w:spacing w:val="4"/>
                </w:rPr>
                <w:t>26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bFOST"/>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Strategy and Operational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integration of acquisitions and/or new service offerings could increase our exposure to environmental liabilities for past operations and the risk of inadvertent noncompliance with laws and regulations;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must comply with extensive existing regulations, and changes in regulations and/or enforcement of regulations can restrict or alter our operations, increase our operating costs, increase our tax rate, or require us to make additional capital expenditures;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changes in our estimates of costs for site remediation requirements, final capping, closure and post-closure obligations, compliance and regulatory developments may increase our expenses and future cash outflows;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obtain and maintain required permits or to expand existing permitted capacity of our landfills, which could decrease our revenue and increase our costs;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 </w:t>
      </w:r>
      <w:r>
        <mc:AlternateContent>
          <mc:Choice Requires="wps">
            <w:drawing>
              <wp:anchor behindDoc="0" distT="7747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 </w:t>
      </w:r>
      <w:r>
        <mc:AlternateContent>
          <mc:Choice Requires="wps">
            <w:drawing>
              <wp:anchor behindDoc="0" distT="774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External Economic and Industry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regulations requiring mandatory COVID-19 vaccination of employees could adversely impact our ability to perform or compete for certain contracts and negatively affect our results of operations;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disruption, including labor shortages and supply chain constraints, and macroeconomic pressures, including the heightened pace of inflation, have adversely impacted our business and results of operations;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earnings and cash flows will fluctuate based on changes in commodity prices, and commodity prices for recyclable materials are particularly susceptible to volatility based on regulations and tariffs that affect our ability to export products;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 </w:t>
      </w:r>
      <w:r>
        <mc:AlternateContent>
          <mc:Choice Requires="wps">
            <w:drawing>
              <wp:anchor behindDoc="0" distT="0" distB="0" distL="254000" distR="0" simplePos="0" locked="0" layoutInCell="1" allowOverlap="1" relativeHeight="102">
                <wp:simplePos x="0" y="0"/>
                <wp:positionH relativeFrom="column">
                  <wp:align>left</wp:align>
                </wp:positionH>
                <wp:positionV relativeFrom="line">
                  <wp:posOffset>635</wp:posOffset>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conditions can directly and adversely affect revenues for environmental services and our income from operations margins;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effective tax rate and tax liability could materially change as a result of the adoption of new tax legislation and other factors;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diesel fuel price increases or diesel fuel supply shortages may increase our operating expenses;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Technology and Information Security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in technology could trigger a fundamental change in the waste management industry, as waste streams are increasingly viewed as a resource, which may adversely impact volumes at our landfills and our profitability;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existing and proposed service offerings to customers may require that we invest in, develop or license, and protect, new technologies, and our inability to obtain or protect new technologies could impact our services to customers and development of new revenue sources;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implementing a new enterprise resource planning and human capital management system, and challenges with the implementation of the system may negatively impact our business and operations;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regulation by state and federal governments related to cybersecurity protections and disclosures may require additional resources and create risks of noncompliance that could harm our business;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regulatory focus on privacy and data protection issues and expanding laws could negatively impact our business, subject us to criticism and expose us to increased liability;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Legal, Regulatory and Compliance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federal and state renewable fuel policies could affect our financial performance as a renewable fuel producer and impact our projected future investments;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climate change, and the adoption of climate change legislation or regulations restricting emissions of greenhouse gases, could increase our costs to operate;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be subject to significant fines and penalties, and our reputation could be adversely affected, if our businesses, or third parties with whom we have a relationship, were to fail to comply with United States (“U.S.”) or foreign laws or regulations; </w:t>
      </w:r>
      <w:r>
        <mc:AlternateContent>
          <mc:Choice Requires="wps">
            <w:drawing>
              <wp:anchor behindDoc="0" distT="0" distB="0" distL="254000" distR="0" simplePos="0" locked="0" layoutInCell="1" allowOverlap="1" relativeHeight="117">
                <wp:simplePos x="0" y="0"/>
                <wp:positionH relativeFrom="column">
                  <wp:align>left</wp:align>
                </wp:positionH>
                <wp:positionV relativeFrom="line">
                  <wp:posOffset>635</wp:posOffset>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Financial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reduce or suspend capital expenditures, growth and acquisition activity, implementation of our business strategy, dividend declarations or share repurchases if we suffer a significant reduction in cash flows;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incur future indebtedness to support our growth and development plans or to refinance our debt obligations, including near-term maturities, on terms consistent with current borrowings, and higher interest rates and market conditions may increase our expense;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for financial assurance or the inadequacy of our insurance coverage could negatively impact our liquidity and increase our liabilities;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charges against our earnings due to impairments to our assets as a result of shut-down operations, uncompleted development or expansion projects or other events may negatively affect earnings; and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face significant liabilities for withdrawal from multiemployer pension plans.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required by law, we undertake no obligation to publicly update or revise any forward-looking statements to reflect events, circumstances or developments after the date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AT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using a “shelf” registration process. We may offer and sell any combination of the securities described in this prospectus from time to time up to an indeterminate dollar amount, in one or more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types of securities that we or selling securityholders may offer and sell from time to time pursuant to this prospectus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guarantees; and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consisting of any of the securities listed above.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and amount of securities that we or selling securityholders propose to sell;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public offering price of the securities;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through or to which we or selling securityholders will sell the securities;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compensation of those underwriters or agents; and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any securities exchanges or automated quotation systems on which the securities will be listed or traded.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the terms “we,” “us,” “our,” and “the Company” refer to Waste Management, Inc. and its consolidated subsidiaries and consolidated variable interest entities, taken as a whole, unless the context clearly indicates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IOC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 </w:t>
      </w:r>
    </w:p>
    <w:tbl>
      <w:tblPr>
        <w:tblW w:w="8812" w:type="dxa"/>
        <w:jc w:val="left"/>
        <w:tblInd w:w="1393" w:type="dxa"/>
        <w:tblLayout w:type="fixed"/>
        <w:tblCellMar>
          <w:top w:w="0" w:type="dxa"/>
          <w:left w:w="0" w:type="dxa"/>
          <w:bottom w:w="50" w:type="dxa"/>
          <w:right w:w="0" w:type="dxa"/>
        </w:tblCellMar>
      </w:tblPr>
      <w:tblGrid>
        <w:gridCol w:w="6992"/>
        <w:gridCol w:w="109"/>
        <w:gridCol w:w="109"/>
        <w:gridCol w:w="1447"/>
        <w:gridCol w:w="155"/>
      </w:tblGrid>
      <w:tr>
        <w:trPr/>
        <w:tc>
          <w:tcPr>
            <w:tcW w:w="6992" w:type="dxa"/>
            <w:tcBorders>
              <w:bottom w:val="single" w:sz="2" w:space="0" w:color="000000"/>
            </w:tcBorders>
            <w:vAlign w:val="center"/>
          </w:tcPr>
          <w:p>
            <w:pPr>
              <w:pStyle w:val="TableContents"/>
              <w:bidi w:val="0"/>
              <w:spacing w:before="0" w:after="0"/>
              <w:jc w:val="left"/>
              <w:rPr>
                <w:spacing w:val="-3"/>
              </w:rPr>
            </w:pPr>
            <w:r>
              <w:rPr>
                <w:spacing w:val="-3"/>
              </w:rPr>
              <w:t xml:space="preserve">SEC Filing (Our SEC File Number is 1-12154)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7"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992" w:type="dxa"/>
            <w:tcBorders/>
            <w:tcMar>
              <w:bottom w:w="0" w:type="dxa"/>
            </w:tcMar>
            <w:vAlign w:val="center"/>
          </w:tcPr>
          <w:p>
            <w:pPr>
              <w:pStyle w:val="TableContents"/>
              <w:bidi w:val="0"/>
              <w:spacing w:before="0" w:after="0"/>
              <w:jc w:val="left"/>
              <w:rPr/>
            </w:pPr>
            <w:hyperlink r:id="rId16">
              <w:r>
                <w:rPr>
                  <w:rStyle w:val="InternetLink"/>
                </w:rPr>
                <w:t xml:space="preserve">Annual Report on Form 10-K for the year ended December 31, 2021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7" w:type="dxa"/>
            <w:tcBorders/>
            <w:tcMar>
              <w:bottom w:w="0" w:type="dxa"/>
            </w:tcMar>
            <w:vAlign w:val="center"/>
          </w:tcPr>
          <w:p>
            <w:pPr>
              <w:pStyle w:val="TableContents"/>
              <w:bidi w:val="0"/>
              <w:spacing w:before="0" w:after="0"/>
              <w:jc w:val="center"/>
              <w:rPr>
                <w:spacing w:val="4"/>
              </w:rPr>
            </w:pPr>
            <w:r>
              <w:rPr>
                <w:spacing w:val="4"/>
              </w:rPr>
              <w:t xml:space="preserve">February 15, 2022 </w:t>
            </w:r>
          </w:p>
        </w:tc>
        <w:tc>
          <w:tcPr>
            <w:tcW w:w="155" w:type="dxa"/>
            <w:tcBorders/>
            <w:tcMar>
              <w:bottom w:w="0" w:type="dxa"/>
            </w:tcMar>
            <w:vAlign w:val="center"/>
          </w:tcPr>
          <w:p>
            <w:pPr>
              <w:pStyle w:val="TableContents"/>
              <w:bidi w:val="0"/>
              <w:spacing w:before="0" w:after="283"/>
              <w:jc w:val="left"/>
              <w:rPr/>
            </w:pPr>
            <w:r>
              <w:rPr/>
              <w:t>​</w:t>
            </w:r>
          </w:p>
        </w:tc>
      </w:tr>
      <w:tr>
        <w:trPr/>
        <w:tc>
          <w:tcPr>
            <w:tcW w:w="6992" w:type="dxa"/>
            <w:tcBorders/>
            <w:tcMar>
              <w:bottom w:w="0" w:type="dxa"/>
            </w:tcMar>
            <w:vAlign w:val="center"/>
          </w:tcPr>
          <w:p>
            <w:pPr>
              <w:pStyle w:val="TableContents"/>
              <w:bidi w:val="0"/>
              <w:spacing w:before="0" w:after="0"/>
              <w:ind w:left="200" w:right="0" w:hanging="200"/>
              <w:jc w:val="left"/>
              <w:rPr/>
            </w:pPr>
            <w:hyperlink r:id="rId17">
              <w:r>
                <w:rPr>
                  <w:rStyle w:val="InternetLink"/>
                </w:rPr>
                <w:t xml:space="preserve">Amendment No. 1 to Annual Report on Form 10-K for the year ended December 31, 2021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7" w:type="dxa"/>
            <w:tcBorders/>
            <w:tcMar>
              <w:bottom w:w="0" w:type="dxa"/>
            </w:tcMar>
            <w:vAlign w:val="center"/>
          </w:tcPr>
          <w:p>
            <w:pPr>
              <w:pStyle w:val="TableContents"/>
              <w:bidi w:val="0"/>
              <w:spacing w:before="0" w:after="0"/>
              <w:jc w:val="center"/>
              <w:rPr>
                <w:spacing w:val="4"/>
              </w:rPr>
            </w:pPr>
            <w:r>
              <w:rPr>
                <w:spacing w:val="4"/>
              </w:rPr>
              <w:t xml:space="preserve">March 29, 2022 </w:t>
            </w:r>
          </w:p>
        </w:tc>
        <w:tc>
          <w:tcPr>
            <w:tcW w:w="155" w:type="dxa"/>
            <w:tcBorders/>
            <w:tcMar>
              <w:bottom w:w="0" w:type="dxa"/>
            </w:tcMar>
            <w:vAlign w:val="center"/>
          </w:tcPr>
          <w:p>
            <w:pPr>
              <w:pStyle w:val="TableContents"/>
              <w:bidi w:val="0"/>
              <w:spacing w:before="0" w:after="283"/>
              <w:jc w:val="left"/>
              <w:rPr/>
            </w:pPr>
            <w:r>
              <w:rPr/>
              <w:t>​</w:t>
            </w:r>
          </w:p>
        </w:tc>
      </w:tr>
      <w:tr>
        <w:trPr/>
        <w:tc>
          <w:tcPr>
            <w:tcW w:w="6992" w:type="dxa"/>
            <w:tcBorders/>
            <w:tcMar>
              <w:bottom w:w="0" w:type="dxa"/>
            </w:tcMar>
            <w:vAlign w:val="center"/>
          </w:tcPr>
          <w:p>
            <w:pPr>
              <w:pStyle w:val="TableContents"/>
              <w:bidi w:val="0"/>
              <w:spacing w:before="0" w:after="0"/>
              <w:jc w:val="left"/>
              <w:rPr/>
            </w:pPr>
            <w:hyperlink r:id="rId18">
              <w:r>
                <w:rPr>
                  <w:rStyle w:val="InternetLink"/>
                </w:rPr>
                <w:t xml:space="preserve">Quarterly Report on Form 10-Q for the quarter ended March 31, 2022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7" w:type="dxa"/>
            <w:tcBorders/>
            <w:tcMar>
              <w:bottom w:w="0" w:type="dxa"/>
            </w:tcMar>
            <w:vAlign w:val="center"/>
          </w:tcPr>
          <w:p>
            <w:pPr>
              <w:pStyle w:val="TableContents"/>
              <w:bidi w:val="0"/>
              <w:spacing w:before="0" w:after="0"/>
              <w:jc w:val="center"/>
              <w:rPr>
                <w:spacing w:val="4"/>
              </w:rPr>
            </w:pPr>
            <w:r>
              <w:rPr>
                <w:spacing w:val="4"/>
              </w:rPr>
              <w:t xml:space="preserve">April 26, 2022 </w:t>
            </w:r>
          </w:p>
        </w:tc>
        <w:tc>
          <w:tcPr>
            <w:tcW w:w="155" w:type="dxa"/>
            <w:tcBorders/>
            <w:tcMar>
              <w:bottom w:w="0" w:type="dxa"/>
            </w:tcMar>
            <w:vAlign w:val="center"/>
          </w:tcPr>
          <w:p>
            <w:pPr>
              <w:pStyle w:val="TableContents"/>
              <w:bidi w:val="0"/>
              <w:spacing w:before="0" w:after="283"/>
              <w:jc w:val="left"/>
              <w:rPr/>
            </w:pPr>
            <w:r>
              <w:rPr/>
              <w:t>​</w:t>
            </w:r>
          </w:p>
        </w:tc>
      </w:tr>
      <w:tr>
        <w:trPr/>
        <w:tc>
          <w:tcPr>
            <w:tcW w:w="6992" w:type="dxa"/>
            <w:tcBorders/>
            <w:tcMar>
              <w:bottom w:w="0" w:type="dxa"/>
            </w:tcMar>
            <w:vAlign w:val="center"/>
          </w:tcPr>
          <w:p>
            <w:pPr>
              <w:pStyle w:val="TableContents"/>
              <w:bidi w:val="0"/>
              <w:spacing w:before="0" w:after="0"/>
              <w:jc w:val="left"/>
              <w:rPr/>
            </w:pPr>
            <w:hyperlink r:id="rId19">
              <w:r>
                <w:rPr>
                  <w:rStyle w:val="InternetLink"/>
                </w:rPr>
                <w:t xml:space="preserve">Current Report on Form 8-K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7" w:type="dxa"/>
            <w:tcBorders/>
            <w:tcMar>
              <w:bottom w:w="0" w:type="dxa"/>
            </w:tcMar>
            <w:vAlign w:val="center"/>
          </w:tcPr>
          <w:p>
            <w:pPr>
              <w:pStyle w:val="TableContents"/>
              <w:bidi w:val="0"/>
              <w:spacing w:before="0" w:after="0"/>
              <w:jc w:val="center"/>
              <w:rPr>
                <w:spacing w:val="4"/>
              </w:rPr>
            </w:pPr>
            <w:r>
              <w:rPr>
                <w:spacing w:val="4"/>
              </w:rPr>
              <w:t xml:space="preserve">March 7, 2022 </w:t>
            </w:r>
          </w:p>
        </w:tc>
        <w:tc>
          <w:tcPr>
            <w:tcW w:w="155" w:type="dxa"/>
            <w:tcBorders/>
            <w:tcMar>
              <w:bottom w:w="0" w:type="dxa"/>
            </w:tcMar>
            <w:vAlign w:val="center"/>
          </w:tcPr>
          <w:p>
            <w:pPr>
              <w:pStyle w:val="TableContents"/>
              <w:bidi w:val="0"/>
              <w:spacing w:before="0" w:after="283"/>
              <w:jc w:val="left"/>
              <w:rPr/>
            </w:pPr>
            <w:r>
              <w:rPr/>
              <w:t>​</w:t>
            </w:r>
          </w:p>
        </w:tc>
      </w:tr>
      <w:tr>
        <w:trPr/>
        <w:tc>
          <w:tcPr>
            <w:tcW w:w="6992" w:type="dxa"/>
            <w:tcBorders/>
            <w:tcMar>
              <w:bottom w:w="0" w:type="dxa"/>
            </w:tcMar>
            <w:vAlign w:val="center"/>
          </w:tcPr>
          <w:p>
            <w:pPr>
              <w:pStyle w:val="TableContents"/>
              <w:bidi w:val="0"/>
              <w:spacing w:before="0" w:after="0"/>
              <w:ind w:left="200" w:right="0" w:hanging="200"/>
              <w:jc w:val="left"/>
              <w:rPr/>
            </w:pPr>
            <w:r>
              <w:rPr>
                <w:spacing w:val="4"/>
              </w:rPr>
              <w:t xml:space="preserve">The portions of our </w:t>
            </w:r>
            <w:hyperlink r:id="rId20">
              <w:r>
                <w:rPr>
                  <w:rStyle w:val="InternetLink"/>
                  <w:spacing w:val="4"/>
                </w:rPr>
                <w:t>proxy statement for our 2022 annual meeting of stockholders</w:t>
              </w:r>
            </w:hyperlink>
            <w:r>
              <w:rPr>
                <w:spacing w:val="4"/>
              </w:rPr>
              <w:t xml:space="preserve"> incorporated by reference in our </w:t>
            </w:r>
            <w:hyperlink r:id="rId21">
              <w:r>
                <w:rPr>
                  <w:rStyle w:val="InternetLink"/>
                  <w:spacing w:val="4"/>
                </w:rPr>
                <w:t xml:space="preserve">Annual Report on Form 10-K for the year ended December 31, 2021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7" w:type="dxa"/>
            <w:tcBorders/>
            <w:tcMar>
              <w:bottom w:w="0" w:type="dxa"/>
            </w:tcMar>
            <w:vAlign w:val="center"/>
          </w:tcPr>
          <w:p>
            <w:pPr>
              <w:pStyle w:val="TableContents"/>
              <w:bidi w:val="0"/>
              <w:spacing w:before="0" w:after="0"/>
              <w:jc w:val="center"/>
              <w:rPr>
                <w:spacing w:val="4"/>
              </w:rPr>
            </w:pPr>
            <w:r>
              <w:rPr>
                <w:spacing w:val="4"/>
              </w:rPr>
              <w:t xml:space="preserve">March 29, 2022 </w:t>
            </w:r>
          </w:p>
        </w:tc>
        <w:tc>
          <w:tcPr>
            <w:tcW w:w="155" w:type="dxa"/>
            <w:tcBorders/>
            <w:tcMar>
              <w:bottom w:w="0" w:type="dxa"/>
            </w:tcMar>
            <w:vAlign w:val="center"/>
          </w:tcPr>
          <w:p>
            <w:pPr>
              <w:pStyle w:val="TableContents"/>
              <w:bidi w:val="0"/>
              <w:spacing w:before="0" w:after="283"/>
              <w:jc w:val="left"/>
              <w:rPr/>
            </w:pPr>
            <w:r>
              <w:rPr/>
              <w:t>​</w:t>
            </w:r>
          </w:p>
        </w:tc>
      </w:tr>
      <w:tr>
        <w:trPr/>
        <w:tc>
          <w:tcPr>
            <w:tcW w:w="6992" w:type="dxa"/>
            <w:tcBorders/>
            <w:tcMar>
              <w:bottom w:w="0" w:type="dxa"/>
            </w:tcMar>
            <w:vAlign w:val="center"/>
          </w:tcPr>
          <w:p>
            <w:pPr>
              <w:pStyle w:val="TableContents"/>
              <w:bidi w:val="0"/>
              <w:spacing w:before="0" w:after="0"/>
              <w:ind w:left="200" w:right="0" w:hanging="200"/>
              <w:jc w:val="left"/>
              <w:rPr/>
            </w:pPr>
            <w:r>
              <w:rPr>
                <w:spacing w:val="4"/>
              </w:rPr>
              <w:t xml:space="preserve">Description of our Common Stock contained in our Registration Statement on </w:t>
            </w:r>
            <w:hyperlink r:id="rId22">
              <w:r>
                <w:rPr>
                  <w:rStyle w:val="InternetLink"/>
                  <w:spacing w:val="4"/>
                </w:rPr>
                <w:t>Form 8-B</w:t>
              </w:r>
            </w:hyperlink>
            <w:r>
              <w:rPr>
                <w:spacing w:val="4"/>
              </w:rPr>
              <w:t xml:space="preserve">, as updated by the description of our Common Stock included in </w:t>
            </w:r>
            <w:hyperlink r:id="rId23">
              <w:r>
                <w:rPr>
                  <w:rStyle w:val="InternetLink"/>
                  <w:spacing w:val="4"/>
                </w:rPr>
                <w:t>Exhibit 4.9 to our Annual Report on Form 10-K for the year ended December 31, 2019 filed with the SEC on February 13, 2020</w:t>
              </w:r>
            </w:hyperlink>
            <w:r>
              <w:rPr>
                <w:spacing w:val="4"/>
              </w:rPr>
              <w:t xml:space="preserve">, together with any subsequent amendment or report filed for the purpose of updating such description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7" w:type="dxa"/>
            <w:tcBorders/>
            <w:tcMar>
              <w:bottom w:w="0" w:type="dxa"/>
            </w:tcMar>
            <w:vAlign w:val="center"/>
          </w:tcPr>
          <w:p>
            <w:pPr>
              <w:pStyle w:val="TableContents"/>
              <w:bidi w:val="0"/>
              <w:spacing w:before="0" w:after="0"/>
              <w:jc w:val="center"/>
              <w:rPr/>
            </w:pPr>
            <w:r>
              <w:rPr>
                <w:spacing w:val="4"/>
              </w:rPr>
              <w:t>July 13, 1995</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Waste Management,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800 Capitol Street, Suite 3000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(713) 512-6200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WYC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can also obtain information about us at the offices of the New York Stock Exchange, 20 Broad Street, New York, New York 10005.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annual reports on Form 10-K, quarterly reports on Form 10-Q, current reports on Form 8-K and other filings with the SEC are available, without charge, on or through our website, </w:t>
      </w:r>
      <w:r>
        <w:rPr>
          <w:rFonts w:ascii="Times New Roman;Times;serif" w:hAnsi="Times New Roman;Times;serif"/>
          <w:b w:val="false"/>
          <w:i/>
          <w:caps w:val="false"/>
          <w:smallCaps w:val="false"/>
          <w:color w:val="000000"/>
          <w:spacing w:val="4"/>
          <w:sz w:val="20"/>
        </w:rPr>
        <w:t>www.wm.com</w:t>
      </w:r>
      <w:r>
        <w:rPr>
          <w:rFonts w:ascii="Times New Roman;Times;serif" w:hAnsi="Times New Roman;Times;serif"/>
          <w:b w:val="false"/>
          <w:i w:val="false"/>
          <w:caps w:val="false"/>
          <w:smallCaps w:val="false"/>
          <w:color w:val="000000"/>
          <w:spacing w:val="4"/>
          <w:sz w:val="20"/>
        </w:rPr>
        <w:t xml:space="preserve">,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THCO"/>
      <w:bookmarkEnd w:id="19"/>
      <w:r>
        <w:rPr>
          <w:rFonts w:ascii="calibri;arial;sans-serif" w:hAnsi="calibri;arial;sans-serif"/>
          <w:b w:val="false"/>
          <w:i w:val="false"/>
          <w:caps w:val="false"/>
          <w:smallCaps w:val="false"/>
          <w:color w:val="000000"/>
          <w:sz w:val="16"/>
        </w:rPr>
        <w:t>​</w:t>
      </w:r>
      <w:bookmarkStart w:id="20" w:name="bRIFA"/>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800 Capitol Street, Suite 3000, Houston, Texas 77002. Our telephone number is (713) 512-6200. Our website address is </w:t>
      </w:r>
      <w:r>
        <w:rPr>
          <w:rFonts w:ascii="Times New Roman;Times;serif" w:hAnsi="Times New Roman;Times;serif"/>
          <w:b w:val="false"/>
          <w:i/>
          <w:caps w:val="false"/>
          <w:smallCaps w:val="false"/>
          <w:color w:val="000000"/>
          <w:spacing w:val="4"/>
          <w:sz w:val="20"/>
        </w:rPr>
        <w:t>www.wm.com.</w:t>
      </w:r>
      <w:r>
        <w:rPr>
          <w:rFonts w:ascii="Times New Roman;Times;serif" w:hAnsi="Times New Roman;Times;serif"/>
          <w:b w:val="false"/>
          <w:i w:val="false"/>
          <w:caps w:val="false"/>
          <w:smallCaps w:val="false"/>
          <w:color w:val="000000"/>
          <w:spacing w:val="4"/>
          <w:sz w:val="20"/>
        </w:rPr>
        <w:t xml:space="preserve"> Information contained on, or that can be accessed through, our website is not incorporated by reference into this prospectus and does not constitute a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UO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DOTD"/>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to Each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Neither indenture limits the amount of debt securities that may be issued under that indenture, and neither limits the amount of other unsecured debt or securities that we may issue. We may issue debt securities under the indentures from time to time in one or more series, each in an amount authorized prior to issuance.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w:t>
      </w:r>
      <w:r>
        <w:rPr>
          <w:rFonts w:ascii="Times New Roman;Times;serif" w:hAnsi="Times New Roman;Times;serif"/>
          <w:b w:val="false"/>
          <w:i w:val="false"/>
          <w:caps w:val="false"/>
          <w:smallCaps w:val="false"/>
          <w:color w:val="000000"/>
          <w:spacing w:val="4"/>
          <w:sz w:val="20"/>
        </w:rPr>
        <w:t xml:space="preserve">   The prospectus supplement relating to any series of debt securities being offered will include specific terms relating to the offering. These terms will include some or all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or subordinated debt securities;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principal amount of the debt securities;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individual certificates to each holder or in the form of temporary or permanent global securities held by a depositary on behalf of holders;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and any premium on the debt securities will be payable;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rate (or the method of calculating the interest rate, if applicable), the date from which interest will accrue, interest payment dates and record dates for interest payments;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right to extend or defer the interest payment periods and the duration of the extension;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any additional amounts with respect to the debt securities will be payable;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payments on the debt securities will be payable;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optional redemption or early repayment;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that would require the redemption, purchase or repayment of debt securities;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payments on the debt securities will be payable in foreign currency or currency units or another form and whether payments will be payable by reference to any index or formula;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of debt securities that will be payable if the maturity is accelerated, if other than the entire principal amount;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means of defeasance of the debt securities, any additional conditions or limitations to defeasance of the debt securities or any changes to those conditions or limitations;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or additions to the events of default or covenants described in this prospectus; </w:t>
      </w:r>
      <w:r>
        <mc:AlternateContent>
          <mc:Choice Requires="wps">
            <w:drawing>
              <wp:anchor behindDoc="0" distT="0" distB="0" distL="254000" distR="0" simplePos="0" locked="0" layoutInCell="1" allowOverlap="1" relativeHeight="150">
                <wp:simplePos x="0" y="0"/>
                <wp:positionH relativeFrom="column">
                  <wp:align>left</wp:align>
                </wp:positionH>
                <wp:positionV relativeFrom="line">
                  <wp:posOffset>635</wp:posOffset>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or other provisions relating to the transfer or exchange of debt securities; </w:t>
      </w:r>
      <w:r>
        <mc:AlternateContent>
          <mc:Choice Requires="wps">
            <w:drawing>
              <wp:anchor behindDoc="0" distT="7874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for the conversion or exchange of the debt securities for other securities of Waste Management, Inc. or any other entity; </w:t>
      </w:r>
      <w:r>
        <mc:AlternateContent>
          <mc:Choice Requires="wps">
            <w:drawing>
              <wp:anchor behindDoc="0" distT="787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subordinated indenture, any changes to the subordination provisions for the subordinated debt securities; and </w:t>
      </w:r>
      <w:r>
        <mc:AlternateContent>
          <mc:Choice Requires="wps">
            <w:drawing>
              <wp:anchor behindDoc="0" distT="787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not inconsistent with the applicable indenture.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The indentures generally prohibit a consolidation or merger of Waste Management, Inc. into another person, or a conveyance, transfer or lease of our properties and assets substantially as an entirety to another person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would occur and be continuing or would result from the transaction. </w:t>
      </w:r>
      <w:r>
        <mc:AlternateContent>
          <mc:Choice Requires="wps">
            <w:drawing>
              <wp:anchor behindDoc="0" distT="7747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we inform you otherwise in the applicable prospectus supplement, the following are events of default with respect to a series of debt securities: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that series of debt securities for 30 days when due; </w:t>
      </w:r>
      <w:r>
        <mc:AlternateContent>
          <mc:Choice Requires="wps">
            <w:drawing>
              <wp:anchor behindDoc="0" distT="7747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of or any premium on that series of debt securities when due; </w:t>
      </w:r>
      <w:r>
        <mc:AlternateContent>
          <mc:Choice Requires="wps">
            <w:drawing>
              <wp:anchor behindDoc="0" distT="7747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deposit into any sinking fund when due;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involving bankruptcy, insolvency or reorganization; and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for that series of debt securities.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debt security of any series issued under an indenture may pursue any remedy under that indenture only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gives the trustee written notice of a continuing event of default for that series; </w:t>
      </w:r>
      <w:r>
        <mc:AlternateContent>
          <mc:Choice Requires="wps">
            <w:drawing>
              <wp:anchor behindDoc="0" distT="7874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the outstanding debt securities of that series make a written request to the trustee to pursue the remedy; </w:t>
      </w:r>
      <w:r>
        <mc:AlternateContent>
          <mc:Choice Requires="wps">
            <w:drawing>
              <wp:anchor behindDoc="0" distT="8255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offer to the trustee indemnity satisfactory to the trustee; </w:t>
      </w:r>
      <w:r>
        <mc:AlternateContent>
          <mc:Choice Requires="wps">
            <w:drawing>
              <wp:anchor behindDoc="0" distT="8255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fails to act for a period of 60 days after receipt of the request and offer of indemnity; and </w:t>
      </w:r>
      <w:r>
        <mc:AlternateContent>
          <mc:Choice Requires="wps">
            <w:drawing>
              <wp:anchor behindDoc="0" distT="8255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60-day period, the holders of a majority in principal amount of the debt securities of that series do not give the trustee a direction inconsistent with the request. </w:t>
      </w:r>
      <w:r>
        <mc:AlternateContent>
          <mc:Choice Requires="wps">
            <w:drawing>
              <wp:anchor behindDoc="0" distT="8255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provision does not, however, affect the right of a holder of a debt security to sue for enforcement of any overdue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any proceeding for any remedy available to the trustee; and </w:t>
      </w:r>
      <w:r>
        <mc:AlternateContent>
          <mc:Choice Requires="wps">
            <w:drawing>
              <wp:anchor behindDoc="0" distT="7874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any trust or power conferred on the trustee relating to or arising as a result of an event of default. </w:t>
      </w:r>
      <w:r>
        <mc:AlternateContent>
          <mc:Choice Requires="wps">
            <w:drawing>
              <wp:anchor behindDoc="0" distT="8255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require us to file each year with the trustee a written statement as to our compliance with the covenants contained in the applicable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Each indenture may be amended or supplemented if the majority in principal 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debt securities whose holders must consent to an amendment, supplement or waiver; </w:t>
      </w:r>
      <w:r>
        <mc:AlternateContent>
          <mc:Choice Requires="wps">
            <w:drawing>
              <wp:anchor behindDoc="0" distT="7874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change the time for payment of interest on the debt security; </w:t>
      </w:r>
      <w:r>
        <mc:AlternateContent>
          <mc:Choice Requires="wps">
            <w:drawing>
              <wp:anchor behindDoc="0" distT="8255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the debt security or change its stated maturity; </w:t>
      </w:r>
      <w:r>
        <mc:AlternateContent>
          <mc:Choice Requires="wps">
            <w:drawing>
              <wp:anchor behindDoc="0" distT="8255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premium payable on the redemption of the debt security or change the time at which the debt security may or must be redeemed; </w:t>
      </w:r>
      <w:r>
        <mc:AlternateContent>
          <mc:Choice Requires="wps">
            <w:drawing>
              <wp:anchor behindDoc="0" distT="8255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obligation to pay additional amounts on the debt security; </w:t>
      </w:r>
      <w:r>
        <mc:AlternateContent>
          <mc:Choice Requires="wps">
            <w:drawing>
              <wp:anchor behindDoc="0" distT="8255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obligation for us to maintain a paying agency; </w:t>
      </w:r>
      <w:r>
        <mc:AlternateContent>
          <mc:Choice Requires="wps">
            <w:drawing>
              <wp:anchor behindDoc="0" distT="8255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payments on the debt security payable in currency other than as originally stated in the debt security; </w:t>
      </w:r>
      <w:r>
        <mc:AlternateContent>
          <mc:Choice Requires="wps">
            <w:drawing>
              <wp:anchor behindDoc="0" distT="8255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holder’s right to institute suit for the enforcement of any payment on or with respect to the debt security; </w:t>
      </w:r>
      <w:r>
        <mc:AlternateContent>
          <mc:Choice Requires="wps">
            <w:drawing>
              <wp:anchor behindDoc="0" distT="8255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percentage of principal amount of debt securities necessary to waive compliance with certain provisions of the indenture or to make any change in the provision related to modification; or </w:t>
      </w:r>
      <w:r>
        <mc:AlternateContent>
          <mc:Choice Requires="wps">
            <w:drawing>
              <wp:anchor behindDoc="0" distT="8255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the right to convert subordinated debt securities, if applicable. </w:t>
      </w:r>
      <w:r>
        <mc:AlternateContent>
          <mc:Choice Requires="wps">
            <w:drawing>
              <wp:anchor behindDoc="0" distT="8255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or event of default in any payment on any debt security; or </w:t>
      </w:r>
      <w:r>
        <mc:AlternateContent>
          <mc:Choice Requires="wps">
            <w:drawing>
              <wp:anchor behindDoc="0" distT="7747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 provision that cannot be amended or supplemented without the consent of each holder affected. </w:t>
      </w:r>
      <w:r>
        <mc:AlternateContent>
          <mc:Choice Requires="wps">
            <w:drawing>
              <wp:anchor behindDoc="0" distT="7747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When we use the term defeasance, we mean discharge from some or all of our obligations 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discharged from our obligations with respect to the debt securities of that series and, if applicable, the related guarantees (“legal defeasance”); or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 longer have any obligation to comply with the restrictive covenants, certain aspects of the merger covenant and other specified covenants under the applicable indenture, and the related events of default will no longer apply (“covenant defeasance”).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New York law will govern the indentures and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The Bank of New York Mellon Trust Company, N.A. is the trustee under the senior indenture 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Form, Exchange, Registration and Transfer.</w:t>
      </w:r>
      <w:r>
        <w:rPr>
          <w:rFonts w:ascii="Times New Roman;Times;serif" w:hAnsi="Times New Roman;Times;serif"/>
          <w:b w:val="false"/>
          <w:i w:val="false"/>
          <w:caps w:val="false"/>
          <w:smallCaps w:val="false"/>
          <w:color w:val="000000"/>
          <w:spacing w:val="4"/>
          <w:sz w:val="20"/>
        </w:rPr>
        <w:t xml:space="preserve">   The debt securities may be issued in registered form, 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redemption, we will not be required to register the transfer or exchange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debt security during a period beginning 15 business days prior to the mailing of the relevant notice of redemption or repurchase and ending on the close of business on the day of mailing of such notice; or </w:t>
      </w:r>
      <w:r>
        <mc:AlternateContent>
          <mc:Choice Requires="wps">
            <w:drawing>
              <wp:anchor behindDoc="0" distT="7239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debt security that has been called for redemption in whole or in part, except the unredeemed portion of any debt security being redeemed in part. </w:t>
      </w:r>
      <w:r>
        <mc:AlternateContent>
          <mc:Choice Requires="wps">
            <w:drawing>
              <wp:anchor behindDoc="0" distT="7239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Payment and Paying Agents.</w:t>
      </w:r>
      <w:r>
        <w:rPr>
          <w:rFonts w:ascii="Times New Roman;Times;serif" w:hAnsi="Times New Roman;Times;serif"/>
          <w:b w:val="false"/>
          <w:i w:val="false"/>
          <w:caps w:val="false"/>
          <w:smallCaps w:val="false"/>
          <w:color w:val="000000"/>
          <w:spacing w:val="4"/>
          <w:sz w:val="20"/>
        </w:rPr>
        <w:t xml:space="preserve">   Unless we inform you otherwise in a prospectus supplement, payments 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Book-Entry Debt Securities.</w:t>
      </w:r>
      <w:r>
        <w:rPr>
          <w:rFonts w:ascii="Times New Roman;Times;serif" w:hAnsi="Times New Roman;Times;serif"/>
          <w:b w:val="false"/>
          <w:i w:val="false"/>
          <w:caps w:val="false"/>
          <w:smallCaps w:val="false"/>
          <w:color w:val="000000"/>
          <w:spacing w:val="4"/>
          <w:sz w:val="20"/>
        </w:rPr>
        <w:t xml:space="preserve">   The debt securities of a series may be issued in the form of one or more 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 and Guarantee.</w:t>
      </w:r>
      <w:r>
        <w:rPr>
          <w:rFonts w:ascii="Times New Roman;Times;serif" w:hAnsi="Times New Roman;Times;serif"/>
          <w:b w:val="false"/>
          <w:i w:val="false"/>
          <w:caps w:val="false"/>
          <w:smallCaps w:val="false"/>
          <w:color w:val="000000"/>
          <w:spacing w:val="4"/>
          <w:sz w:val="20"/>
        </w:rPr>
        <w:t xml:space="preserve">   The senior debt securities will constitute senior debt of Waste Management, 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basis the full and prompt payment of the principal of and any premium and interest on the senior debt securities issued by Waste Management, Inc. when and as the payment becomes due and payable, whether at maturity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Restrictive Covenants.</w:t>
      </w:r>
      <w:r>
        <w:rPr>
          <w:rFonts w:ascii="Times New Roman;Times;serif" w:hAnsi="Times New Roman;Times;serif"/>
          <w:b w:val="false"/>
          <w:i w:val="false"/>
          <w:caps w:val="false"/>
          <w:smallCaps w:val="false"/>
          <w:color w:val="000000"/>
          <w:spacing w:val="4"/>
          <w:sz w:val="20"/>
        </w:rPr>
        <w:t xml:space="preserve">   We have agreed to two principal restrictions on our activities for the benefit of 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liens on the property or assets existing at the time of acquisition which secure obligations assumed by us or our Restricted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conditional sales agreements with respect to any property or assets acquired by us or a Restricted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liens on the property, assets or stock of an entity at the time the entity is merged into or consolidated with us or a Restricted Subsidiary or at the time the entity becomes a Restricted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liens on the property, assets or stock of any successor entity that becomes the Company in accordance with “— Provisions Applicable to Each Indenture — Consolidation, Merger and Sale of Assets,” above;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liens on assets either: </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at the time of, or created within 360 days after, the acquisition of the assets, or </w:t>
      </w:r>
      <w:r>
        <mc:AlternateContent>
          <mc:Choice Requires="wps">
            <w:drawing>
              <wp:anchor behindDoc="0" distT="77470" distB="0" distL="508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 </w:t>
      </w:r>
      <w:r>
        <mc:AlternateContent>
          <mc:Choice Requires="wps">
            <w:drawing>
              <wp:anchor behindDoc="0" distT="77470" distB="0" distL="508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intercompany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mechanics’, materialmen’s and like liens incurred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liens arising by deposits or security given to governmental agencies required in order to do business with the government;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liens for taxes, assessments or governmental charges not yet delinquent or being contested in good faith;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liens in connection with legal proceedings so long as the proceeding is being contested in good faith or execution thereon is stayed;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landlord’s liens on fixtures located on property leased by us or Restricted Subsidiaries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liens in favor of any governmental authority in connection with the financing of the cost of construction or acquisition of property;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liens arising due to deposits to qualify us or a Restricted Subsidiary to do business, maintain self-insurance or obtain the benefit of or comply with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liens incurred in connection with pollution control, sewage or solid waste disposal industrial revenue or similar financings;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liens arising in connection with the sale of accounts receivable;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any extensions, substitutions, replacements or renewals of the above-described liens or any Indebtedness secured by these liens if the lien is limited to the property (plus any improvements) secured by the original lien.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Sale/Leaseback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provided otherwise in a prospectus supplement, we and our Restricted Subsidiaries will not enter into a Sale/Leaseback Transaction unless at least one of the following applies: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debt securities listed under the senior indenture or debt incurred by a Restricted Subsidiary; 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within 180 days after entering into the Sale/Leaseback Transaction, we have entered into a commitment to expend for the acquisition or capital improvement of a Principal Property an amount equal to the fair value (as determined by our Board of Directors) of the property to be leased.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Glossary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means the present value of the rental payments during the remaining term of the 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Tangible Assets”</w:t>
      </w:r>
      <w:r>
        <w:rPr>
          <w:rFonts w:ascii="Times New Roman;Times;serif" w:hAnsi="Times New Roman;Times;serif"/>
          <w:b w:val="false"/>
          <w:i w:val="false"/>
          <w:caps w:val="false"/>
          <w:smallCaps w:val="false"/>
          <w:color w:val="000000"/>
          <w:spacing w:val="4"/>
          <w:sz w:val="20"/>
        </w:rPr>
        <w:t xml:space="preserve"> means the total amount of assets of Waste Management, Inc. and its consolidated subsidiaries 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current liabilities (excluding liabilities that are extendable or renewable at our option to a date more than 12 months after the date of calculation and excluding current maturities of long-term debt); and </w:t>
      </w:r>
      <w:r>
        <mc:AlternateContent>
          <mc:Choice Requires="wps">
            <w:drawing>
              <wp:anchor behindDoc="0" distT="0" distB="0" distL="254000" distR="0" simplePos="0" locked="0" layoutInCell="1" allowOverlap="1" relativeHeight="188">
                <wp:simplePos x="0" y="0"/>
                <wp:positionH relativeFrom="column">
                  <wp:align>left</wp:align>
                </wp:positionH>
                <wp:positionV relativeFrom="line">
                  <wp:posOffset>635</wp:posOffset>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all intangible assets.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calculate Consolidated Net Tangible Assets based on our most recent quarterly balance sheet.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(a) all obligations for borrowed money or on which interest charges are 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 Property”</w:t>
      </w:r>
      <w:r>
        <w:rPr>
          <w:rFonts w:ascii="Times New Roman;Times;serif" w:hAnsi="Times New Roman;Times;serif"/>
          <w:b w:val="false"/>
          <w:i w:val="false"/>
          <w:caps w:val="false"/>
          <w:smallCaps w:val="false"/>
          <w:color w:val="000000"/>
          <w:spacing w:val="4"/>
          <w:sz w:val="20"/>
        </w:rPr>
        <w:t xml:space="preserve"> means any waste processing, waste disposal or resource recovery plant or similar 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Restricted Subsidiary”</w:t>
      </w:r>
      <w:r>
        <w:rPr>
          <w:rFonts w:ascii="Times New Roman;Times;serif" w:hAnsi="Times New Roman;Times;serif"/>
          <w:b w:val="false"/>
          <w:i w:val="false"/>
          <w:caps w:val="false"/>
          <w:smallCaps w:val="false"/>
          <w:color w:val="000000"/>
          <w:spacing w:val="4"/>
          <w:sz w:val="20"/>
        </w:rPr>
        <w:t xml:space="preserve"> means any Subsidiary (other than any Subsidiary of which the Company owns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Sale/Leaseback Transaction”</w:t>
      </w:r>
      <w:r>
        <w:rPr>
          <w:rFonts w:ascii="Times New Roman;Times;serif" w:hAnsi="Times New Roman;Times;serif"/>
          <w:b w:val="false"/>
          <w:i w:val="false"/>
          <w:caps w:val="false"/>
          <w:smallCaps w:val="false"/>
          <w:color w:val="000000"/>
          <w:spacing w:val="4"/>
          <w:sz w:val="20"/>
        </w:rPr>
        <w:t xml:space="preserve"> means any arrangement with anyone under which we or our Restricted Subsidiaries lease any Principal Property that we or such Restricted Subsidiary has sold or transferred or will sell or transfer to that person. This term excludes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leases for a term of not more than three years; and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intercompany leases.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an entity at least a majority of the outstanding voting stock of which is owned, directly or indirectly, by us or by one or more other Subsidiaries, or by us and one or more other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The subordinated debt securities will rank junior to all of our senior debt and may rank equally with or senior to our other subordinated debt that may be outstanding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Under the subordinated indenture, payment of the principal of and any premium and 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DOG"/>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DOC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applicable law, holders of common stock are entitled to receive dividends when, as and if declared by our Board of Directors. In certain cases, common stockholders may not receive dividends until we satisfy our obligations to any preferred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common stock is entitled to one vote for each share of common stock 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Fully Paid Status.</w:t>
      </w:r>
      <w:r>
        <w:rPr>
          <w:rFonts w:ascii="Times New Roman;Times;serif" w:hAnsi="Times New Roman;Times;serif"/>
          <w:b w:val="false"/>
          <w:i w:val="false"/>
          <w:caps w:val="false"/>
          <w:smallCaps w:val="false"/>
          <w:color w:val="000000"/>
          <w:spacing w:val="4"/>
          <w:sz w:val="20"/>
        </w:rPr>
        <w:t xml:space="preserve">   All outstanding shares of our common stock are validly issued, fully paid and non-assessable. The shares offered hereby will also be, upon issuance and sale, validly issued, fully paid and non-assessable.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or Dissolution.</w:t>
      </w:r>
      <w:r>
        <w:rPr>
          <w:rFonts w:ascii="Times New Roman;Times;serif" w:hAnsi="Times New Roman;Times;serif"/>
          <w:b w:val="false"/>
          <w:i w:val="false"/>
          <w:caps w:val="false"/>
          <w:smallCaps w:val="false"/>
          <w:color w:val="000000"/>
          <w:spacing w:val="4"/>
          <w:sz w:val="20"/>
        </w:rPr>
        <w:t xml:space="preserve">   If we liquidate, dissolve or wind up our business, whether or not voluntarily, common stockholders will share ratably in the assets remaining for distribution to stockholders after we pay our creditors and any preferred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Our common stock is listed on the New York Stock Exchange under the trading symbol “WM.”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The transfer agent and registrar for our common stock is Computershare in Jersey City, New Jersey.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preferences that would restrict common stock dividends or adversely affect the assets available for distribution to holders of shares of common stock in the event of our dissolution.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Forum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Advance Notice and Proxy Access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Action by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Stockholder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combination, or the transaction in which the stockholder became an interested stockholder, is approved by our Board of Directors prior to the time the interested stockholder attained that status; </w:t>
      </w:r>
      <w:r>
        <mc:AlternateContent>
          <mc:Choice Requires="wps">
            <w:drawing>
              <wp:anchor behindDoc="0" distT="0" distB="0" distL="254000" distR="0" simplePos="0" locked="0" layoutInCell="1" allowOverlap="1" relativeHeight="192">
                <wp:simplePos x="0" y="0"/>
                <wp:positionH relativeFrom="column">
                  <wp:align>left</wp:align>
                </wp:positionH>
                <wp:positionV relativeFrom="line">
                  <wp:posOffset>635</wp:posOffset>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Liability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DOO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OTHER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set forth in the applicable prospectus supplement a description of any warrants or units that may be offered pursuant 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PO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being offered by this prospectus may be sold by us or by a selling securityholder: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w:t>
      </w:r>
      <w:r>
        <mc:AlternateContent>
          <mc:Choice Requires="wps">
            <w:drawing>
              <wp:anchor behindDoc="0" distT="635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broker-dealers (acting as agent or principal); </w:t>
      </w:r>
      <w:r>
        <mc:AlternateContent>
          <mc:Choice Requires="wps">
            <w:drawing>
              <wp:anchor behindDoc="0" distT="635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by us or a selling securityholder to purchasers, through a specific bidding or auction process or otherwise; </w:t>
      </w:r>
      <w:r>
        <mc:AlternateContent>
          <mc:Choice Requires="wps">
            <w:drawing>
              <wp:anchor behindDoc="0" distT="635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such methods of sale; or </w:t>
      </w:r>
      <w:r>
        <mc:AlternateContent>
          <mc:Choice Requires="wps">
            <w:drawing>
              <wp:anchor behindDoc="0" distT="635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other methods described in a prospectus supplement. </w:t>
      </w:r>
      <w:r>
        <mc:AlternateContent>
          <mc:Choice Requires="wps">
            <w:drawing>
              <wp:anchor behindDoc="0" distT="635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and dealers may be entitled under agreements that may be entered into with us to indemnification by us against specified liabilities, including liabilities incurred under the Securities Act,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laws of some states, the securities offered by this prospectus may be sold in those states only through registered or licensed brokers or 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SESE"/>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LEMA"/>
      <w:bookmarkEnd w:id="28"/>
      <w:r>
        <w:rPr>
          <w:rFonts w:ascii="calibri;arial;sans-serif" w:hAnsi="calibri;arial;sans-serif"/>
          <w:b w:val="false"/>
          <w:i w:val="false"/>
          <w:caps w:val="false"/>
          <w:smallCaps w:val="false"/>
          <w:color w:val="000000"/>
          <w:sz w:val="16"/>
        </w:rPr>
        <w:t>​</w:t>
      </w:r>
      <w:bookmarkStart w:id="29" w:name="bEXP"/>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particular offerings of the securities in the future, and if stated in the applicable prospectus supplement, the validity of those securities will be passed upon for us by counsel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Waste Management, Inc. appearing in Waste Management, Inc.’s </w:t>
      </w:r>
      <w:hyperlink r:id="rId24">
        <w:r>
          <w:rPr>
            <w:rStyle w:val="InternetLink"/>
          </w:rPr>
          <w:t>Annual Report (Form 10-K) for the year ended December 31, 2021</w:t>
        </w:r>
      </w:hyperlink>
      <w:r>
        <w:rPr>
          <w:rFonts w:ascii="Times New Roman;Times;serif" w:hAnsi="Times New Roman;Times;serif"/>
          <w:b w:val="false"/>
          <w:i w:val="false"/>
          <w:caps w:val="false"/>
          <w:smallCaps w:val="false"/>
          <w:color w:val="000000"/>
          <w:spacing w:val="4"/>
          <w:sz w:val="20"/>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5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$2,000,000,000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3095625" cy="828675"/>
            <wp:effectExtent l="0" t="0" r="0" b="0"/>
            <wp:docPr id="19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3" descr=""/>
                    <pic:cNvPicPr>
                      <a:picLocks noChangeAspect="1" noChangeArrowheads="1"/>
                    </pic:cNvPicPr>
                  </pic:nvPicPr>
                  <pic:blipFill>
                    <a:blip r:embed="rId25"/>
                    <a:stretch>
                      <a:fillRect/>
                    </a:stretch>
                  </pic:blipFill>
                  <pic:spPr bwMode="auto">
                    <a:xfrm>
                      <a:off x="0" y="0"/>
                      <a:ext cx="3095625" cy="8286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5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$750,000,000 4.875% Senior Notes due 2029</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$1,250,000,000 4.875% Senior Notes due 2034</w:t>
      </w:r>
      <w:r>
        <w:rPr>
          <w:rFonts w:ascii="Times New Roman;Times;serif" w:hAnsi="Times New Roman;Times;serif"/>
          <w:b/>
          <w:i w:val="false"/>
          <w:caps w:val="false"/>
          <w:smallCaps w:val="false"/>
          <w:color w:val="000000"/>
          <w:spacing w:val="6"/>
          <w:sz w:val="28"/>
        </w:rPr>
        <w:t xml:space="preserve"> </w:t>
      </w:r>
    </w:p>
    <w:p>
      <w:pPr>
        <w:pStyle w:val="TextBody"/>
        <w:bidi w:val="0"/>
        <w:spacing w:before="70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before="2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Barclays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BofA Securities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Deutsche Bank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Goldman Sachs &amp; Co.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Scotiabank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BNP PARIBAS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MUFG</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RBC Capital Markets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Truist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Co-Managers </w:t>
      </w:r>
    </w:p>
    <w:p>
      <w:pPr>
        <w:pStyle w:val="TextBody"/>
        <w:bidi w:val="0"/>
        <w:spacing w:lineRule="atLeast" w:line="260" w:before="24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J.P. Morgan</w:t>
      </w:r>
      <w:r>
        <w:rPr>
          <w:rFonts w:ascii="Times New Roman;Times;serif" w:hAnsi="Times New Roman;Times;serif"/>
          <w:b/>
          <w:i w:val="false"/>
          <w:caps w:val="false"/>
          <w:smallCaps w:val="false"/>
          <w:color w:val="000000"/>
          <w:sz w:val="22"/>
        </w:rPr>
        <w:t xml:space="preserve"> </w:t>
        <w:br/>
      </w:r>
      <w:r>
        <w:rPr>
          <w:rFonts w:ascii="Times New Roman;Times;serif" w:hAnsi="Times New Roman;Times;serif"/>
          <w:b/>
          <w:i w:val="false"/>
          <w:caps w:val="false"/>
          <w:smallCaps w:val="false"/>
          <w:color w:val="000000"/>
          <w:spacing w:val="-4"/>
          <w:sz w:val="22"/>
        </w:rPr>
        <w:t>Mizuho</w:t>
      </w:r>
      <w:r>
        <w:rPr>
          <w:rFonts w:ascii="Times New Roman;Times;serif" w:hAnsi="Times New Roman;Times;serif"/>
          <w:b/>
          <w:i w:val="false"/>
          <w:caps w:val="false"/>
          <w:smallCaps w:val="false"/>
          <w:color w:val="000000"/>
          <w:sz w:val="22"/>
        </w:rPr>
        <w:t xml:space="preserve"> </w:t>
        <w:br/>
      </w:r>
      <w:r>
        <w:rPr>
          <w:rFonts w:ascii="Times New Roman;Times;serif" w:hAnsi="Times New Roman;Times;serif"/>
          <w:b/>
          <w:i w:val="false"/>
          <w:caps w:val="false"/>
          <w:smallCaps w:val="false"/>
          <w:color w:val="000000"/>
          <w:spacing w:val="-4"/>
          <w:sz w:val="22"/>
        </w:rPr>
        <w:t>PNC Capital Markets LLC</w:t>
      </w:r>
      <w:r>
        <w:rPr>
          <w:rFonts w:ascii="Times New Roman;Times;serif" w:hAnsi="Times New Roman;Times;serif"/>
          <w:b/>
          <w:i w:val="false"/>
          <w:caps w:val="false"/>
          <w:smallCaps w:val="false"/>
          <w:color w:val="000000"/>
          <w:sz w:val="22"/>
        </w:rPr>
        <w:t xml:space="preserve"> </w:t>
        <w:br/>
      </w:r>
      <w:r>
        <w:rPr>
          <w:rFonts w:ascii="Times New Roman;Times;serif" w:hAnsi="Times New Roman;Times;serif"/>
          <w:b/>
          <w:i w:val="false"/>
          <w:caps w:val="false"/>
          <w:smallCaps w:val="false"/>
          <w:color w:val="000000"/>
          <w:spacing w:val="-4"/>
          <w:sz w:val="22"/>
        </w:rPr>
        <w:t>SMBC Nikko</w:t>
      </w:r>
      <w:r>
        <w:rPr>
          <w:rFonts w:ascii="Times New Roman;Times;serif" w:hAnsi="Times New Roman;Times;serif"/>
          <w:b/>
          <w:i w:val="false"/>
          <w:caps w:val="false"/>
          <w:smallCaps w:val="false"/>
          <w:color w:val="000000"/>
          <w:sz w:val="22"/>
        </w:rPr>
        <w:t xml:space="preserve"> </w:t>
        <w:br/>
      </w:r>
      <w:r>
        <w:rPr>
          <w:rFonts w:ascii="Times New Roman;Times;serif" w:hAnsi="Times New Roman;Times;serif"/>
          <w:b/>
          <w:i w:val="false"/>
          <w:caps w:val="false"/>
          <w:smallCaps w:val="false"/>
          <w:color w:val="000000"/>
          <w:spacing w:val="-4"/>
          <w:sz w:val="22"/>
        </w:rPr>
        <w:t>CastleOak Securities, L.P.</w:t>
      </w:r>
      <w:r>
        <w:rPr>
          <w:rFonts w:ascii="Times New Roman;Times;serif" w:hAnsi="Times New Roman;Times;serif"/>
          <w:b/>
          <w:i w:val="false"/>
          <w:caps w:val="false"/>
          <w:smallCaps w:val="false"/>
          <w:color w:val="000000"/>
          <w:sz w:val="22"/>
        </w:rPr>
        <w:t xml:space="preserve"> </w:t>
        <w:br/>
      </w:r>
      <w:r>
        <w:rPr>
          <w:rFonts w:ascii="Times New Roman;Times;serif" w:hAnsi="Times New Roman;Times;serif"/>
          <w:b/>
          <w:i w:val="false"/>
          <w:caps w:val="false"/>
          <w:smallCaps w:val="false"/>
          <w:color w:val="000000"/>
          <w:spacing w:val="-4"/>
          <w:sz w:val="22"/>
        </w:rPr>
        <w:t>CAVU Securities</w:t>
      </w:r>
      <w:r>
        <w:rPr>
          <w:rFonts w:ascii="Times New Roman;Times;serif" w:hAnsi="Times New Roman;Times;serif"/>
          <w:b/>
          <w:i w:val="false"/>
          <w:caps w:val="false"/>
          <w:smallCaps w:val="false"/>
          <w:color w:val="000000"/>
          <w:sz w:val="22"/>
        </w:rPr>
        <w:t xml:space="preserve"> </w:t>
        <w:br/>
      </w:r>
      <w:r>
        <w:rPr>
          <w:rFonts w:ascii="Times New Roman;Times;serif" w:hAnsi="Times New Roman;Times;serif"/>
          <w:b/>
          <w:i w:val="false"/>
          <w:caps w:val="false"/>
          <w:smallCaps w:val="false"/>
          <w:color w:val="000000"/>
          <w:spacing w:val="-4"/>
          <w:sz w:val="22"/>
        </w:rPr>
        <w:t>Loop Capital Markets</w:t>
      </w:r>
      <w:r>
        <w:rPr>
          <w:rFonts w:ascii="Times New Roman;Times;serif" w:hAnsi="Times New Roman;Times;serif"/>
          <w:b/>
          <w:i w:val="false"/>
          <w:caps w:val="false"/>
          <w:smallCaps w:val="false"/>
          <w:color w:val="000000"/>
          <w:sz w:val="22"/>
        </w:rPr>
        <w:t xml:space="preserve"> </w:t>
        <w:br/>
      </w:r>
      <w:r>
        <w:rPr>
          <w:rFonts w:ascii="Times New Roman;Times;serif" w:hAnsi="Times New Roman;Times;serif"/>
          <w:b/>
          <w:i w:val="false"/>
          <w:caps w:val="false"/>
          <w:smallCaps w:val="false"/>
          <w:color w:val="000000"/>
          <w:spacing w:val="-4"/>
          <w:sz w:val="22"/>
        </w:rPr>
        <w:t>Stern</w:t>
      </w:r>
      <w:r>
        <w:rPr>
          <w:rFonts w:ascii="Times New Roman;Times;serif" w:hAnsi="Times New Roman;Times;serif"/>
          <w:b/>
          <w:i w:val="false"/>
          <w:caps w:val="false"/>
          <w:smallCaps w:val="false"/>
          <w:color w:val="000000"/>
          <w:spacing w:val="4"/>
          <w:sz w:val="22"/>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27, 2023 </w:t>
      </w:r>
    </w:p>
    <w:p>
      <w:pPr>
        <w:pStyle w:val="TextBody"/>
        <w:bidi w:val="0"/>
        <w:spacing w:before="2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tm2320058d4_ex-filingfees.htm"/>
      <w:bookmarkStart w:id="31" w:name="kstm2320058d4_exfilingfees"/>
      <w:bookmarkEnd w:id="30"/>
      <w:bookmarkEnd w:id="31"/>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424(b)(5)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and Carry Forward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68" w:type="dxa"/>
          <w:bottom w:w="0" w:type="dxa"/>
          <w:right w:w="0" w:type="dxa"/>
        </w:tblCellMar>
      </w:tblPr>
      <w:tblGrid>
        <w:gridCol w:w="665"/>
        <w:gridCol w:w="500"/>
        <w:gridCol w:w="2195"/>
        <w:gridCol w:w="695"/>
        <w:gridCol w:w="935"/>
        <w:gridCol w:w="605"/>
        <w:gridCol w:w="935"/>
        <w:gridCol w:w="725"/>
        <w:gridCol w:w="755"/>
        <w:gridCol w:w="485"/>
        <w:gridCol w:w="485"/>
        <w:gridCol w:w="515"/>
        <w:gridCol w:w="710"/>
      </w:tblGrid>
      <w:tr>
        <w:trPr/>
        <w:tc>
          <w:tcPr>
            <w:tcW w:w="665" w:type="dxa"/>
            <w:tcBorders>
              <w:top w:val="single" w:sz="8" w:space="0" w:color="000000"/>
              <w:left w:val="single" w:sz="8" w:space="0" w:color="000000"/>
            </w:tcBorders>
            <w:vAlign w:val="center"/>
          </w:tcPr>
          <w:p>
            <w:pPr>
              <w:pStyle w:val="TableContents"/>
              <w:bidi w:val="0"/>
              <w:spacing w:before="0" w:after="283"/>
              <w:jc w:val="center"/>
              <w:rPr/>
            </w:pPr>
            <w:r>
              <w:rPr/>
              <w:t> </w:t>
            </w:r>
          </w:p>
        </w:tc>
        <w:tc>
          <w:tcPr>
            <w:tcW w:w="500"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Security</w:t>
              <w:br/>
              <w:t>Type</w:t>
            </w:r>
          </w:p>
        </w:tc>
        <w:tc>
          <w:tcPr>
            <w:tcW w:w="2195" w:type="dxa"/>
            <w:tcBorders>
              <w:top w:val="single" w:sz="8" w:space="0" w:color="000000"/>
              <w:left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Security</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Class</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Title</w:t>
            </w:r>
          </w:p>
        </w:tc>
        <w:tc>
          <w:tcPr>
            <w:tcW w:w="6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Fee</w:t>
              <w:br/>
              <w:t>Calculation</w:t>
              <w:br/>
              <w:t>or Carry</w:t>
              <w:br/>
              <w:t>Forward</w:t>
              <w:br/>
              <w:t>Rule</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Amount</w:t>
              <w:br/>
              <w:t>Registered</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Proposed</w:t>
              <w:br/>
              <w:t>Maximum</w:t>
              <w:br/>
              <w:t>Offering</w:t>
              <w:br/>
              <w:t>Price Per</w:t>
              <w:br/>
              <w:t>Unit</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Maximum</w:t>
              <w:br/>
              <w:t>Aggregate</w:t>
              <w:br/>
              <w:t>Offering</w:t>
              <w:br/>
              <w:t>Price</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Fee</w:t>
              <w:br/>
              <w:t>Rate</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Amount of</w:t>
              <w:br/>
              <w:t>Registration</w:t>
              <w:br/>
              <w:t>Fee</w:t>
            </w:r>
          </w:p>
        </w:tc>
        <w:tc>
          <w:tcPr>
            <w:tcW w:w="485" w:type="dxa"/>
            <w:tcBorders>
              <w:top w:val="single" w:sz="8" w:space="0" w:color="000000"/>
              <w:left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Carry</w:t>
              <w:br/>
              <w:t>Forward</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Form</w:t>
              <w:br/>
              <w:t>Type</w:t>
            </w:r>
          </w:p>
        </w:tc>
        <w:tc>
          <w:tcPr>
            <w:tcW w:w="485" w:type="dxa"/>
            <w:tcBorders>
              <w:top w:val="single" w:sz="8" w:space="0" w:color="000000"/>
              <w:left w:val="single" w:sz="8"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Carry</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Forward</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File</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Number</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Carry</w:t>
              <w:br/>
              <w:t>Forward</w:t>
              <w:br/>
              <w:t>Initial</w:t>
              <w:br/>
              <w:t>effective</w:t>
              <w:br/>
              <w:t>date</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Filing Fee</w:t>
              <w:br/>
              <w:t>Previously</w:t>
              <w:br/>
              <w:t>Paid In</w:t>
              <w:br/>
              <w:t>Connection</w:t>
              <w:br/>
              <w:t>with</w:t>
              <w:br/>
              <w:t>Unsold</w:t>
              <w:br/>
              <w:t>Securities</w:t>
              <w:br/>
              <w:t>to be</w:t>
              <w:br/>
              <w:t>Carried</w:t>
              <w:br/>
              <w:t>Forward</w:t>
            </w:r>
          </w:p>
        </w:tc>
      </w:tr>
      <w:tr>
        <w:trPr/>
        <w:tc>
          <w:tcPr>
            <w:tcW w:w="10205" w:type="dxa"/>
            <w:gridSpan w:val="13"/>
            <w:tcBorders>
              <w:top w:val="single" w:sz="8" w:space="0" w:color="000000"/>
              <w:left w:val="single" w:sz="8" w:space="0" w:color="000000"/>
              <w:right w:val="single" w:sz="8" w:space="0" w:color="000000"/>
            </w:tcBorders>
            <w:tcMar>
              <w:top w:w="200" w:type="dxa"/>
              <w:right w:w="4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Newly Registered Securities</w:t>
            </w:r>
          </w:p>
        </w:tc>
      </w:tr>
      <w:tr>
        <w:trPr/>
        <w:tc>
          <w:tcPr>
            <w:tcW w:w="665" w:type="dxa"/>
            <w:tcBorders>
              <w:top w:val="single" w:sz="8" w:space="0" w:color="000000"/>
              <w:lef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Fees to Be</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Paid</w:t>
            </w:r>
          </w:p>
        </w:tc>
        <w:tc>
          <w:tcPr>
            <w:tcW w:w="500"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Debt</w:t>
            </w:r>
          </w:p>
        </w:tc>
        <w:tc>
          <w:tcPr>
            <w:tcW w:w="21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 xml:space="preserve">4.875% Senior Notes due 2029 of Waste </w:t>
              <w:br/>
              <w:t>Management, Inc.</w:t>
            </w:r>
          </w:p>
        </w:tc>
        <w:tc>
          <w:tcPr>
            <w:tcW w:w="6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457(r)</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$750,000,000</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99.314%</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$744,855,000</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0.00011020</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$82,083.02</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left"/>
              <w:rPr/>
            </w:pPr>
            <w:r>
              <w:rPr/>
              <w:t> </w:t>
            </w:r>
          </w:p>
        </w:tc>
      </w:tr>
      <w:tr>
        <w:trPr/>
        <w:tc>
          <w:tcPr>
            <w:tcW w:w="665" w:type="dxa"/>
            <w:tcBorders>
              <w:left w:val="single" w:sz="8" w:space="0" w:color="000000"/>
            </w:tcBorders>
            <w:tcMar>
              <w:top w:w="0" w:type="dxa"/>
            </w:tcMar>
            <w:vAlign w:val="center"/>
          </w:tcPr>
          <w:p>
            <w:pPr>
              <w:pStyle w:val="TableContents"/>
              <w:bidi w:val="0"/>
              <w:spacing w:before="0" w:after="283"/>
              <w:jc w:val="left"/>
              <w:rPr/>
            </w:pPr>
            <w:r>
              <w:rPr/>
              <w:t> </w:t>
            </w:r>
          </w:p>
        </w:tc>
        <w:tc>
          <w:tcPr>
            <w:tcW w:w="500"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Other</w:t>
            </w:r>
          </w:p>
        </w:tc>
        <w:tc>
          <w:tcPr>
            <w:tcW w:w="21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 xml:space="preserve">Guarantee of 4.875% Senior Notes due </w:t>
              <w:br/>
              <w:t xml:space="preserve">2029 of Waste Management, Inc. by Waste </w:t>
              <w:br/>
              <w:t xml:space="preserve">Management Holdings, Inc. </w:t>
            </w:r>
            <w:r>
              <w:rPr>
                <w:rFonts w:ascii="Times New Roman;Times;Serif" w:hAnsi="Times New Roman;Times;Serif"/>
                <w:position w:val="5"/>
                <w:sz w:val="11"/>
                <w:sz w:val="14"/>
              </w:rPr>
              <w:t>(1)</w:t>
            </w:r>
          </w:p>
        </w:tc>
        <w:tc>
          <w:tcPr>
            <w:tcW w:w="6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 xml:space="preserve">Other </w:t>
            </w:r>
            <w:r>
              <w:rPr>
                <w:rFonts w:ascii="Times New Roman;Times;Serif" w:hAnsi="Times New Roman;Times;Serif"/>
                <w:position w:val="5"/>
                <w:sz w:val="11"/>
                <w:sz w:val="14"/>
              </w:rPr>
              <w:t>(1)</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 xml:space="preserve">— </w:t>
            </w:r>
            <w:r>
              <w:rPr>
                <w:rFonts w:ascii="Times New Roman;Times;Serif" w:hAnsi="Times New Roman;Times;Serif"/>
                <w:position w:val="5"/>
                <w:sz w:val="11"/>
                <w:sz w:val="14"/>
              </w:rPr>
              <w:t>(1)</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left"/>
              <w:rPr/>
            </w:pPr>
            <w:r>
              <w:rPr/>
              <w:t> </w:t>
            </w:r>
          </w:p>
        </w:tc>
      </w:tr>
      <w:tr>
        <w:trPr/>
        <w:tc>
          <w:tcPr>
            <w:tcW w:w="665" w:type="dxa"/>
            <w:tcBorders>
              <w:left w:val="single" w:sz="8" w:space="0" w:color="000000"/>
            </w:tcBorders>
            <w:tcMar>
              <w:top w:w="0" w:type="dxa"/>
            </w:tcMar>
            <w:vAlign w:val="center"/>
          </w:tcPr>
          <w:p>
            <w:pPr>
              <w:pStyle w:val="TableContents"/>
              <w:bidi w:val="0"/>
              <w:spacing w:before="0" w:after="283"/>
              <w:jc w:val="left"/>
              <w:rPr/>
            </w:pPr>
            <w:r>
              <w:rPr/>
              <w:t> </w:t>
            </w:r>
          </w:p>
        </w:tc>
        <w:tc>
          <w:tcPr>
            <w:tcW w:w="500"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Debt</w:t>
            </w:r>
          </w:p>
        </w:tc>
        <w:tc>
          <w:tcPr>
            <w:tcW w:w="21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4.875% Senior Notes due 2034 of Waste</w:t>
              <w:br/>
              <w:t>Management, Inc.</w:t>
            </w:r>
          </w:p>
        </w:tc>
        <w:tc>
          <w:tcPr>
            <w:tcW w:w="6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457(r)</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$1,250,000,000</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98.502%</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$1,231,275,000</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0.00011020</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$135,686.51</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left"/>
              <w:rPr/>
            </w:pPr>
            <w:r>
              <w:rPr/>
              <w:t> </w:t>
            </w:r>
          </w:p>
        </w:tc>
      </w:tr>
      <w:tr>
        <w:trPr/>
        <w:tc>
          <w:tcPr>
            <w:tcW w:w="665" w:type="dxa"/>
            <w:tcBorders>
              <w:left w:val="single" w:sz="8" w:space="0" w:color="000000"/>
            </w:tcBorders>
            <w:tcMar>
              <w:top w:w="0" w:type="dxa"/>
            </w:tcMar>
            <w:vAlign w:val="center"/>
          </w:tcPr>
          <w:p>
            <w:pPr>
              <w:pStyle w:val="TableContents"/>
              <w:bidi w:val="0"/>
              <w:spacing w:before="0" w:after="283"/>
              <w:jc w:val="left"/>
              <w:rPr/>
            </w:pPr>
            <w:r>
              <w:rPr/>
              <w:t> </w:t>
            </w:r>
          </w:p>
        </w:tc>
        <w:tc>
          <w:tcPr>
            <w:tcW w:w="500"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Other</w:t>
            </w:r>
          </w:p>
        </w:tc>
        <w:tc>
          <w:tcPr>
            <w:tcW w:w="21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 xml:space="preserve">Guarantee of 4.875% Senior Notes due </w:t>
              <w:br/>
              <w:t xml:space="preserve">2034 of Waste Management, Inc. by Waste </w:t>
              <w:br/>
              <w:t xml:space="preserve">Management Holdings, Inc. </w:t>
            </w:r>
            <w:r>
              <w:rPr>
                <w:rFonts w:ascii="Times New Roman;Times;Serif" w:hAnsi="Times New Roman;Times;Serif"/>
                <w:position w:val="5"/>
                <w:sz w:val="11"/>
                <w:sz w:val="14"/>
              </w:rPr>
              <w:t>(1)</w:t>
            </w:r>
          </w:p>
        </w:tc>
        <w:tc>
          <w:tcPr>
            <w:tcW w:w="6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 xml:space="preserve">Other </w:t>
            </w:r>
            <w:r>
              <w:rPr>
                <w:rFonts w:ascii="Times New Roman;Times;Serif" w:hAnsi="Times New Roman;Times;Serif"/>
                <w:position w:val="5"/>
                <w:sz w:val="11"/>
                <w:sz w:val="14"/>
              </w:rPr>
              <w:t>(1)</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 xml:space="preserve">— </w:t>
            </w:r>
            <w:r>
              <w:rPr>
                <w:rFonts w:ascii="Times New Roman;Times;Serif" w:hAnsi="Times New Roman;Times;Serif"/>
                <w:position w:val="5"/>
                <w:sz w:val="11"/>
                <w:sz w:val="14"/>
              </w:rPr>
              <w:t>(1)</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left"/>
              <w:rPr/>
            </w:pPr>
            <w:r>
              <w:rPr/>
              <w:t> </w:t>
            </w:r>
          </w:p>
        </w:tc>
      </w:tr>
      <w:tr>
        <w:trPr/>
        <w:tc>
          <w:tcPr>
            <w:tcW w:w="665" w:type="dxa"/>
            <w:tcBorders>
              <w:top w:val="single" w:sz="8" w:space="0" w:color="000000"/>
              <w:lef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Fees</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Previously</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Paid</w:t>
            </w:r>
          </w:p>
        </w:tc>
        <w:tc>
          <w:tcPr>
            <w:tcW w:w="500"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21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6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 </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left"/>
              <w:rPr/>
            </w:pPr>
            <w:r>
              <w:rPr/>
              <w:t> </w:t>
            </w:r>
          </w:p>
        </w:tc>
      </w:tr>
      <w:tr>
        <w:trPr/>
        <w:tc>
          <w:tcPr>
            <w:tcW w:w="10205" w:type="dxa"/>
            <w:gridSpan w:val="13"/>
            <w:tcBorders>
              <w:top w:val="single" w:sz="8" w:space="0" w:color="000000"/>
              <w:left w:val="single" w:sz="8" w:space="0" w:color="000000"/>
              <w:right w:val="single" w:sz="8" w:space="0" w:color="000000"/>
            </w:tcBorders>
            <w:tcMar>
              <w:top w:w="200" w:type="dxa"/>
              <w:right w:w="4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Carry Forward Securities</w:t>
            </w:r>
          </w:p>
        </w:tc>
      </w:tr>
      <w:tr>
        <w:trPr/>
        <w:tc>
          <w:tcPr>
            <w:tcW w:w="665" w:type="dxa"/>
            <w:tcBorders>
              <w:top w:val="single" w:sz="8" w:space="0" w:color="000000"/>
              <w:lef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Carry</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Forward</w:t>
            </w:r>
          </w:p>
          <w:p>
            <w:pPr>
              <w:pStyle w:val="TableContents"/>
              <w:bidi w:val="0"/>
              <w:spacing w:before="0" w:after="0"/>
              <w:ind w:left="0" w:right="0" w:hanging="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Securities</w:t>
            </w:r>
          </w:p>
        </w:tc>
        <w:tc>
          <w:tcPr>
            <w:tcW w:w="500"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21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69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 </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N/A</w:t>
            </w:r>
          </w:p>
        </w:tc>
      </w:tr>
      <w:tr>
        <w:trPr/>
        <w:tc>
          <w:tcPr>
            <w:tcW w:w="665" w:type="dxa"/>
            <w:tcBorders>
              <w:top w:val="single" w:sz="8" w:space="0" w:color="000000"/>
              <w:left w:val="single" w:sz="8" w:space="0" w:color="000000"/>
            </w:tcBorders>
            <w:tcMar>
              <w:top w:w="100" w:type="dxa"/>
            </w:tcMar>
            <w:vAlign w:val="center"/>
          </w:tcPr>
          <w:p>
            <w:pPr>
              <w:pStyle w:val="TableContents"/>
              <w:bidi w:val="0"/>
              <w:spacing w:before="0" w:after="283"/>
              <w:jc w:val="left"/>
              <w:rPr/>
            </w:pPr>
            <w:r>
              <w:rPr/>
              <w:t> </w:t>
            </w:r>
          </w:p>
        </w:tc>
        <w:tc>
          <w:tcPr>
            <w:tcW w:w="4325" w:type="dxa"/>
            <w:gridSpan w:val="4"/>
            <w:tcBorders>
              <w:top w:val="single" w:sz="8" w:space="0" w:color="000000"/>
              <w:left w:val="single" w:sz="8" w:space="0" w:color="000000"/>
            </w:tcBorders>
            <w:tcMar>
              <w:top w:w="100" w:type="dxa"/>
              <w:left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 xml:space="preserve">Total Offering Amounts </w:t>
            </w:r>
          </w:p>
        </w:tc>
        <w:tc>
          <w:tcPr>
            <w:tcW w:w="605" w:type="dxa"/>
            <w:tcBorders>
              <w:top w:val="single" w:sz="8" w:space="0" w:color="000000"/>
              <w:left w:val="single" w:sz="8" w:space="0" w:color="000000"/>
            </w:tcBorders>
            <w:tcMar>
              <w:top w:w="100" w:type="dxa"/>
              <w:left w:w="28" w:type="dxa"/>
            </w:tcMar>
            <w:vAlign w:val="center"/>
          </w:tcPr>
          <w:p>
            <w:pPr>
              <w:pStyle w:val="TableContents"/>
              <w:bidi w:val="0"/>
              <w:spacing w:before="0" w:after="283"/>
              <w:jc w:val="left"/>
              <w:rPr/>
            </w:pPr>
            <w:r>
              <w:rPr/>
              <w:t> </w:t>
            </w:r>
          </w:p>
        </w:tc>
        <w:tc>
          <w:tcPr>
            <w:tcW w:w="935" w:type="dxa"/>
            <w:tcBorders>
              <w:top w:val="single" w:sz="8" w:space="0" w:color="000000"/>
              <w:left w:val="single" w:sz="8" w:space="0" w:color="000000"/>
            </w:tcBorders>
            <w:tcMar>
              <w:top w:w="100" w:type="dxa"/>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$1,976,130,000</w:t>
            </w:r>
          </w:p>
        </w:tc>
        <w:tc>
          <w:tcPr>
            <w:tcW w:w="725" w:type="dxa"/>
            <w:tcBorders>
              <w:top w:val="single" w:sz="8" w:space="0" w:color="000000"/>
              <w:left w:val="single" w:sz="8" w:space="0" w:color="000000"/>
            </w:tcBorders>
            <w:tcMar>
              <w:top w:w="100" w:type="dxa"/>
              <w:left w:w="28" w:type="dxa"/>
            </w:tcMar>
            <w:vAlign w:val="center"/>
          </w:tcPr>
          <w:p>
            <w:pPr>
              <w:pStyle w:val="TableContents"/>
              <w:bidi w:val="0"/>
              <w:spacing w:before="0" w:after="283"/>
              <w:jc w:val="center"/>
              <w:rPr/>
            </w:pPr>
            <w:r>
              <w:rPr/>
              <w:t> </w:t>
            </w:r>
          </w:p>
        </w:tc>
        <w:tc>
          <w:tcPr>
            <w:tcW w:w="755" w:type="dxa"/>
            <w:tcBorders>
              <w:top w:val="single" w:sz="8" w:space="0" w:color="000000"/>
              <w:left w:val="single" w:sz="8" w:space="0" w:color="000000"/>
            </w:tcBorders>
            <w:tcMar>
              <w:top w:w="100" w:type="dxa"/>
              <w:left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$217,769.53</w:t>
            </w:r>
          </w:p>
        </w:tc>
        <w:tc>
          <w:tcPr>
            <w:tcW w:w="485" w:type="dxa"/>
            <w:tcBorders>
              <w:top w:val="single" w:sz="8" w:space="0" w:color="000000"/>
              <w:left w:val="single" w:sz="8" w:space="0" w:color="000000"/>
            </w:tcBorders>
            <w:tcMar>
              <w:top w:w="100" w:type="dxa"/>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top w:w="100" w:type="dxa"/>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top w:w="100" w:type="dxa"/>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top w:w="100" w:type="dxa"/>
              <w:left w:w="28" w:type="dxa"/>
              <w:right w:w="48" w:type="dxa"/>
            </w:tcMar>
            <w:vAlign w:val="center"/>
          </w:tcPr>
          <w:p>
            <w:pPr>
              <w:pStyle w:val="TableContents"/>
              <w:bidi w:val="0"/>
              <w:spacing w:before="0" w:after="283"/>
              <w:jc w:val="left"/>
              <w:rPr/>
            </w:pPr>
            <w:r>
              <w:rPr/>
              <w:t> </w:t>
            </w:r>
          </w:p>
        </w:tc>
      </w:tr>
      <w:tr>
        <w:trPr/>
        <w:tc>
          <w:tcPr>
            <w:tcW w:w="66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4325" w:type="dxa"/>
            <w:gridSpan w:val="4"/>
            <w:tcBorders>
              <w:top w:val="single" w:sz="8" w:space="0" w:color="000000"/>
              <w:left w:val="single" w:sz="8" w:space="0" w:color="000000"/>
            </w:tcBorders>
            <w:tcMar>
              <w:left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 xml:space="preserve">Total Fees Previously Paid </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 </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left"/>
              <w:rPr/>
            </w:pPr>
            <w:r>
              <w:rPr/>
              <w:t> </w:t>
            </w:r>
          </w:p>
        </w:tc>
      </w:tr>
      <w:tr>
        <w:trPr/>
        <w:tc>
          <w:tcPr>
            <w:tcW w:w="66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4325" w:type="dxa"/>
            <w:gridSpan w:val="4"/>
            <w:tcBorders>
              <w:top w:val="single" w:sz="8" w:space="0" w:color="000000"/>
              <w:left w:val="single" w:sz="8" w:space="0" w:color="000000"/>
            </w:tcBorders>
            <w:tcMar>
              <w:left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 xml:space="preserve">Total Fee Offsets </w:t>
            </w:r>
          </w:p>
        </w:tc>
        <w:tc>
          <w:tcPr>
            <w:tcW w:w="60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93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2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 </w:t>
            </w:r>
          </w:p>
        </w:tc>
        <w:tc>
          <w:tcPr>
            <w:tcW w:w="755" w:type="dxa"/>
            <w:tcBorders>
              <w:top w:val="single" w:sz="8" w:space="0" w:color="000000"/>
              <w:left w:val="single" w:sz="8" w:space="0" w:color="000000"/>
            </w:tcBorders>
            <w:tcMar>
              <w:left w:w="28" w:type="dxa"/>
            </w:tcMar>
            <w:vAlign w:val="center"/>
          </w:tcPr>
          <w:p>
            <w:pPr>
              <w:pStyle w:val="TableContents"/>
              <w:bidi w:val="0"/>
              <w:spacing w:before="0" w:after="283"/>
              <w:jc w:val="center"/>
              <w:rPr/>
            </w:pPr>
            <w:r>
              <w:rPr/>
              <w:t>—</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right w:val="single" w:sz="8" w:space="0" w:color="000000"/>
            </w:tcBorders>
            <w:tcMar>
              <w:left w:w="28" w:type="dxa"/>
              <w:right w:w="48" w:type="dxa"/>
            </w:tcMar>
            <w:vAlign w:val="center"/>
          </w:tcPr>
          <w:p>
            <w:pPr>
              <w:pStyle w:val="TableContents"/>
              <w:bidi w:val="0"/>
              <w:spacing w:before="0" w:after="283"/>
              <w:jc w:val="left"/>
              <w:rPr/>
            </w:pPr>
            <w:r>
              <w:rPr/>
              <w:t> </w:t>
            </w:r>
          </w:p>
        </w:tc>
      </w:tr>
      <w:tr>
        <w:trPr/>
        <w:tc>
          <w:tcPr>
            <w:tcW w:w="665" w:type="dxa"/>
            <w:tcBorders>
              <w:top w:val="single" w:sz="8" w:space="0" w:color="000000"/>
              <w:left w:val="single" w:sz="8" w:space="0" w:color="000000"/>
              <w:bottom w:val="single" w:sz="8" w:space="0" w:color="000000"/>
            </w:tcBorders>
            <w:tcMar>
              <w:top w:w="100" w:type="dxa"/>
              <w:bottom w:w="28" w:type="dxa"/>
            </w:tcMar>
            <w:vAlign w:val="center"/>
          </w:tcPr>
          <w:p>
            <w:pPr>
              <w:pStyle w:val="TableContents"/>
              <w:bidi w:val="0"/>
              <w:spacing w:before="0" w:after="283"/>
              <w:jc w:val="left"/>
              <w:rPr/>
            </w:pPr>
            <w:r>
              <w:rPr/>
              <w:t> </w:t>
            </w:r>
          </w:p>
        </w:tc>
        <w:tc>
          <w:tcPr>
            <w:tcW w:w="4325" w:type="dxa"/>
            <w:gridSpan w:val="4"/>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right"/>
              <w:rPr>
                <w:rFonts w:ascii="Times New Roman;Times;Serif" w:hAnsi="Times New Roman;Times;Serif"/>
                <w:sz w:val="14"/>
              </w:rPr>
            </w:pPr>
            <w:r>
              <w:rPr>
                <w:rFonts w:ascii="Times New Roman;Times;Serif" w:hAnsi="Times New Roman;Times;Serif"/>
                <w:sz w:val="14"/>
              </w:rPr>
              <w:t xml:space="preserve">Net Fee Due </w:t>
            </w:r>
          </w:p>
        </w:tc>
        <w:tc>
          <w:tcPr>
            <w:tcW w:w="605" w:type="dxa"/>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left"/>
              <w:rPr/>
            </w:pPr>
            <w:r>
              <w:rPr/>
              <w:t> </w:t>
            </w:r>
          </w:p>
        </w:tc>
        <w:tc>
          <w:tcPr>
            <w:tcW w:w="935" w:type="dxa"/>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left"/>
              <w:rPr/>
            </w:pPr>
            <w:r>
              <w:rPr/>
              <w:t> </w:t>
            </w:r>
          </w:p>
        </w:tc>
        <w:tc>
          <w:tcPr>
            <w:tcW w:w="725" w:type="dxa"/>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center"/>
              <w:rPr/>
            </w:pPr>
            <w:r>
              <w:rPr/>
              <w:t> </w:t>
            </w:r>
          </w:p>
        </w:tc>
        <w:tc>
          <w:tcPr>
            <w:tcW w:w="755" w:type="dxa"/>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center"/>
              <w:rPr>
                <w:rFonts w:ascii="Times New Roman;Times;Serif" w:hAnsi="Times New Roman;Times;Serif"/>
                <w:sz w:val="14"/>
              </w:rPr>
            </w:pPr>
            <w:r>
              <w:rPr>
                <w:rFonts w:ascii="Times New Roman;Times;Serif" w:hAnsi="Times New Roman;Times;Serif"/>
                <w:sz w:val="14"/>
              </w:rPr>
              <w:t>$217,769.53</w:t>
            </w:r>
          </w:p>
        </w:tc>
        <w:tc>
          <w:tcPr>
            <w:tcW w:w="485" w:type="dxa"/>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left"/>
              <w:rPr/>
            </w:pPr>
            <w:r>
              <w:rPr/>
              <w:t> </w:t>
            </w:r>
          </w:p>
        </w:tc>
        <w:tc>
          <w:tcPr>
            <w:tcW w:w="485" w:type="dxa"/>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left"/>
              <w:rPr/>
            </w:pPr>
            <w:r>
              <w:rPr/>
              <w:t> </w:t>
            </w:r>
          </w:p>
        </w:tc>
        <w:tc>
          <w:tcPr>
            <w:tcW w:w="515" w:type="dxa"/>
            <w:tcBorders>
              <w:top w:val="single" w:sz="8" w:space="0" w:color="000000"/>
              <w:left w:val="single" w:sz="8" w:space="0" w:color="000000"/>
              <w:bottom w:val="single" w:sz="8" w:space="0" w:color="000000"/>
            </w:tcBorders>
            <w:tcMar>
              <w:top w:w="100" w:type="dxa"/>
              <w:left w:w="28" w:type="dxa"/>
              <w:bottom w:w="28" w:type="dxa"/>
            </w:tcMar>
            <w:vAlign w:val="center"/>
          </w:tcPr>
          <w:p>
            <w:pPr>
              <w:pStyle w:val="TableContents"/>
              <w:bidi w:val="0"/>
              <w:spacing w:before="0" w:after="283"/>
              <w:jc w:val="left"/>
              <w:rPr/>
            </w:pPr>
            <w:r>
              <w:rPr/>
              <w:t> </w:t>
            </w:r>
          </w:p>
        </w:tc>
        <w:tc>
          <w:tcPr>
            <w:tcW w:w="710" w:type="dxa"/>
            <w:tcBorders>
              <w:top w:val="single" w:sz="8" w:space="0" w:color="000000"/>
              <w:left w:val="single" w:sz="8" w:space="0" w:color="000000"/>
              <w:bottom w:val="single" w:sz="8" w:space="0" w:color="000000"/>
              <w:right w:val="single" w:sz="8" w:space="0" w:color="000000"/>
            </w:tcBorders>
            <w:tcMar>
              <w:top w:w="100" w:type="dxa"/>
              <w:left w:w="28" w:type="dxa"/>
              <w:bottom w:w="28" w:type="dxa"/>
              <w:right w:w="4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Waste Management Holdings, Inc. will fully and unconditionally guarantee the 4.875% Senior Notes due 2029 and 4.875% Senior Notes due 2034, each issued by Waste Management, Inc. Pursuant to Rule 457(n) under the Securities Act of 1933, as amended, no separate fee is payable with respect to each such guarantee.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823768/000155837023000964/wm-20221231x10k.htm" TargetMode="External"/><Relationship Id="rId4" Type="http://schemas.openxmlformats.org/officeDocument/2006/relationships/hyperlink" Target="http://www.sec.gov/ix?doc=/Archives/edgar/data/823768/000155837023007024/wm-20230331x10q.htm" TargetMode="External"/><Relationship Id="rId5" Type="http://schemas.openxmlformats.org/officeDocument/2006/relationships/hyperlink" Target="http://www.sec.gov/ix?doc=/Archives/edgar/data/823768/000155837023000964/wm-20221231x10k.htm" TargetMode="External"/><Relationship Id="rId6" Type="http://schemas.openxmlformats.org/officeDocument/2006/relationships/hyperlink" Target="http://www.sec.gov/ix?doc=/Archives/edgar/data/823768/000155837023000964/wm-20221231x10k.htm" TargetMode="External"/><Relationship Id="rId7" Type="http://schemas.openxmlformats.org/officeDocument/2006/relationships/hyperlink" Target="http://www.sec.gov/ix?doc=/Archives/edgar/data/823768/000155837023007024/wm-20230331x10q.htm" TargetMode="External"/><Relationship Id="rId8" Type="http://schemas.openxmlformats.org/officeDocument/2006/relationships/hyperlink" Target="https://www.sec.gov/ix?doc=/Archives/edgar/data/823768/000155837023012266/wm-20230630x10q.htm" TargetMode="External"/><Relationship Id="rId9" Type="http://schemas.openxmlformats.org/officeDocument/2006/relationships/hyperlink" Target="http://www.sec.gov/ix?doc=/Archives/edgar/data/823768/000110465923011281/tm235358d1_8k.htm" TargetMode="External"/><Relationship Id="rId10" Type="http://schemas.openxmlformats.org/officeDocument/2006/relationships/hyperlink" Target="http://www.sec.gov/ix?doc=/Archives/edgar/data/823768/000110465923019722/tm235749d5_8k.htm" TargetMode="External"/><Relationship Id="rId11" Type="http://schemas.openxmlformats.org/officeDocument/2006/relationships/hyperlink" Target="http://www.sec.gov/ix?doc=/Archives/edgar/data/823768/000110465923030666/tm238966d1_8k.htm" TargetMode="External"/><Relationship Id="rId12" Type="http://schemas.openxmlformats.org/officeDocument/2006/relationships/hyperlink" Target="http://www.sec.gov/ix?doc=/Archives/edgar/data/823768/000110465923058503/tm2315236d1_8k.htm" TargetMode="External"/><Relationship Id="rId13" Type="http://schemas.openxmlformats.org/officeDocument/2006/relationships/hyperlink" Target="http://www.sec.gov/ix?doc=/Archives/edgar/data/823768/000110465923037529/tm231382d2_def14a.htm" TargetMode="External"/><Relationship Id="rId14" Type="http://schemas.openxmlformats.org/officeDocument/2006/relationships/hyperlink" Target="http://www.sec.gov/ix?doc=/Archives/edgar/data/823768/000155837023000964/wm-20221231x10k.htm" TargetMode="External"/><Relationship Id="rId15" Type="http://schemas.openxmlformats.org/officeDocument/2006/relationships/image" Target="media/image1.jpeg"/><Relationship Id="rId16" Type="http://schemas.openxmlformats.org/officeDocument/2006/relationships/hyperlink" Target="http://www.sec.gov/ix?doc=/Archives/edgar/data/823768/000155837022001179/wm-20211231x10k.htm" TargetMode="External"/><Relationship Id="rId17" Type="http://schemas.openxmlformats.org/officeDocument/2006/relationships/hyperlink" Target="http://www.sec.gov/ix?doc=/Archives/edgar/data/823768/000155837022004593/wm-20211231x10ka.htm" TargetMode="External"/><Relationship Id="rId18" Type="http://schemas.openxmlformats.org/officeDocument/2006/relationships/hyperlink" Target="http://www.sec.gov/ix?doc=/Archives/edgar/data/823768/000155837022005976/wm-20220331x10q.htm" TargetMode="External"/><Relationship Id="rId19" Type="http://schemas.openxmlformats.org/officeDocument/2006/relationships/hyperlink" Target="http://www.sec.gov/ix?doc=/Archives/edgar/data/823768/000110465922030973/tm228341d1_8k.htm" TargetMode="External"/><Relationship Id="rId20" Type="http://schemas.openxmlformats.org/officeDocument/2006/relationships/hyperlink" Target="http://www.sec.gov/Archives/edgar/data/823768/000110465922039107/tm223363-1_def14a.htm" TargetMode="External"/><Relationship Id="rId21" Type="http://schemas.openxmlformats.org/officeDocument/2006/relationships/hyperlink" Target="http://www.sec.gov/ix?doc=/Archives/edgar/data/823768/000155837022004593/wm-20211231x10ka.htm" TargetMode="External"/><Relationship Id="rId22" Type="http://schemas.openxmlformats.org/officeDocument/2006/relationships/hyperlink" Target="http://www.sec.gov/Archives/edgar/data/823768/0000950134-95-001585-index.htm" TargetMode="External"/><Relationship Id="rId23" Type="http://schemas.openxmlformats.org/officeDocument/2006/relationships/hyperlink" Target="http://www.sec.gov/Archives/edgar/data/823768/000155837020000762/ex-4d9.htm" TargetMode="External"/><Relationship Id="rId24" Type="http://schemas.openxmlformats.org/officeDocument/2006/relationships/hyperlink" Target="http://www.sec.gov/ix?doc=/Archives/edgar/data/823768/000155837022001179/wm-20211231x10k.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34600</Words>
  <Characters>182251</Characters>
  <CharactersWithSpaces>218569</CharactersWithSpaces>
  <Paragraphs>2696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