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0001544705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Morris John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7979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1955413.53</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403335781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80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6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01/29/2026 performance share 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7979</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01/29/2026 issuer equity</w:t>
            </w:r>
          </w:p>
        </w:tc>
      </w:tr>
      <w:tr>
        <w:trPr>
          <w:trHeight w:val="282"/>
        </w:trPr>
        <w:tc>
          <w:tcPr>
            <w:tcW w:w="380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awards</w:t>
            </w:r>
          </w:p>
        </w:tc>
        <w:tc>
          <w:tcPr>
            <w:tcW w:w="26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0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Morris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gridSpan w:val="2"/>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01/30/2026 690</w:t>
            </w:r>
          </w:p>
        </w:tc>
        <w:tc>
          <w:tcPr>
            <w:tcW w:w="160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151444.65</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03/06/2026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12/04/2025</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Morris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2026-03-06T15:47:46Z</dcterms:created>
  <dcterms:modified xsi:type="dcterms:W3CDTF">2026-03-06T15:47:46Z</dcterms:modified>
</cp:coreProperties>
</file>