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AS FILED WITH THE SECURITIES AND EXCHANGE COMMISSION ON SEPTEMBER 6, 2000</w:t>
      </w:r>
    </w:p>
    <w:p>
      <w:pPr>
        <w:spacing w:after="0" w:line="196" w:lineRule="exact"/>
        <w:rPr>
          <w:sz w:val="24"/>
          <w:szCs w:val="24"/>
          <w:color w:val="auto"/>
        </w:rPr>
      </w:pPr>
    </w:p>
    <w:p>
      <w:pPr>
        <w:ind w:left="5460"/>
        <w:spacing w:after="0"/>
        <w:rPr>
          <w:sz w:val="20"/>
          <w:szCs w:val="20"/>
          <w:color w:val="auto"/>
        </w:rPr>
      </w:pPr>
      <w:r>
        <w:rPr>
          <w:rFonts w:ascii="Courier New" w:cs="Courier New" w:eastAsia="Courier New" w:hAnsi="Courier New"/>
          <w:sz w:val="17"/>
          <w:szCs w:val="17"/>
          <w:color w:val="auto"/>
        </w:rPr>
        <w:t>REGISTRATION NO. 33-84990</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POST EFFECTIVE AMENDMENT NO. 2</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TO</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120"/>
          </w:cols>
          <w:pgMar w:left="240" w:top="243" w:right="539" w:bottom="1440" w:gutter="0" w:footer="0" w:header="0"/>
        </w:sectPr>
      </w:pPr>
    </w:p>
    <w:p>
      <w:pPr>
        <w:spacing w:after="0" w:line="200" w:lineRule="exact"/>
        <w:rPr>
          <w:sz w:val="24"/>
          <w:szCs w:val="24"/>
          <w:color w:val="auto"/>
        </w:rPr>
      </w:pPr>
    </w:p>
    <w:p>
      <w:pPr>
        <w:spacing w:after="0" w:line="385"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(State or other jurisdiction of incorporation or</w:t>
      </w:r>
    </w:p>
    <w:p>
      <w:pPr>
        <w:spacing w:after="0" w:line="11"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jc w:val="center"/>
        <w:ind w:right="-99"/>
        <w:spacing w:after="0"/>
        <w:rPr>
          <w:sz w:val="20"/>
          <w:szCs w:val="20"/>
          <w:color w:val="auto"/>
        </w:rPr>
      </w:pPr>
      <w:r>
        <w:rPr>
          <w:rFonts w:ascii="Courier New" w:cs="Courier New" w:eastAsia="Courier New" w:hAnsi="Courier New"/>
          <w:sz w:val="17"/>
          <w:szCs w:val="17"/>
          <w:color w:val="auto"/>
        </w:rPr>
        <w:t>73-1309529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403" w:lineRule="exact"/>
        <w:rPr>
          <w:sz w:val="24"/>
          <w:szCs w:val="24"/>
          <w:color w:val="auto"/>
        </w:rPr>
      </w:pPr>
    </w:p>
    <w:p>
      <w:pPr>
        <w:sectPr>
          <w:pgSz w:w="11900" w:h="16838" w:orient="portrait"/>
          <w:cols w:equalWidth="0" w:num="2">
            <w:col w:w="6460" w:space="720"/>
            <w:col w:w="3940"/>
          </w:cols>
          <w:pgMar w:left="240" w:top="243" w:right="539" w:bottom="1440" w:gutter="0" w:footer="0" w:header="0"/>
          <w:type w:val="continuous"/>
        </w:sectPr>
      </w:pPr>
    </w:p>
    <w:p>
      <w:pPr>
        <w:spacing w:after="0" w:line="191"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HOUSTON, TEXAS 77001</w:t>
      </w:r>
    </w:p>
    <w:p>
      <w:pPr>
        <w:spacing w:after="0" w:line="2"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1" w:lineRule="exact"/>
        <w:rPr>
          <w:sz w:val="24"/>
          <w:szCs w:val="24"/>
          <w:color w:val="auto"/>
        </w:rPr>
      </w:pPr>
    </w:p>
    <w:p>
      <w:pPr>
        <w:jc w:val="center"/>
        <w:ind w:right="3140"/>
        <w:spacing w:after="0"/>
        <w:rPr>
          <w:sz w:val="20"/>
          <w:szCs w:val="20"/>
          <w:color w:val="auto"/>
        </w:rPr>
      </w:pPr>
      <w:r>
        <w:rPr>
          <w:rFonts w:ascii="Courier New" w:cs="Courier New" w:eastAsia="Courier New" w:hAnsi="Courier New"/>
          <w:sz w:val="17"/>
          <w:szCs w:val="17"/>
          <w:color w:val="auto"/>
        </w:rPr>
        <w:t>Registrant's principal executive offices)</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140"/>
        <w:spacing w:after="0"/>
        <w:rPr>
          <w:sz w:val="20"/>
          <w:szCs w:val="20"/>
          <w:color w:val="auto"/>
        </w:rPr>
      </w:pPr>
      <w:r>
        <w:rPr>
          <w:rFonts w:ascii="Courier New" w:cs="Courier New" w:eastAsia="Courier New" w:hAnsi="Courier New"/>
          <w:sz w:val="17"/>
          <w:szCs w:val="17"/>
          <w:color w:val="auto"/>
        </w:rPr>
        <w:t>ENVIROFILL EMPLOYEE 1993 STOCK INCENTIVE PLAN</w:t>
      </w:r>
    </w:p>
    <w:p>
      <w:pPr>
        <w:spacing w:after="0" w:line="196"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(Full titles of the Plans)</w:t>
      </w:r>
    </w:p>
    <w:p>
      <w:pPr>
        <w:spacing w:after="0" w:line="196"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LAWRENCE O'DONNELL, III</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HOUSTON, TEXAS 77002</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ind w:left="1820" w:right="4240" w:hanging="699"/>
        <w:spacing w:after="0" w:line="269" w:lineRule="auto"/>
        <w:tabs>
          <w:tab w:leader="none" w:pos="180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75"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120"/>
          </w:cols>
          <w:pgMar w:left="240" w:top="243" w:right="539"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87"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Waste Management, Inc., a Delaware corporation formerly known as USA Waste Services, Inc. (the "Company"), registered the issuance of up to 443,182 shares of its common stock, par value $0.01 per share (the "Common Stock"), on Registration Statement on Form S-8 No. 33-84990 (the "Registration Statement") pursuant to the Envirofill Employee 1993 Stock Incentive Plan (the "Plan"). A total of 417,532 were issued under the Plan. On September 1, 2000, the Company filed a registration statement on Form S-8 No. 333-45066 (the "New Registration Statement") registering the issuance of up to 25,650 shares pursuant to the Plan.</w:t>
      </w:r>
    </w:p>
    <w:p>
      <w:pPr>
        <w:spacing w:after="0" w:line="204"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25,650 shares from registration, which represents the 443,182 shares originally registered pursuant to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385"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3620" w:firstLine="910"/>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93"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WASTE MANAGEMENT, INC.</w:t>
      </w:r>
    </w:p>
    <w:p>
      <w:pPr>
        <w:spacing w:after="0" w:line="200" w:lineRule="exact"/>
        <w:rPr>
          <w:sz w:val="20"/>
          <w:szCs w:val="20"/>
          <w:color w:val="auto"/>
        </w:rPr>
      </w:pPr>
    </w:p>
    <w:p>
      <w:pPr>
        <w:spacing w:after="0" w:line="385"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By: A. Maurice Myers</w:t>
      </w:r>
    </w:p>
    <w:p>
      <w:pPr>
        <w:spacing w:after="0" w:line="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2" w:lineRule="exact"/>
        <w:rPr>
          <w:sz w:val="20"/>
          <w:szCs w:val="20"/>
          <w:color w:val="auto"/>
        </w:rPr>
      </w:pPr>
    </w:p>
    <w:p>
      <w:pPr>
        <w:ind w:right="3620"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520"/>
          </w:cols>
          <w:pgMar w:left="240" w:top="30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9" w:lineRule="exact"/>
        <w:rPr>
          <w:sz w:val="20"/>
          <w:szCs w:val="20"/>
          <w:color w:val="auto"/>
        </w:rPr>
      </w:pPr>
    </w:p>
    <w:p>
      <w:pPr>
        <w:sectPr>
          <w:pgSz w:w="11900" w:h="16838" w:orient="portrait"/>
          <w:cols w:equalWidth="0" w:num="2">
            <w:col w:w="7680" w:space="720"/>
            <w:col w:w="312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1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4960" w:space="500"/>
            <w:col w:w="606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544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514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ectPr>
          <w:pgSz w:w="11900" w:h="16838" w:orient="portrait"/>
          <w:cols w:equalWidth="0" w:num="1">
            <w:col w:w="11520"/>
          </w:cols>
          <w:pgMar w:left="240" w:top="308" w:right="13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4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Amanda K. Maki</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Under Power of Attorney</w:t>
      </w:r>
    </w:p>
    <w:p>
      <w:pPr>
        <w:sectPr>
          <w:pgSz w:w="11900" w:h="16838" w:orient="portrait"/>
          <w:cols w:equalWidth="0" w:num="1">
            <w:col w:w="10219"/>
          </w:cols>
          <w:pgMar w:left="240" w:top="30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85"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7"/>
          <w:szCs w:val="17"/>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14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2420" w:type="dxa"/>
            <w:vAlign w:val="bottom"/>
          </w:tcPr>
          <w:p>
            <w:pPr>
              <w:spacing w:after="0"/>
              <w:rPr>
                <w:sz w:val="16"/>
                <w:szCs w:val="16"/>
                <w:color w:val="auto"/>
              </w:rPr>
            </w:pPr>
          </w:p>
        </w:tc>
      </w:tr>
      <w:tr>
        <w:trPr>
          <w:trHeight w:val="194"/>
        </w:trPr>
        <w:tc>
          <w:tcPr>
            <w:tcW w:w="142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242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9"/>
              </w:rPr>
              <w:t>DESCRIPTION</w:t>
            </w:r>
          </w:p>
        </w:tc>
      </w:tr>
      <w:tr>
        <w:trPr>
          <w:trHeight w:val="194"/>
        </w:trPr>
        <w:tc>
          <w:tcPr>
            <w:tcW w:w="1420" w:type="dxa"/>
            <w:vAlign w:val="bottom"/>
          </w:tcPr>
          <w:p>
            <w:pPr>
              <w:jc w:val="right"/>
              <w:ind w:right="736"/>
              <w:spacing w:after="0"/>
              <w:rPr>
                <w:sz w:val="20"/>
                <w:szCs w:val="20"/>
                <w:color w:val="auto"/>
              </w:rPr>
            </w:pPr>
            <w:r>
              <w:rPr>
                <w:rFonts w:ascii="Courier New" w:cs="Courier New" w:eastAsia="Courier New" w:hAnsi="Courier New"/>
                <w:sz w:val="17"/>
                <w:szCs w:val="17"/>
                <w:color w:val="auto"/>
                <w:w w:val="94"/>
              </w:rPr>
              <w:t>------</w:t>
            </w:r>
          </w:p>
        </w:tc>
        <w:tc>
          <w:tcPr>
            <w:tcW w:w="242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9"/>
              </w:rPr>
              <w:t>-----------</w:t>
            </w:r>
          </w:p>
        </w:tc>
      </w:tr>
      <w:tr>
        <w:trPr>
          <w:trHeight w:val="389"/>
        </w:trPr>
        <w:tc>
          <w:tcPr>
            <w:tcW w:w="14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24.1</w:t>
            </w:r>
          </w:p>
        </w:tc>
        <w:tc>
          <w:tcPr>
            <w:tcW w:w="242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9"/>
              </w:rPr>
              <w:t>Power of Attorney</w:t>
            </w:r>
          </w:p>
        </w:tc>
      </w:tr>
    </w:tbl>
    <w:p>
      <w:pPr>
        <w:sectPr>
          <w:pgSz w:w="11900" w:h="16838" w:orient="portrait"/>
          <w:cols w:equalWidth="0" w:num="1">
            <w:col w:w="9919"/>
          </w:cols>
          <w:pgMar w:left="540" w:top="30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387" w:lineRule="exact"/>
        <w:rPr>
          <w:sz w:val="20"/>
          <w:szCs w:val="20"/>
          <w:color w:val="auto"/>
        </w:rPr>
      </w:pPr>
    </w:p>
    <w:p>
      <w:pPr>
        <w:ind w:left="6780"/>
        <w:spacing w:after="0"/>
        <w:rPr>
          <w:sz w:val="20"/>
          <w:szCs w:val="20"/>
          <w:color w:val="auto"/>
        </w:rPr>
      </w:pPr>
      <w:r>
        <w:rPr>
          <w:rFonts w:ascii="Courier New" w:cs="Courier New" w:eastAsia="Courier New" w:hAnsi="Courier New"/>
          <w:sz w:val="16"/>
          <w:szCs w:val="16"/>
          <w:color w:val="auto"/>
        </w:rPr>
        <w:t>EXHIBIT 24.1</w:t>
      </w:r>
    </w:p>
    <w:p>
      <w:pPr>
        <w:spacing w:after="0" w:line="40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387" w:lineRule="exact"/>
        <w:rPr>
          <w:sz w:val="20"/>
          <w:szCs w:val="20"/>
          <w:color w:val="auto"/>
        </w:rPr>
      </w:pPr>
    </w:p>
    <w:p>
      <w:pPr>
        <w:ind w:right="3020" w:firstLine="910"/>
        <w:spacing w:after="0" w:line="257"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w:t>
      </w:r>
    </w:p>
    <w:p>
      <w:pPr>
        <w:spacing w:after="0" w:line="3" w:lineRule="exact"/>
        <w:rPr>
          <w:sz w:val="20"/>
          <w:szCs w:val="20"/>
          <w:color w:val="auto"/>
        </w:rPr>
      </w:pPr>
    </w:p>
    <w:p>
      <w:pPr>
        <w:ind w:right="3020"/>
        <w:spacing w:after="0" w:line="242" w:lineRule="auto"/>
        <w:rPr>
          <w:sz w:val="20"/>
          <w:szCs w:val="20"/>
          <w:color w:val="auto"/>
        </w:rPr>
      </w:pPr>
      <w:r>
        <w:rPr>
          <w:rFonts w:ascii="Courier New" w:cs="Courier New" w:eastAsia="Courier New" w:hAnsi="Courier New"/>
          <w:sz w:val="17"/>
          <w:szCs w:val="17"/>
          <w:color w:val="auto"/>
        </w:rPr>
        <w:t>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1020"/>
          </w:cols>
          <w:pgMar w:left="240" w:top="1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9" w:lineRule="exact"/>
        <w:rPr>
          <w:sz w:val="20"/>
          <w:szCs w:val="20"/>
          <w:color w:val="auto"/>
        </w:rPr>
      </w:pPr>
    </w:p>
    <w:p>
      <w:pPr>
        <w:sectPr>
          <w:pgSz w:w="11900" w:h="16838" w:orient="portrait"/>
          <w:cols w:equalWidth="0" w:num="2">
            <w:col w:w="7580" w:space="720"/>
            <w:col w:w="272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 Maurice Myers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11"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5460" w:space="720"/>
            <w:col w:w="48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L. Trubeck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49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46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tabs>
          <w:tab w:leader="none" w:pos="8080" w:val="left"/>
        </w:tabs>
        <w:rPr>
          <w:sz w:val="20"/>
          <w:szCs w:val="20"/>
          <w:color w:val="auto"/>
        </w:rPr>
      </w:pPr>
      <w:r>
        <w:rPr>
          <w:rFonts w:ascii="Courier New" w:cs="Courier New" w:eastAsia="Courier New" w:hAnsi="Courier New"/>
          <w:sz w:val="17"/>
          <w:szCs w:val="17"/>
          <w:color w:val="auto"/>
        </w:rPr>
        <w:t>/s/ H. Jesse Arnelle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ectPr>
          <w:pgSz w:w="11900" w:h="16838" w:orient="portrait"/>
          <w:cols w:equalWidth="0" w:num="1">
            <w:col w:w="11020"/>
          </w:cols>
          <w:pgMar w:left="240" w:top="140" w:right="63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Pastora San Juan Cafferty</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Ralph F. Cox</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Robert S. Miller</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Paul M. Montrone</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John C. Pope</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Steven G. Rothmeier</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5440" w:val="left"/>
        </w:tabs>
        <w:rPr>
          <w:sz w:val="20"/>
          <w:szCs w:val="20"/>
          <w:color w:val="auto"/>
        </w:rPr>
      </w:pPr>
      <w:r>
        <w:rPr>
          <w:rFonts w:ascii="Courier New" w:cs="Courier New" w:eastAsia="Courier New" w:hAnsi="Courier New"/>
          <w:sz w:val="17"/>
          <w:szCs w:val="17"/>
          <w:color w:val="auto"/>
        </w:rPr>
        <w:t>/s/ Ralph V. Whitworth</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2019-12-11T18:50:03Z</dcterms:created>
  <dcterms:modified xsi:type="dcterms:W3CDTF">2019-12-11T18:50:03Z</dcterms:modified>
</cp:coreProperties>
</file>