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040"/>
        <w:spacing w:after="0"/>
        <w:rPr>
          <w:sz w:val="20"/>
          <w:szCs w:val="20"/>
          <w:color w:val="auto"/>
        </w:rPr>
      </w:pPr>
      <w:r>
        <w:rPr>
          <w:rFonts w:ascii="Arial" w:cs="Arial" w:eastAsia="Arial" w:hAnsi="Arial"/>
          <w:sz w:val="18"/>
          <w:szCs w:val="18"/>
          <w:b w:val="1"/>
          <w:bCs w:val="1"/>
          <w:color w:val="auto"/>
        </w:rPr>
        <w:t>SCHEDULE 14A</w:t>
      </w:r>
    </w:p>
    <w:p>
      <w:pPr>
        <w:spacing w:after="0" w:line="117" w:lineRule="exact"/>
        <w:rPr>
          <w:sz w:val="24"/>
          <w:szCs w:val="24"/>
          <w:color w:val="auto"/>
        </w:rPr>
      </w:pPr>
    </w:p>
    <w:p>
      <w:pPr>
        <w:ind w:left="2580"/>
        <w:spacing w:after="0"/>
        <w:rPr>
          <w:sz w:val="20"/>
          <w:szCs w:val="20"/>
          <w:color w:val="auto"/>
        </w:rPr>
      </w:pPr>
      <w:r>
        <w:rPr>
          <w:rFonts w:ascii="Arial" w:cs="Arial" w:eastAsia="Arial" w:hAnsi="Arial"/>
          <w:sz w:val="18"/>
          <w:szCs w:val="18"/>
          <w:b w:val="1"/>
          <w:bCs w:val="1"/>
          <w:color w:val="auto"/>
        </w:rPr>
        <w:t>PROXY STATEMENT PURSUANT TO SECTION 14(a) OF THE SECURITIES</w:t>
      </w:r>
    </w:p>
    <w:p>
      <w:pPr>
        <w:spacing w:after="0" w:line="27"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EXCHANGE ACT OF 1934</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1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w:t>
      </w:r>
    </w:p>
    <w:p>
      <w:pPr>
        <w:spacing w:after="0" w:line="171"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6" w:lineRule="exact"/>
        <w:rPr>
          <w:sz w:val="24"/>
          <w:szCs w:val="24"/>
          <w:color w:val="auto"/>
        </w:rPr>
      </w:pPr>
    </w:p>
    <w:p>
      <w:pPr>
        <w:jc w:val="center"/>
        <w:ind w:right="-179"/>
        <w:spacing w:after="0"/>
        <w:rPr>
          <w:sz w:val="20"/>
          <w:szCs w:val="20"/>
          <w:color w:val="auto"/>
        </w:rPr>
      </w:pPr>
      <w:r>
        <w:rPr>
          <w:rFonts w:ascii="Arial" w:cs="Arial" w:eastAsia="Arial" w:hAnsi="Arial"/>
          <w:sz w:val="16"/>
          <w:szCs w:val="16"/>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180975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9" w:lineRule="exact"/>
        <w:rPr>
          <w:sz w:val="24"/>
          <w:szCs w:val="24"/>
          <w:color w:val="auto"/>
        </w:rPr>
      </w:pPr>
    </w:p>
    <w:p>
      <w:pPr>
        <w:ind w:left="33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230"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5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14a-6(i)(4) and 0-11.</w:t>
      </w:r>
    </w:p>
    <w:p>
      <w:pPr>
        <w:spacing w:after="0" w:line="238" w:lineRule="exact"/>
        <w:rPr>
          <w:rFonts w:ascii="MS PGothic" w:cs="MS PGothic" w:eastAsia="MS PGothic" w:hAnsi="MS PGothic"/>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360" w:lineRule="exact"/>
        <w:rPr>
          <w:rFonts w:ascii="Arial" w:cs="Arial" w:eastAsia="Arial" w:hAnsi="Arial"/>
          <w:sz w:val="18"/>
          <w:szCs w:val="18"/>
          <w:color w:val="auto"/>
        </w:rPr>
      </w:pPr>
    </w:p>
    <w:p>
      <w:pPr>
        <w:ind w:left="960" w:hanging="592"/>
        <w:spacing w:after="0" w:line="277" w:lineRule="auto"/>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60" w:right="260" w:hanging="452"/>
        <w:spacing w:after="0" w:line="308" w:lineRule="auto"/>
        <w:tabs>
          <w:tab w:leader="none" w:pos="46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81" w:lineRule="exact"/>
        <w:rPr>
          <w:rFonts w:ascii="MS PGothic" w:cs="MS PGothic" w:eastAsia="MS PGothic" w:hAnsi="MS PGothic"/>
          <w:sz w:val="17"/>
          <w:szCs w:val="17"/>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960" w:hanging="592"/>
        <w:spacing w:after="0"/>
        <w:tabs>
          <w:tab w:leader="none" w:pos="9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614045</wp:posOffset>
            </wp:positionH>
            <wp:positionV relativeFrom="paragraph">
              <wp:posOffset>-4281170</wp:posOffset>
            </wp:positionV>
            <wp:extent cx="66376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-3843655</wp:posOffset>
            </wp:positionV>
            <wp:extent cx="66376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-3346450</wp:posOffset>
            </wp:positionV>
            <wp:extent cx="66376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-2908935</wp:posOffset>
            </wp:positionV>
            <wp:extent cx="66376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-2471420</wp:posOffset>
            </wp:positionV>
            <wp:extent cx="6637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-1159510</wp:posOffset>
            </wp:positionV>
            <wp:extent cx="6637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-721995</wp:posOffset>
            </wp:positionV>
            <wp:extent cx="66376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-284480</wp:posOffset>
            </wp:positionV>
            <wp:extent cx="6637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37655" cy="8890"/>
                    </a:xfrm>
                    <a:prstGeom prst="rect">
                      <a:avLst/>
                    </a:prstGeom>
                    <a:noFill/>
                  </pic:spPr>
                </pic:pic>
              </a:graphicData>
            </a:graphic>
          </wp:anchor>
        </w:drawing>
        <w:drawing>
          <wp:anchor simplePos="0" relativeHeight="251657728" behindDoc="1" locked="0" layoutInCell="0" allowOverlap="1">
            <wp:simplePos x="0" y="0"/>
            <wp:positionH relativeFrom="column">
              <wp:posOffset>614045</wp:posOffset>
            </wp:positionH>
            <wp:positionV relativeFrom="paragraph">
              <wp:posOffset>152400</wp:posOffset>
            </wp:positionV>
            <wp:extent cx="66376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637655" cy="8890"/>
                    </a:xfrm>
                    <a:prstGeom prst="rect">
                      <a:avLst/>
                    </a:prstGeom>
                    <a:noFill/>
                  </pic:spPr>
                </pic:pic>
              </a:graphicData>
            </a:graphic>
          </wp:anchor>
        </w:drawing>
      </w:r>
    </w:p>
    <w:p>
      <w:pPr>
        <w:sectPr>
          <w:pgSz w:w="11900" w:h="16838" w:orient="portrait"/>
          <w:cols w:equalWidth="0" w:num="1">
            <w:col w:w="11240"/>
          </w:cols>
          <w:pgMar w:left="240" w:top="229" w:right="419" w:bottom="1440" w:gutter="0" w:footer="0" w:header="0"/>
        </w:sectPr>
      </w:pPr>
    </w:p>
    <w:bookmarkStart w:id="1" w:name="page2"/>
    <w:bookmarkEnd w:id="1"/>
    <w:p>
      <w:pPr>
        <w:jc w:val="center"/>
        <w:ind w:left="2280" w:right="280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18"/>
          <w:szCs w:val="18"/>
          <w:b w:val="1"/>
          <w:bCs w:val="1"/>
          <w:i w:val="1"/>
          <w:iCs w:val="1"/>
          <w:color w:val="auto"/>
        </w:rPr>
        <w:t>Right</w:t>
      </w:r>
      <w:r>
        <w:rPr>
          <w:rFonts w:ascii="Arial" w:cs="Arial" w:eastAsia="Arial" w:hAnsi="Arial"/>
          <w:sz w:val="18"/>
          <w:szCs w:val="18"/>
          <w:b w:val="1"/>
          <w:bCs w:val="1"/>
          <w:color w:val="auto"/>
        </w:rPr>
        <w:t xml:space="preserve"> to Vote *** Important Notice Regarding the Availability of Proxy Materials for the Shareholder Meeting to Be Held on May 12,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3218180</wp:posOffset>
            </wp:positionH>
            <wp:positionV relativeFrom="paragraph">
              <wp:posOffset>174625</wp:posOffset>
            </wp:positionV>
            <wp:extent cx="3481705" cy="1252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81705" cy="1252220"/>
                    </a:xfrm>
                    <a:prstGeom prst="rect">
                      <a:avLst/>
                    </a:prstGeom>
                    <a:noFill/>
                  </pic:spPr>
                </pic:pic>
              </a:graphicData>
            </a:graphic>
          </wp:anchor>
        </w:drawing>
      </w:r>
    </w:p>
    <w:p>
      <w:pPr>
        <w:sectPr>
          <w:pgSz w:w="11900" w:h="16838" w:orient="portrait"/>
          <w:cols w:equalWidth="0" w:num="1">
            <w:col w:w="10520"/>
          </w:cols>
          <w:pgMar w:left="960" w:top="270" w:right="419" w:bottom="1440" w:gutter="0" w:footer="0" w:header="0"/>
        </w:sectPr>
      </w:pPr>
    </w:p>
    <w:p>
      <w:pPr>
        <w:spacing w:after="0" w:line="200" w:lineRule="exact"/>
        <w:rPr>
          <w:sz w:val="20"/>
          <w:szCs w:val="20"/>
          <w:color w:val="auto"/>
        </w:rPr>
      </w:pPr>
    </w:p>
    <w:p>
      <w:pPr>
        <w:spacing w:after="0" w:line="273" w:lineRule="exact"/>
        <w:rPr>
          <w:sz w:val="20"/>
          <w:szCs w:val="20"/>
          <w:color w:val="auto"/>
        </w:rPr>
      </w:pPr>
    </w:p>
    <w:p>
      <w:pPr>
        <w:jc w:val="right"/>
        <w:ind w:right="1120"/>
        <w:spacing w:after="0"/>
        <w:rPr>
          <w:sz w:val="20"/>
          <w:szCs w:val="20"/>
          <w:color w:val="auto"/>
        </w:rPr>
      </w:pPr>
      <w:r>
        <w:rPr>
          <w:rFonts w:ascii="Arial" w:cs="Arial" w:eastAsia="Arial" w:hAnsi="Arial"/>
          <w:sz w:val="18"/>
          <w:szCs w:val="18"/>
          <w:b w:val="1"/>
          <w:bCs w:val="1"/>
          <w:color w:val="auto"/>
        </w:rPr>
        <w:t>WASTE MANAGEMENT,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105410</wp:posOffset>
            </wp:positionH>
            <wp:positionV relativeFrom="paragraph">
              <wp:posOffset>755015</wp:posOffset>
            </wp:positionV>
            <wp:extent cx="1492250" cy="5232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492250" cy="523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WASTE MANAGEMENT,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1001 FANNIN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SUITE 4000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HOUSTON, TX 77002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-451485</wp:posOffset>
            </wp:positionH>
            <wp:positionV relativeFrom="paragraph">
              <wp:posOffset>820420</wp:posOffset>
            </wp:positionV>
            <wp:extent cx="85725" cy="883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83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8"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Meeting Information</w:t>
            </w:r>
          </w:p>
        </w:tc>
      </w:tr>
      <w:tr>
        <w:trPr>
          <w:trHeight w:val="340"/>
        </w:trPr>
        <w:tc>
          <w:tcPr>
            <w:tcW w:w="1620" w:type="dxa"/>
            <w:vAlign w:val="bottom"/>
          </w:tcPr>
          <w:p>
            <w:pPr>
              <w:spacing w:after="0"/>
              <w:rPr>
                <w:sz w:val="20"/>
                <w:szCs w:val="20"/>
                <w:color w:val="auto"/>
              </w:rPr>
            </w:pPr>
            <w:r>
              <w:rPr>
                <w:rFonts w:ascii="Arial" w:cs="Arial" w:eastAsia="Arial" w:hAnsi="Arial"/>
                <w:sz w:val="18"/>
                <w:szCs w:val="18"/>
                <w:b w:val="1"/>
                <w:bCs w:val="1"/>
                <w:color w:val="auto"/>
              </w:rPr>
              <w:t>Meeting Type:</w:t>
            </w:r>
          </w:p>
        </w:tc>
        <w:tc>
          <w:tcPr>
            <w:tcW w:w="1780" w:type="dxa"/>
            <w:vAlign w:val="bottom"/>
            <w:gridSpan w:val="2"/>
          </w:tcPr>
          <w:p>
            <w:pPr>
              <w:ind w:left="100"/>
              <w:spacing w:after="0"/>
              <w:rPr>
                <w:sz w:val="20"/>
                <w:szCs w:val="20"/>
                <w:color w:val="auto"/>
              </w:rPr>
            </w:pPr>
            <w:r>
              <w:rPr>
                <w:rFonts w:ascii="Arial" w:cs="Arial" w:eastAsia="Arial" w:hAnsi="Arial"/>
                <w:sz w:val="18"/>
                <w:szCs w:val="18"/>
                <w:color w:val="auto"/>
              </w:rPr>
              <w:t>Annual Meeting</w:t>
            </w:r>
          </w:p>
        </w:tc>
      </w:tr>
      <w:tr>
        <w:trPr>
          <w:trHeight w:val="216"/>
        </w:trPr>
        <w:tc>
          <w:tcPr>
            <w:tcW w:w="1620" w:type="dxa"/>
            <w:vAlign w:val="bottom"/>
          </w:tcPr>
          <w:p>
            <w:pPr>
              <w:spacing w:after="0"/>
              <w:rPr>
                <w:sz w:val="20"/>
                <w:szCs w:val="20"/>
                <w:color w:val="auto"/>
              </w:rPr>
            </w:pPr>
            <w:r>
              <w:rPr>
                <w:rFonts w:ascii="Arial" w:cs="Arial" w:eastAsia="Arial" w:hAnsi="Arial"/>
                <w:sz w:val="18"/>
                <w:szCs w:val="18"/>
                <w:b w:val="1"/>
                <w:bCs w:val="1"/>
                <w:color w:val="auto"/>
              </w:rPr>
              <w:t>For holders as of:</w:t>
            </w:r>
          </w:p>
        </w:tc>
        <w:tc>
          <w:tcPr>
            <w:tcW w:w="1780" w:type="dxa"/>
            <w:vAlign w:val="bottom"/>
            <w:gridSpan w:val="2"/>
          </w:tcPr>
          <w:p>
            <w:pPr>
              <w:ind w:left="120"/>
              <w:spacing w:after="0"/>
              <w:rPr>
                <w:sz w:val="20"/>
                <w:szCs w:val="20"/>
                <w:color w:val="auto"/>
              </w:rPr>
            </w:pPr>
            <w:r>
              <w:rPr>
                <w:rFonts w:ascii="Arial" w:cs="Arial" w:eastAsia="Arial" w:hAnsi="Arial"/>
                <w:sz w:val="18"/>
                <w:szCs w:val="18"/>
                <w:color w:val="auto"/>
              </w:rPr>
              <w:t>March 16, 2015</w:t>
            </w:r>
          </w:p>
        </w:tc>
      </w:t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May 12, 2015</w:t>
            </w:r>
          </w:p>
        </w:tc>
        <w:tc>
          <w:tcPr>
            <w:tcW w:w="160" w:type="dxa"/>
            <w:vAlign w:val="bottom"/>
          </w:tcPr>
          <w:p>
            <w:pPr>
              <w:spacing w:after="0"/>
              <w:rPr>
                <w:sz w:val="20"/>
                <w:szCs w:val="20"/>
                <w:color w:val="auto"/>
              </w:rPr>
            </w:pPr>
          </w:p>
        </w:tc>
        <w:tc>
          <w:tcPr>
            <w:tcW w:w="1620" w:type="dxa"/>
            <w:vAlign w:val="bottom"/>
          </w:tcPr>
          <w:p>
            <w:pPr>
              <w:ind w:left="140"/>
              <w:spacing w:after="0"/>
              <w:rPr>
                <w:sz w:val="20"/>
                <w:szCs w:val="20"/>
                <w:color w:val="auto"/>
              </w:rPr>
            </w:pPr>
            <w:r>
              <w:rPr>
                <w:rFonts w:ascii="Arial" w:cs="Arial" w:eastAsia="Arial" w:hAnsi="Arial"/>
                <w:sz w:val="18"/>
                <w:szCs w:val="18"/>
                <w:b w:val="1"/>
                <w:bCs w:val="1"/>
                <w:color w:val="auto"/>
              </w:rPr>
              <w:t xml:space="preserve">Time: </w:t>
            </w:r>
            <w:r>
              <w:rPr>
                <w:rFonts w:ascii="Arial" w:cs="Arial" w:eastAsia="Arial" w:hAnsi="Arial"/>
                <w:sz w:val="18"/>
                <w:szCs w:val="18"/>
                <w:color w:val="auto"/>
              </w:rPr>
              <w:t>11:00 a.m.</w:t>
            </w:r>
          </w:p>
        </w:tc>
      </w:tr>
    </w:tbl>
    <w:p>
      <w:pPr>
        <w:ind w:left="160"/>
        <w:spacing w:after="0"/>
        <w:tabs>
          <w:tab w:leader="none" w:pos="1060" w:val="left"/>
        </w:tabs>
        <w:rPr>
          <w:sz w:val="20"/>
          <w:szCs w:val="20"/>
          <w:color w:val="auto"/>
        </w:rPr>
      </w:pPr>
      <w:r>
        <w:rPr>
          <w:rFonts w:ascii="Arial" w:cs="Arial" w:eastAsia="Arial" w:hAnsi="Arial"/>
          <w:sz w:val="18"/>
          <w:szCs w:val="18"/>
          <w:b w:val="1"/>
          <w:bCs w:val="1"/>
          <w:color w:val="auto"/>
        </w:rPr>
        <w:t>Location:</w:t>
      </w:r>
      <w:r>
        <w:rPr>
          <w:sz w:val="20"/>
          <w:szCs w:val="20"/>
          <w:color w:val="auto"/>
        </w:rPr>
        <w:tab/>
      </w:r>
      <w:r>
        <w:rPr>
          <w:rFonts w:ascii="Arial" w:cs="Arial" w:eastAsia="Arial" w:hAnsi="Arial"/>
          <w:sz w:val="16"/>
          <w:szCs w:val="16"/>
          <w:color w:val="auto"/>
        </w:rPr>
        <w:t>The Maury Myers Conference Center</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Waste Management, Inc.</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1021 Main Street</w:t>
      </w:r>
    </w:p>
    <w:p>
      <w:pPr>
        <w:spacing w:after="0" w:line="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Houston, Texas 77002</w:t>
      </w:r>
    </w:p>
    <w:p>
      <w:pPr>
        <w:spacing w:after="0" w:line="278"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You are receiving this communication because you hold shares in the company named above.</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8"/>
          <w:szCs w:val="18"/>
          <w:i w:val="1"/>
          <w:iCs w:val="1"/>
          <w:color w:val="auto"/>
        </w:rPr>
        <w:t>www.proxyvote.com</w:t>
      </w:r>
      <w:r>
        <w:rPr>
          <w:rFonts w:ascii="Arial" w:cs="Arial" w:eastAsia="Arial" w:hAnsi="Arial"/>
          <w:sz w:val="18"/>
          <w:szCs w:val="18"/>
          <w:color w:val="auto"/>
        </w:rPr>
        <w:t xml:space="preserve"> or easily request a paper copy (see reverse side).</w:t>
      </w:r>
    </w:p>
    <w:p>
      <w:pPr>
        <w:spacing w:after="0" w:line="188"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encourage you to access and review all of the important information contained in the proxy materials before voting.</w:t>
      </w:r>
    </w:p>
    <w:p>
      <w:pPr>
        <w:spacing w:after="0" w:line="193" w:lineRule="exact"/>
        <w:rPr>
          <w:sz w:val="20"/>
          <w:szCs w:val="20"/>
          <w:color w:val="auto"/>
        </w:rPr>
      </w:pPr>
    </w:p>
    <w:p>
      <w:pPr>
        <w:ind w:left="100"/>
        <w:spacing w:after="0" w:line="282" w:lineRule="auto"/>
        <w:rPr>
          <w:sz w:val="20"/>
          <w:szCs w:val="20"/>
          <w:color w:val="auto"/>
        </w:rPr>
      </w:pPr>
      <w:r>
        <w:rPr>
          <w:rFonts w:ascii="Arial" w:cs="Arial" w:eastAsia="Arial" w:hAnsi="Arial"/>
          <w:sz w:val="18"/>
          <w:szCs w:val="18"/>
          <w:b w:val="1"/>
          <w:bCs w:val="1"/>
          <w:color w:val="FFFFFF"/>
        </w:rPr>
        <w:t>See the reverse side of this notice to obtain proxy materials and voting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347345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73450" cy="274320"/>
                    </a:xfrm>
                    <a:prstGeom prst="rect">
                      <a:avLst/>
                    </a:prstGeom>
                    <a:noFill/>
                  </pic:spPr>
                </pic:pic>
              </a:graphicData>
            </a:graphic>
          </wp:anchor>
        </w:drawing>
      </w:r>
    </w:p>
    <w:p>
      <w:pPr>
        <w:sectPr>
          <w:pgSz w:w="11900" w:h="16838" w:orient="portrait"/>
          <w:cols w:equalWidth="0" w:num="2">
            <w:col w:w="4340" w:space="720"/>
            <w:col w:w="5460"/>
          </w:cols>
          <w:pgMar w:left="960" w:top="270" w:right="419" w:bottom="1440" w:gutter="0" w:footer="0" w:header="0"/>
          <w:type w:val="continuous"/>
        </w:sectPr>
      </w:pPr>
    </w:p>
    <w:bookmarkStart w:id="2" w:name="page3"/>
    <w:bookmarkEnd w:id="2"/>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91440</wp:posOffset>
            </wp:positionV>
            <wp:extent cx="6817995" cy="28301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17995" cy="2830195"/>
                    </a:xfrm>
                    <a:prstGeom prst="rect">
                      <a:avLst/>
                    </a:prstGeom>
                    <a:noFill/>
                  </pic:spPr>
                </pic:pic>
              </a:graphicData>
            </a:graphic>
          </wp:anchor>
        </w:drawing>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Combined Proxy Statement and Annual Report on Form 10-K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Have the information that is printed in the box marked by the arrow </w:t>
      </w:r>
      <w:r>
        <w:rPr>
          <w:sz w:val="1"/>
          <w:szCs w:val="1"/>
          <w:color w:val="auto"/>
        </w:rPr>
        <w:drawing>
          <wp:inline distT="0" distB="0" distL="0" distR="0">
            <wp:extent cx="1235075" cy="1028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35075" cy="102870"/>
                    </a:xfrm>
                    <a:prstGeom prst="rect">
                      <a:avLst/>
                    </a:prstGeom>
                    <a:noFill/>
                    <a:ln>
                      <a:noFill/>
                    </a:ln>
                  </pic:spPr>
                </pic:pic>
              </a:graphicData>
            </a:graphic>
          </wp:inline>
        </w:drawing>
      </w:r>
      <w:r>
        <w:rPr>
          <w:rFonts w:ascii="Arial" w:cs="Arial" w:eastAsia="Arial" w:hAnsi="Arial"/>
          <w:sz w:val="17"/>
          <w:szCs w:val="17"/>
          <w:color w:val="auto"/>
        </w:rPr>
        <w:t xml:space="preserve"> (located on the following page) and visit: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www.proxyvote.com.</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6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p>
      <w:pPr>
        <w:spacing w:after="0" w:line="89" w:lineRule="exact"/>
        <w:rPr>
          <w:sz w:val="20"/>
          <w:szCs w:val="20"/>
          <w:color w:val="auto"/>
        </w:rPr>
      </w:pPr>
    </w:p>
    <w:p>
      <w:pPr>
        <w:ind w:left="1640" w:hanging="201"/>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    www.proxyvote.com</w:t>
      </w:r>
    </w:p>
    <w:p>
      <w:pPr>
        <w:spacing w:after="0" w:line="63" w:lineRule="exact"/>
        <w:rPr>
          <w:rFonts w:ascii="Arial" w:cs="Arial" w:eastAsia="Arial" w:hAnsi="Arial"/>
          <w:sz w:val="18"/>
          <w:szCs w:val="18"/>
          <w:color w:val="auto"/>
        </w:rPr>
      </w:pPr>
    </w:p>
    <w:p>
      <w:pPr>
        <w:ind w:left="1640" w:hanging="201"/>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  1-800-579-1639</w:t>
      </w:r>
    </w:p>
    <w:p>
      <w:pPr>
        <w:spacing w:after="0" w:line="63" w:lineRule="exact"/>
        <w:rPr>
          <w:rFonts w:ascii="Arial" w:cs="Arial" w:eastAsia="Arial" w:hAnsi="Arial"/>
          <w:sz w:val="18"/>
          <w:szCs w:val="18"/>
          <w:color w:val="auto"/>
        </w:rPr>
      </w:pPr>
    </w:p>
    <w:p>
      <w:pPr>
        <w:ind w:left="1640" w:hanging="201"/>
        <w:spacing w:after="0"/>
        <w:tabs>
          <w:tab w:leader="none" w:pos="164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r>
        <w:rPr>
          <w:rFonts w:ascii="Arial" w:cs="Arial" w:eastAsia="Arial" w:hAnsi="Arial"/>
          <w:sz w:val="16"/>
          <w:szCs w:val="16"/>
          <w:color w:val="auto"/>
        </w:rPr>
        <w:t>sendmaterial@proxyvote.com</w:t>
      </w:r>
    </w:p>
    <w:p>
      <w:pPr>
        <w:spacing w:after="0" w:line="130"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If requesting materials by e-mail, please send a blank e-mail with the information that is printed in the box marked by the arrow</w:t>
      </w:r>
    </w:p>
    <w:p>
      <w:pPr>
        <w:spacing w:after="0" w:line="23" w:lineRule="exact"/>
        <w:rPr>
          <w:rFonts w:ascii="Arial" w:cs="Arial" w:eastAsia="Arial" w:hAnsi="Arial"/>
          <w:sz w:val="18"/>
          <w:szCs w:val="18"/>
          <w:color w:val="auto"/>
        </w:rPr>
      </w:pPr>
    </w:p>
    <w:p>
      <w:pPr>
        <w:ind w:left="180"/>
        <w:spacing w:after="0"/>
        <w:rPr>
          <w:rFonts w:ascii="Arial" w:cs="Arial" w:eastAsia="Arial" w:hAnsi="Arial"/>
          <w:sz w:val="18"/>
          <w:szCs w:val="18"/>
          <w:color w:val="auto"/>
        </w:rPr>
      </w:pPr>
      <w:r>
        <w:rPr>
          <w:rFonts w:ascii="Arial" w:cs="Arial" w:eastAsia="Arial" w:hAnsi="Arial"/>
          <w:sz w:val="1"/>
          <w:szCs w:val="1"/>
          <w:color w:val="auto"/>
        </w:rPr>
        <w:drawing>
          <wp:inline distT="0" distB="0" distL="0" distR="0">
            <wp:extent cx="1235075"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3507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April 28, 2015 to facilitate timely delivery.</w:t>
      </w:r>
    </w:p>
    <w:p>
      <w:pPr>
        <w:spacing w:after="0" w:line="200" w:lineRule="exact"/>
        <w:rPr>
          <w:sz w:val="20"/>
          <w:szCs w:val="20"/>
          <w:color w:val="auto"/>
        </w:rPr>
      </w:pPr>
    </w:p>
    <w:p>
      <w:pPr>
        <w:spacing w:after="0" w:line="39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 How To Vote —</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100330</wp:posOffset>
            </wp:positionV>
            <wp:extent cx="6817995" cy="1174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17995" cy="1174750"/>
                    </a:xfrm>
                    <a:prstGeom prst="rect">
                      <a:avLst/>
                    </a:prstGeom>
                    <a:noFill/>
                  </pic:spPr>
                </pic:pic>
              </a:graphicData>
            </a:graphic>
          </wp:anchor>
        </w:drawing>
      </w:r>
    </w:p>
    <w:p>
      <w:pPr>
        <w:spacing w:after="0" w:line="25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shareholder meetings have attendance requirements including, but not limited to, the possession of an attendance ticket</w:t>
      </w:r>
      <w:r>
        <w:rPr>
          <w:rFonts w:ascii="Arial" w:cs="Arial" w:eastAsia="Arial" w:hAnsi="Arial"/>
          <w:sz w:val="18"/>
          <w:szCs w:val="18"/>
          <w:b w:val="1"/>
          <w:bCs w:val="1"/>
          <w:color w:val="auto"/>
        </w:rPr>
        <w:t xml:space="preserve"> </w:t>
      </w:r>
      <w:r>
        <w:rPr>
          <w:rFonts w:ascii="Arial" w:cs="Arial" w:eastAsia="Arial" w:hAnsi="Arial"/>
          <w:sz w:val="18"/>
          <w:szCs w:val="18"/>
          <w:color w:val="auto"/>
        </w:rPr>
        <w:t>issued by the entity holding the meeting. Please check the meeting materials for any special requirements for meeting attendance. At the meeting, you will need to request a ballot to vote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-514985</wp:posOffset>
            </wp:positionH>
            <wp:positionV relativeFrom="paragraph">
              <wp:posOffset>-390525</wp:posOffset>
            </wp:positionV>
            <wp:extent cx="85725" cy="8832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5725" cy="883285"/>
                    </a:xfrm>
                    <a:prstGeom prst="rect">
                      <a:avLst/>
                    </a:prstGeom>
                    <a:noFill/>
                  </pic:spPr>
                </pic:pic>
              </a:graphicData>
            </a:graphic>
          </wp:anchor>
        </w:drawing>
      </w:r>
    </w:p>
    <w:p>
      <w:pPr>
        <w:spacing w:after="0" w:line="7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 the arrow</w:t>
      </w:r>
      <w:r>
        <w:rPr>
          <w:rFonts w:ascii="Arial" w:cs="Arial" w:eastAsia="Arial" w:hAnsi="Arial"/>
          <w:sz w:val="18"/>
          <w:szCs w:val="18"/>
          <w:b w:val="1"/>
          <w:bCs w:val="1"/>
          <w:color w:val="auto"/>
        </w:rPr>
        <w:t xml:space="preserve"> </w:t>
      </w:r>
      <w:r>
        <w:rPr>
          <w:sz w:val="1"/>
          <w:szCs w:val="1"/>
          <w:color w:val="auto"/>
        </w:rPr>
        <w:drawing>
          <wp:inline distT="0" distB="0" distL="0" distR="0">
            <wp:extent cx="1235075" cy="102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3507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available and follow the instructions.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460"/>
          </w:cols>
          <w:pgMar w:left="1060" w:top="270" w:right="379" w:bottom="1440" w:gutter="0" w:footer="0" w:header="0"/>
        </w:sectPr>
      </w:pPr>
    </w:p>
    <w:bookmarkStart w:id="3" w:name="page4"/>
    <w:bookmarkEnd w:id="3"/>
    <w:p>
      <w:pPr>
        <w:ind w:left="12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328930</wp:posOffset>
            </wp:positionH>
            <wp:positionV relativeFrom="page">
              <wp:posOffset>217805</wp:posOffset>
            </wp:positionV>
            <wp:extent cx="206692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066925" cy="171450"/>
                    </a:xfrm>
                    <a:prstGeom prst="rect">
                      <a:avLst/>
                    </a:prstGeom>
                    <a:noFill/>
                  </pic:spPr>
                </pic:pic>
              </a:graphicData>
            </a:graphic>
          </wp:anchor>
        </w:drawing>
        <w:t>Voting Items</w:t>
      </w:r>
    </w:p>
    <w:p>
      <w:pPr>
        <w:spacing w:after="0" w:line="36"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The Board of Directors recommends you vote FOR each of the nominees in item 1 and FOR proposals 2, 3 and 4:</w:t>
      </w:r>
    </w:p>
    <w:p>
      <w:pPr>
        <w:spacing w:after="0" w:line="61" w:lineRule="exact"/>
        <w:rPr>
          <w:sz w:val="20"/>
          <w:szCs w:val="20"/>
          <w:color w:val="auto"/>
        </w:rPr>
      </w:pPr>
    </w:p>
    <w:p>
      <w:pPr>
        <w:ind w:left="300" w:hanging="291"/>
        <w:spacing w:after="0"/>
        <w:tabs>
          <w:tab w:leader="none" w:pos="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Election of Directors</w:t>
      </w:r>
    </w:p>
    <w:p>
      <w:pPr>
        <w:spacing w:after="0" w:line="126"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b w:val="1"/>
          <w:bCs w:val="1"/>
          <w:color w:val="auto"/>
        </w:rPr>
        <w:t>Nominees:</w:t>
      </w:r>
    </w:p>
    <w:p>
      <w:pPr>
        <w:spacing w:after="0" w:line="134"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1a.  Bradbury H. Anderson</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1b.  Frank M. Clark, Jr.</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1c.  Andrés R. Gluski</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1d.  Patrick W. Gross</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1e.  Victoria M. Holt</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1f.   John C. Pope</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1g.  W. Robert Reum</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1h.  David P. Steiner</w:t>
      </w:r>
    </w:p>
    <w:p>
      <w:pPr>
        <w:spacing w:after="0" w:line="117" w:lineRule="exact"/>
        <w:rPr>
          <w:rFonts w:ascii="Arial" w:cs="Arial" w:eastAsia="Arial" w:hAnsi="Arial"/>
          <w:sz w:val="18"/>
          <w:szCs w:val="18"/>
          <w:color w:val="auto"/>
        </w:rPr>
      </w:pPr>
    </w:p>
    <w:p>
      <w:pPr>
        <w:ind w:left="300"/>
        <w:spacing w:after="0"/>
        <w:rPr>
          <w:rFonts w:ascii="Arial" w:cs="Arial" w:eastAsia="Arial" w:hAnsi="Arial"/>
          <w:sz w:val="18"/>
          <w:szCs w:val="18"/>
          <w:color w:val="auto"/>
        </w:rPr>
      </w:pPr>
      <w:r>
        <w:rPr>
          <w:rFonts w:ascii="Arial" w:cs="Arial" w:eastAsia="Arial" w:hAnsi="Arial"/>
          <w:sz w:val="18"/>
          <w:szCs w:val="18"/>
          <w:color w:val="auto"/>
        </w:rPr>
        <w:t>1i.   Thomas H. Weidemeyer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1412875</wp:posOffset>
            </wp:positionV>
            <wp:extent cx="85725" cy="883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5725" cy="883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400" w:right="640" w:hanging="396"/>
        <w:spacing w:after="0" w:line="308"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Ratification of the appointment of Ernst &amp; Young, LLP as the independent registered public accounting firm for 2015.</w:t>
      </w:r>
    </w:p>
    <w:p>
      <w:pPr>
        <w:spacing w:after="0" w:line="51" w:lineRule="exact"/>
        <w:rPr>
          <w:rFonts w:ascii="Arial" w:cs="Arial" w:eastAsia="Arial" w:hAnsi="Arial"/>
          <w:sz w:val="17"/>
          <w:szCs w:val="17"/>
          <w:color w:val="auto"/>
        </w:rPr>
      </w:pPr>
    </w:p>
    <w:p>
      <w:pPr>
        <w:ind w:left="400" w:hanging="396"/>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Approval of our executive compensation.</w:t>
      </w:r>
    </w:p>
    <w:p>
      <w:pPr>
        <w:spacing w:after="0" w:line="117" w:lineRule="exact"/>
        <w:rPr>
          <w:rFonts w:ascii="Arial" w:cs="Arial" w:eastAsia="Arial" w:hAnsi="Arial"/>
          <w:sz w:val="18"/>
          <w:szCs w:val="18"/>
          <w:color w:val="auto"/>
        </w:rPr>
      </w:pPr>
    </w:p>
    <w:p>
      <w:pPr>
        <w:ind w:left="400" w:right="160" w:hanging="396"/>
        <w:spacing w:after="0" w:line="308" w:lineRule="auto"/>
        <w:tabs>
          <w:tab w:leader="none" w:pos="400" w:val="left"/>
        </w:tabs>
        <w:numPr>
          <w:ilvl w:val="0"/>
          <w:numId w:val="8"/>
        </w:numPr>
        <w:rPr>
          <w:rFonts w:ascii="Arial" w:cs="Arial" w:eastAsia="Arial" w:hAnsi="Arial"/>
          <w:sz w:val="17"/>
          <w:szCs w:val="17"/>
          <w:color w:val="auto"/>
        </w:rPr>
      </w:pPr>
      <w:r>
        <w:rPr>
          <w:rFonts w:ascii="Arial" w:cs="Arial" w:eastAsia="Arial" w:hAnsi="Arial"/>
          <w:sz w:val="17"/>
          <w:szCs w:val="17"/>
          <w:color w:val="auto"/>
        </w:rPr>
        <w:t>Approval of an amendment to our Employee Stock Purchase Plan to increase the number of shares authorized for issuance.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-3677285</wp:posOffset>
            </wp:positionH>
            <wp:positionV relativeFrom="paragraph">
              <wp:posOffset>-1621155</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14"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The Board of Directors recommends you vote AGAINST proposals 5 and 6:</w:t>
      </w:r>
    </w:p>
    <w:p>
      <w:pPr>
        <w:spacing w:after="0" w:line="58" w:lineRule="exact"/>
        <w:rPr>
          <w:sz w:val="20"/>
          <w:szCs w:val="20"/>
          <w:color w:val="auto"/>
        </w:rPr>
      </w:pPr>
    </w:p>
    <w:p>
      <w:pPr>
        <w:ind w:left="400" w:right="20" w:hanging="396"/>
        <w:spacing w:after="0" w:line="27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 proposal regarding disclosure of political contributions, if properly presented at the meeting.</w:t>
      </w:r>
    </w:p>
    <w:p>
      <w:pPr>
        <w:spacing w:after="0" w:line="62" w:lineRule="exact"/>
        <w:rPr>
          <w:rFonts w:ascii="Arial" w:cs="Arial" w:eastAsia="Arial" w:hAnsi="Arial"/>
          <w:sz w:val="18"/>
          <w:szCs w:val="18"/>
          <w:color w:val="auto"/>
        </w:rPr>
      </w:pPr>
    </w:p>
    <w:p>
      <w:pPr>
        <w:ind w:left="400" w:right="100" w:hanging="396"/>
        <w:spacing w:after="0" w:line="277" w:lineRule="auto"/>
        <w:tabs>
          <w:tab w:leader="none" w:pos="4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Stockholder proposal regarding a policy on acceleration of vesting of equity awards, if properly presented at the meeting.</w:t>
      </w:r>
    </w:p>
    <w:p>
      <w:pPr>
        <w:spacing w:after="0" w:line="58" w:lineRule="exact"/>
        <w:rPr>
          <w:sz w:val="20"/>
          <w:szCs w:val="20"/>
          <w:color w:val="auto"/>
        </w:rPr>
      </w:pPr>
    </w:p>
    <w:p>
      <w:pPr>
        <w:spacing w:after="0" w:line="313" w:lineRule="auto"/>
        <w:rPr>
          <w:sz w:val="20"/>
          <w:szCs w:val="20"/>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In their discretion, upon such other matters that may properly come</w:t>
      </w:r>
      <w:r>
        <w:rPr>
          <w:rFonts w:ascii="Arial" w:cs="Arial" w:eastAsia="Arial" w:hAnsi="Arial"/>
          <w:sz w:val="17"/>
          <w:szCs w:val="17"/>
          <w:b w:val="1"/>
          <w:bCs w:val="1"/>
          <w:color w:val="auto"/>
        </w:rPr>
        <w:t xml:space="preserve"> </w:t>
      </w:r>
      <w:r>
        <w:rPr>
          <w:rFonts w:ascii="Arial" w:cs="Arial" w:eastAsia="Arial" w:hAnsi="Arial"/>
          <w:sz w:val="17"/>
          <w:szCs w:val="17"/>
          <w:color w:val="auto"/>
        </w:rPr>
        <w:t>before the meeting or any adjournment or adjournments thereof.</w:t>
      </w:r>
    </w:p>
    <w:p>
      <w:pPr>
        <w:sectPr>
          <w:pgSz w:w="11900" w:h="16838" w:orient="portrait"/>
          <w:cols w:equalWidth="0" w:num="2">
            <w:col w:w="4800" w:space="720"/>
            <w:col w:w="5480"/>
          </w:cols>
          <w:pgMar w:left="500" w:top="351" w:right="399" w:bottom="1440" w:gutter="0" w:footer="0" w:header="0"/>
        </w:sectPr>
      </w:pPr>
    </w:p>
    <w:bookmarkStart w:id="4" w:name="page5"/>
    <w:bookmarkEnd w:id="4"/>
    <w:p>
      <w:pPr>
        <w:spacing w:after="0" w:line="313"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1906905</wp:posOffset>
            </wp:positionV>
            <wp:extent cx="724662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1950085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3364865</wp:posOffset>
            </wp:positionV>
            <wp:extent cx="85725" cy="8832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5725" cy="8832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lvl w:ilvl="1">
      <w:lvlJc w:val="left"/>
      <w:lvlText w:val="(%2)"/>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1"/>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2"/>
    </w:lvl>
  </w:abstractNum>
  <w:abstractNum w:abstractNumId="8">
    <w:nsid w:val="5BD062C2"/>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2019-12-06T02:15:25Z</dcterms:created>
  <dcterms:modified xsi:type="dcterms:W3CDTF">2019-12-06T02:15:25Z</dcterms:modified>
</cp:coreProperties>
</file>