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50"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AS FILED WITH THE SECURITIES AND EXCHANGE COMMISSION ON MAY 17, 1995</w:t>
      </w:r>
    </w:p>
    <w:p>
      <w:pPr>
        <w:spacing w:after="0" w:line="200" w:lineRule="exact"/>
        <w:rPr>
          <w:sz w:val="24"/>
          <w:szCs w:val="24"/>
          <w:color w:val="auto"/>
        </w:rPr>
      </w:pPr>
    </w:p>
    <w:p>
      <w:pPr>
        <w:spacing w:after="0" w:line="324" w:lineRule="exact"/>
        <w:rPr>
          <w:sz w:val="24"/>
          <w:szCs w:val="24"/>
          <w:color w:val="auto"/>
        </w:rPr>
      </w:pPr>
    </w:p>
    <w:p>
      <w:pPr>
        <w:ind w:left="4968"/>
        <w:spacing w:after="0"/>
        <w:rPr>
          <w:sz w:val="20"/>
          <w:szCs w:val="20"/>
          <w:color w:val="auto"/>
        </w:rPr>
      </w:pPr>
      <w:r>
        <w:rPr>
          <w:rFonts w:ascii="Courier New" w:cs="Courier New" w:eastAsia="Courier New" w:hAnsi="Courier New"/>
          <w:sz w:val="15"/>
          <w:szCs w:val="15"/>
          <w:color w:val="auto"/>
        </w:rPr>
        <w:t>REGISTRATION NO. 33-59259</w:t>
      </w:r>
    </w:p>
    <w:p>
      <w:pPr>
        <w:spacing w:after="0" w:line="177"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350"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AMENDMENT NO. 1</w:t>
            </w:r>
          </w:p>
        </w:tc>
        <w:tc>
          <w:tcPr>
            <w:tcW w:w="118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520"/>
        </w:trPr>
        <w:tc>
          <w:tcPr>
            <w:tcW w:w="28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47"/>
        </w:trPr>
        <w:tc>
          <w:tcPr>
            <w:tcW w:w="28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FORM S-4</w:t>
            </w: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47"/>
        </w:trPr>
        <w:tc>
          <w:tcPr>
            <w:tcW w:w="5500" w:type="dxa"/>
            <w:vAlign w:val="bottom"/>
            <w:gridSpan w:val="3"/>
          </w:tcPr>
          <w:p>
            <w:pPr>
              <w:jc w:val="center"/>
              <w:ind w:left="1625"/>
              <w:spacing w:after="0"/>
              <w:rPr>
                <w:sz w:val="20"/>
                <w:szCs w:val="20"/>
                <w:color w:val="auto"/>
              </w:rPr>
            </w:pPr>
            <w:r>
              <w:rPr>
                <w:rFonts w:ascii="Courier New" w:cs="Courier New" w:eastAsia="Courier New" w:hAnsi="Courier New"/>
                <w:sz w:val="15"/>
                <w:szCs w:val="15"/>
                <w:color w:val="auto"/>
              </w:rPr>
              <w:t>REGISTRATION STATEMENT</w:t>
            </w:r>
          </w:p>
        </w:tc>
        <w:tc>
          <w:tcPr>
            <w:tcW w:w="2520" w:type="dxa"/>
            <w:vAlign w:val="bottom"/>
          </w:tcPr>
          <w:p>
            <w:pPr>
              <w:spacing w:after="0"/>
              <w:rPr>
                <w:sz w:val="24"/>
                <w:szCs w:val="24"/>
                <w:color w:val="auto"/>
              </w:rPr>
            </w:pPr>
          </w:p>
        </w:tc>
      </w:tr>
      <w:tr>
        <w:trPr>
          <w:trHeight w:val="173"/>
        </w:trPr>
        <w:tc>
          <w:tcPr>
            <w:tcW w:w="2880" w:type="dxa"/>
            <w:vAlign w:val="bottom"/>
          </w:tcPr>
          <w:p>
            <w:pPr>
              <w:spacing w:after="0"/>
              <w:rPr>
                <w:sz w:val="15"/>
                <w:szCs w:val="15"/>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UNDER</w:t>
            </w:r>
          </w:p>
        </w:tc>
        <w:tc>
          <w:tcPr>
            <w:tcW w:w="11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173"/>
        </w:trPr>
        <w:tc>
          <w:tcPr>
            <w:tcW w:w="5500" w:type="dxa"/>
            <w:vAlign w:val="bottom"/>
            <w:gridSpan w:val="3"/>
          </w:tcPr>
          <w:p>
            <w:pPr>
              <w:jc w:val="center"/>
              <w:ind w:left="1625"/>
              <w:spacing w:after="0"/>
              <w:rPr>
                <w:sz w:val="20"/>
                <w:szCs w:val="20"/>
                <w:color w:val="auto"/>
              </w:rPr>
            </w:pPr>
            <w:r>
              <w:rPr>
                <w:rFonts w:ascii="Courier New" w:cs="Courier New" w:eastAsia="Courier New" w:hAnsi="Courier New"/>
                <w:sz w:val="15"/>
                <w:szCs w:val="15"/>
                <w:color w:val="auto"/>
              </w:rPr>
              <w:t>THE SECURITIES ACT OF 1933</w:t>
            </w:r>
          </w:p>
        </w:tc>
        <w:tc>
          <w:tcPr>
            <w:tcW w:w="2520" w:type="dxa"/>
            <w:vAlign w:val="bottom"/>
          </w:tcPr>
          <w:p>
            <w:pPr>
              <w:spacing w:after="0"/>
              <w:rPr>
                <w:sz w:val="15"/>
                <w:szCs w:val="15"/>
                <w:color w:val="auto"/>
              </w:rPr>
            </w:pPr>
          </w:p>
        </w:tc>
      </w:tr>
      <w:tr>
        <w:trPr>
          <w:trHeight w:val="173"/>
        </w:trPr>
        <w:tc>
          <w:tcPr>
            <w:tcW w:w="5500" w:type="dxa"/>
            <w:vAlign w:val="bottom"/>
            <w:gridSpan w:val="3"/>
          </w:tcPr>
          <w:p>
            <w:pPr>
              <w:jc w:val="center"/>
              <w:ind w:left="1625"/>
              <w:spacing w:after="0"/>
              <w:rPr>
                <w:sz w:val="20"/>
                <w:szCs w:val="20"/>
                <w:color w:val="auto"/>
              </w:rPr>
            </w:pPr>
            <w:r>
              <w:rPr>
                <w:rFonts w:ascii="Courier New" w:cs="Courier New" w:eastAsia="Courier New" w:hAnsi="Courier New"/>
                <w:sz w:val="15"/>
                <w:szCs w:val="15"/>
                <w:color w:val="auto"/>
                <w:w w:val="99"/>
              </w:rPr>
              <w:t>------------------------</w:t>
            </w:r>
          </w:p>
        </w:tc>
        <w:tc>
          <w:tcPr>
            <w:tcW w:w="2520" w:type="dxa"/>
            <w:vAlign w:val="bottom"/>
          </w:tcPr>
          <w:p>
            <w:pPr>
              <w:spacing w:after="0"/>
              <w:rPr>
                <w:sz w:val="15"/>
                <w:szCs w:val="15"/>
                <w:color w:val="auto"/>
              </w:rPr>
            </w:pPr>
          </w:p>
        </w:tc>
      </w:tr>
      <w:tr>
        <w:trPr>
          <w:trHeight w:val="347"/>
        </w:trPr>
        <w:tc>
          <w:tcPr>
            <w:tcW w:w="2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USA</w:t>
            </w:r>
          </w:p>
        </w:tc>
        <w:tc>
          <w:tcPr>
            <w:tcW w:w="2620" w:type="dxa"/>
            <w:vAlign w:val="bottom"/>
            <w:gridSpan w:val="2"/>
          </w:tcPr>
          <w:p>
            <w:pPr>
              <w:spacing w:after="0"/>
              <w:rPr>
                <w:sz w:val="20"/>
                <w:szCs w:val="20"/>
                <w:color w:val="auto"/>
              </w:rPr>
            </w:pPr>
            <w:r>
              <w:rPr>
                <w:rFonts w:ascii="Courier New" w:cs="Courier New" w:eastAsia="Courier New" w:hAnsi="Courier New"/>
                <w:sz w:val="15"/>
                <w:szCs w:val="15"/>
                <w:color w:val="auto"/>
              </w:rPr>
              <w:t>WASTE SERVICES, INC.</w:t>
            </w:r>
          </w:p>
        </w:tc>
        <w:tc>
          <w:tcPr>
            <w:tcW w:w="2520" w:type="dxa"/>
            <w:vAlign w:val="bottom"/>
          </w:tcPr>
          <w:p>
            <w:pPr>
              <w:spacing w:after="0"/>
              <w:rPr>
                <w:sz w:val="24"/>
                <w:szCs w:val="24"/>
                <w:color w:val="auto"/>
              </w:rPr>
            </w:pPr>
          </w:p>
        </w:tc>
      </w:tr>
      <w:tr>
        <w:trPr>
          <w:trHeight w:val="173"/>
        </w:trPr>
        <w:tc>
          <w:tcPr>
            <w:tcW w:w="8020" w:type="dxa"/>
            <w:vAlign w:val="bottom"/>
            <w:gridSpan w:val="4"/>
          </w:tcPr>
          <w:p>
            <w:pPr>
              <w:jc w:val="center"/>
              <w:ind w:right="745"/>
              <w:spacing w:after="0"/>
              <w:rPr>
                <w:sz w:val="20"/>
                <w:szCs w:val="20"/>
                <w:color w:val="auto"/>
              </w:rPr>
            </w:pPr>
            <w:r>
              <w:rPr>
                <w:rFonts w:ascii="Courier New" w:cs="Courier New" w:eastAsia="Courier New" w:hAnsi="Courier New"/>
                <w:sz w:val="15"/>
                <w:szCs w:val="15"/>
                <w:color w:val="auto"/>
              </w:rPr>
              <w:t>(Exact name of Registrant as specified in its charter)</w:t>
            </w:r>
          </w:p>
        </w:tc>
      </w:tr>
      <w:tr>
        <w:trPr>
          <w:trHeight w:val="694"/>
        </w:trPr>
        <w:tc>
          <w:tcPr>
            <w:tcW w:w="288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OKLAHOMA</w:t>
            </w:r>
          </w:p>
        </w:tc>
        <w:tc>
          <w:tcPr>
            <w:tcW w:w="1440" w:type="dxa"/>
            <w:vAlign w:val="bottom"/>
          </w:tcPr>
          <w:p>
            <w:pPr>
              <w:ind w:left="1080"/>
              <w:spacing w:after="0"/>
              <w:rPr>
                <w:sz w:val="20"/>
                <w:szCs w:val="20"/>
                <w:color w:val="auto"/>
              </w:rPr>
            </w:pPr>
            <w:r>
              <w:rPr>
                <w:rFonts w:ascii="Courier New" w:cs="Courier New" w:eastAsia="Courier New" w:hAnsi="Courier New"/>
                <w:sz w:val="15"/>
                <w:szCs w:val="15"/>
                <w:color w:val="auto"/>
                <w:w w:val="94"/>
              </w:rPr>
              <w:t>4953</w:t>
            </w:r>
          </w:p>
        </w:tc>
        <w:tc>
          <w:tcPr>
            <w:tcW w:w="1180" w:type="dxa"/>
            <w:vAlign w:val="bottom"/>
          </w:tcPr>
          <w:p>
            <w:pPr>
              <w:spacing w:after="0"/>
              <w:rPr>
                <w:sz w:val="24"/>
                <w:szCs w:val="24"/>
                <w:color w:val="auto"/>
              </w:rPr>
            </w:pPr>
          </w:p>
        </w:tc>
        <w:tc>
          <w:tcPr>
            <w:tcW w:w="252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73-1309529</w:t>
            </w:r>
          </w:p>
        </w:tc>
      </w:tr>
      <w:tr>
        <w:trPr>
          <w:trHeight w:val="173"/>
        </w:trPr>
        <w:tc>
          <w:tcPr>
            <w:tcW w:w="2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(State or other jurisdiction of</w:t>
            </w:r>
          </w:p>
        </w:tc>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(Primary Standard Industrial</w:t>
            </w:r>
          </w:p>
        </w:tc>
        <w:tc>
          <w:tcPr>
            <w:tcW w:w="25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2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incorporation or organization)</w:t>
            </w:r>
          </w:p>
        </w:tc>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Classification Code Number)</w:t>
            </w:r>
          </w:p>
        </w:tc>
        <w:tc>
          <w:tcPr>
            <w:tcW w:w="252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Identification Number)</w:t>
            </w:r>
          </w:p>
        </w:tc>
      </w:tr>
      <w:tr>
        <w:trPr>
          <w:trHeight w:val="520"/>
        </w:trPr>
        <w:tc>
          <w:tcPr>
            <w:tcW w:w="5500" w:type="dxa"/>
            <w:vAlign w:val="bottom"/>
            <w:gridSpan w:val="3"/>
          </w:tcPr>
          <w:p>
            <w:pPr>
              <w:jc w:val="center"/>
              <w:ind w:left="1625"/>
              <w:spacing w:after="0"/>
              <w:rPr>
                <w:sz w:val="20"/>
                <w:szCs w:val="20"/>
                <w:color w:val="auto"/>
              </w:rPr>
            </w:pPr>
            <w:r>
              <w:rPr>
                <w:rFonts w:ascii="Courier New" w:cs="Courier New" w:eastAsia="Courier New" w:hAnsi="Courier New"/>
                <w:sz w:val="15"/>
                <w:szCs w:val="15"/>
                <w:color w:val="auto"/>
                <w:w w:val="99"/>
              </w:rPr>
              <w:t>------------------------</w:t>
            </w:r>
          </w:p>
        </w:tc>
        <w:tc>
          <w:tcPr>
            <w:tcW w:w="2520" w:type="dxa"/>
            <w:vAlign w:val="bottom"/>
          </w:tcPr>
          <w:p>
            <w:pPr>
              <w:spacing w:after="0"/>
              <w:rPr>
                <w:sz w:val="24"/>
                <w:szCs w:val="24"/>
                <w:color w:val="auto"/>
              </w:rPr>
            </w:pPr>
          </w:p>
        </w:tc>
      </w:tr>
      <w:tr>
        <w:trPr>
          <w:trHeight w:val="694"/>
        </w:trPr>
        <w:tc>
          <w:tcPr>
            <w:tcW w:w="2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20" w:type="dxa"/>
            <w:vAlign w:val="bottom"/>
          </w:tcPr>
          <w:p>
            <w:pPr>
              <w:jc w:val="center"/>
              <w:ind w:right="1005"/>
              <w:spacing w:after="0"/>
              <w:rPr>
                <w:sz w:val="20"/>
                <w:szCs w:val="20"/>
                <w:color w:val="auto"/>
              </w:rPr>
            </w:pPr>
            <w:r>
              <w:rPr>
                <w:rFonts w:ascii="Courier New" w:cs="Courier New" w:eastAsia="Courier New" w:hAnsi="Courier New"/>
                <w:sz w:val="15"/>
                <w:szCs w:val="15"/>
                <w:color w:val="auto"/>
                <w:w w:val="99"/>
              </w:rPr>
              <w:t>EARL E. DEFRATES</w:t>
            </w:r>
          </w:p>
        </w:tc>
      </w:tr>
      <w:tr>
        <w:trPr>
          <w:trHeight w:val="173"/>
        </w:trPr>
        <w:tc>
          <w:tcPr>
            <w:tcW w:w="2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70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USA WASTE SERVICES, INC.</w:t>
            </w:r>
          </w:p>
        </w:tc>
      </w:tr>
      <w:tr>
        <w:trPr>
          <w:trHeight w:val="173"/>
        </w:trPr>
        <w:tc>
          <w:tcPr>
            <w:tcW w:w="4320" w:type="dxa"/>
            <w:vAlign w:val="bottom"/>
            <w:gridSpan w:val="2"/>
          </w:tcPr>
          <w:p>
            <w:pPr>
              <w:jc w:val="center"/>
              <w:ind w:right="125"/>
              <w:spacing w:after="0"/>
              <w:rPr>
                <w:sz w:val="20"/>
                <w:szCs w:val="20"/>
                <w:color w:val="auto"/>
              </w:rPr>
            </w:pPr>
            <w:r>
              <w:rPr>
                <w:rFonts w:ascii="Courier New" w:cs="Courier New" w:eastAsia="Courier New" w:hAnsi="Courier New"/>
                <w:sz w:val="15"/>
                <w:szCs w:val="15"/>
                <w:color w:val="auto"/>
                <w:w w:val="99"/>
              </w:rPr>
              <w:t>5000 QUORUM DRIVE, SUITE 300</w:t>
            </w:r>
          </w:p>
        </w:tc>
        <w:tc>
          <w:tcPr>
            <w:tcW w:w="370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5000 QUORUM DRIVE, SUITE 300</w:t>
            </w:r>
          </w:p>
        </w:tc>
      </w:tr>
      <w:tr>
        <w:trPr>
          <w:trHeight w:val="173"/>
        </w:trPr>
        <w:tc>
          <w:tcPr>
            <w:tcW w:w="2880" w:type="dxa"/>
            <w:vAlign w:val="bottom"/>
          </w:tcPr>
          <w:p>
            <w:pPr>
              <w:jc w:val="center"/>
              <w:ind w:left="1085"/>
              <w:spacing w:after="0"/>
              <w:rPr>
                <w:sz w:val="20"/>
                <w:szCs w:val="20"/>
                <w:color w:val="auto"/>
              </w:rPr>
            </w:pPr>
            <w:r>
              <w:rPr>
                <w:rFonts w:ascii="Courier New" w:cs="Courier New" w:eastAsia="Courier New" w:hAnsi="Courier New"/>
                <w:sz w:val="15"/>
                <w:szCs w:val="15"/>
                <w:color w:val="auto"/>
              </w:rPr>
              <w:t>DALLAS, TEXAS 75240</w:t>
            </w:r>
          </w:p>
        </w:tc>
        <w:tc>
          <w:tcPr>
            <w:tcW w:w="1440" w:type="dxa"/>
            <w:vAlign w:val="bottom"/>
          </w:tcPr>
          <w:p>
            <w:pPr>
              <w:spacing w:after="0"/>
              <w:rPr>
                <w:sz w:val="15"/>
                <w:szCs w:val="15"/>
                <w:color w:val="auto"/>
              </w:rPr>
            </w:pP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DALLAS, TEXAS 75240</w:t>
            </w:r>
          </w:p>
        </w:tc>
      </w:tr>
      <w:tr>
        <w:trPr>
          <w:trHeight w:val="173"/>
        </w:trPr>
        <w:tc>
          <w:tcPr>
            <w:tcW w:w="2880" w:type="dxa"/>
            <w:vAlign w:val="bottom"/>
          </w:tcPr>
          <w:p>
            <w:pPr>
              <w:jc w:val="center"/>
              <w:ind w:left="1185"/>
              <w:spacing w:after="0"/>
              <w:rPr>
                <w:sz w:val="20"/>
                <w:szCs w:val="20"/>
                <w:color w:val="auto"/>
              </w:rPr>
            </w:pPr>
            <w:r>
              <w:rPr>
                <w:rFonts w:ascii="Courier New" w:cs="Courier New" w:eastAsia="Courier New" w:hAnsi="Courier New"/>
                <w:sz w:val="15"/>
                <w:szCs w:val="15"/>
                <w:color w:val="auto"/>
                <w:w w:val="99"/>
              </w:rPr>
              <w:t>(214) 383-7900</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520" w:type="dxa"/>
            <w:vAlign w:val="bottom"/>
          </w:tcPr>
          <w:p>
            <w:pPr>
              <w:jc w:val="center"/>
              <w:ind w:right="1025"/>
              <w:spacing w:after="0"/>
              <w:rPr>
                <w:sz w:val="20"/>
                <w:szCs w:val="20"/>
                <w:color w:val="auto"/>
              </w:rPr>
            </w:pPr>
            <w:r>
              <w:rPr>
                <w:rFonts w:ascii="Courier New" w:cs="Courier New" w:eastAsia="Courier New" w:hAnsi="Courier New"/>
                <w:sz w:val="15"/>
                <w:szCs w:val="15"/>
                <w:color w:val="auto"/>
                <w:w w:val="99"/>
              </w:rPr>
              <w:t>(214) 383-7900</w:t>
            </w:r>
          </w:p>
        </w:tc>
      </w:tr>
      <w:tr>
        <w:trPr>
          <w:trHeight w:val="173"/>
        </w:trPr>
        <w:tc>
          <w:tcPr>
            <w:tcW w:w="4320" w:type="dxa"/>
            <w:vAlign w:val="bottom"/>
            <w:gridSpan w:val="2"/>
          </w:tcPr>
          <w:p>
            <w:pPr>
              <w:jc w:val="center"/>
              <w:ind w:right="205"/>
              <w:spacing w:after="0"/>
              <w:rPr>
                <w:sz w:val="20"/>
                <w:szCs w:val="20"/>
                <w:color w:val="auto"/>
              </w:rPr>
            </w:pPr>
            <w:r>
              <w:rPr>
                <w:rFonts w:ascii="Courier New" w:cs="Courier New" w:eastAsia="Courier New" w:hAnsi="Courier New"/>
                <w:sz w:val="15"/>
                <w:szCs w:val="15"/>
                <w:color w:val="auto"/>
              </w:rPr>
              <w:t>(Address, including zip code, and telephone</w:t>
            </w: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(Name, address, including zip code, and</w:t>
            </w:r>
          </w:p>
        </w:tc>
      </w:tr>
      <w:tr>
        <w:trPr>
          <w:trHeight w:val="173"/>
        </w:trPr>
        <w:tc>
          <w:tcPr>
            <w:tcW w:w="4320" w:type="dxa"/>
            <w:vAlign w:val="bottom"/>
            <w:gridSpan w:val="2"/>
          </w:tcPr>
          <w:p>
            <w:pPr>
              <w:jc w:val="center"/>
              <w:ind w:right="125"/>
              <w:spacing w:after="0"/>
              <w:rPr>
                <w:sz w:val="20"/>
                <w:szCs w:val="20"/>
                <w:color w:val="auto"/>
              </w:rPr>
            </w:pPr>
            <w:r>
              <w:rPr>
                <w:rFonts w:ascii="Courier New" w:cs="Courier New" w:eastAsia="Courier New" w:hAnsi="Courier New"/>
                <w:sz w:val="15"/>
                <w:szCs w:val="15"/>
                <w:color w:val="auto"/>
                <w:w w:val="99"/>
              </w:rPr>
              <w:t>number, including area code, of Registrant's</w:t>
            </w:r>
          </w:p>
        </w:tc>
        <w:tc>
          <w:tcPr>
            <w:tcW w:w="1180" w:type="dxa"/>
            <w:vAlign w:val="bottom"/>
          </w:tcPr>
          <w:p>
            <w:pPr>
              <w:spacing w:after="0"/>
              <w:rPr>
                <w:sz w:val="15"/>
                <w:szCs w:val="15"/>
                <w:color w:val="auto"/>
              </w:rPr>
            </w:pPr>
          </w:p>
        </w:tc>
        <w:tc>
          <w:tcPr>
            <w:tcW w:w="2520" w:type="dxa"/>
            <w:vAlign w:val="bottom"/>
          </w:tcPr>
          <w:p>
            <w:pPr>
              <w:jc w:val="center"/>
              <w:ind w:right="1105"/>
              <w:spacing w:after="0"/>
              <w:rPr>
                <w:sz w:val="20"/>
                <w:szCs w:val="20"/>
                <w:color w:val="auto"/>
              </w:rPr>
            </w:pPr>
            <w:r>
              <w:rPr>
                <w:rFonts w:ascii="Courier New" w:cs="Courier New" w:eastAsia="Courier New" w:hAnsi="Courier New"/>
                <w:sz w:val="15"/>
                <w:szCs w:val="15"/>
                <w:color w:val="auto"/>
              </w:rPr>
              <w:t>telephone</w:t>
            </w:r>
          </w:p>
        </w:tc>
      </w:tr>
      <w:tr>
        <w:trPr>
          <w:trHeight w:val="173"/>
        </w:trPr>
        <w:tc>
          <w:tcPr>
            <w:tcW w:w="4320" w:type="dxa"/>
            <w:vAlign w:val="bottom"/>
            <w:gridSpan w:val="2"/>
          </w:tcPr>
          <w:p>
            <w:pPr>
              <w:jc w:val="center"/>
              <w:ind w:right="125"/>
              <w:spacing w:after="0"/>
              <w:rPr>
                <w:sz w:val="20"/>
                <w:szCs w:val="20"/>
                <w:color w:val="auto"/>
              </w:rPr>
            </w:pPr>
            <w:r>
              <w:rPr>
                <w:rFonts w:ascii="Courier New" w:cs="Courier New" w:eastAsia="Courier New" w:hAnsi="Courier New"/>
                <w:sz w:val="15"/>
                <w:szCs w:val="15"/>
                <w:color w:val="auto"/>
                <w:w w:val="99"/>
              </w:rPr>
              <w:t>principal executive offices)</w:t>
            </w: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number, including area code, of agent for</w:t>
            </w:r>
          </w:p>
        </w:tc>
      </w:tr>
      <w:tr>
        <w:trPr>
          <w:trHeight w:val="173"/>
        </w:trPr>
        <w:tc>
          <w:tcPr>
            <w:tcW w:w="2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520" w:type="dxa"/>
            <w:vAlign w:val="bottom"/>
          </w:tcPr>
          <w:p>
            <w:pPr>
              <w:jc w:val="center"/>
              <w:ind w:right="1005"/>
              <w:spacing w:after="0"/>
              <w:rPr>
                <w:sz w:val="20"/>
                <w:szCs w:val="20"/>
                <w:color w:val="auto"/>
              </w:rPr>
            </w:pPr>
            <w:r>
              <w:rPr>
                <w:rFonts w:ascii="Courier New" w:cs="Courier New" w:eastAsia="Courier New" w:hAnsi="Courier New"/>
                <w:sz w:val="15"/>
                <w:szCs w:val="15"/>
                <w:color w:val="auto"/>
                <w:w w:val="99"/>
              </w:rPr>
              <w:t>service)</w:t>
            </w:r>
          </w:p>
        </w:tc>
      </w:tr>
      <w:tr>
        <w:trPr>
          <w:trHeight w:val="520"/>
        </w:trPr>
        <w:tc>
          <w:tcPr>
            <w:tcW w:w="5500" w:type="dxa"/>
            <w:vAlign w:val="bottom"/>
            <w:gridSpan w:val="3"/>
          </w:tcPr>
          <w:p>
            <w:pPr>
              <w:jc w:val="center"/>
              <w:ind w:left="1625"/>
              <w:spacing w:after="0"/>
              <w:rPr>
                <w:sz w:val="20"/>
                <w:szCs w:val="20"/>
                <w:color w:val="auto"/>
              </w:rPr>
            </w:pPr>
            <w:r>
              <w:rPr>
                <w:rFonts w:ascii="Courier New" w:cs="Courier New" w:eastAsia="Courier New" w:hAnsi="Courier New"/>
                <w:sz w:val="15"/>
                <w:szCs w:val="15"/>
                <w:color w:val="auto"/>
                <w:w w:val="99"/>
              </w:rPr>
              <w:t>------------------------</w:t>
            </w:r>
          </w:p>
        </w:tc>
        <w:tc>
          <w:tcPr>
            <w:tcW w:w="2520" w:type="dxa"/>
            <w:vAlign w:val="bottom"/>
          </w:tcPr>
          <w:p>
            <w:pPr>
              <w:spacing w:after="0"/>
              <w:rPr>
                <w:sz w:val="24"/>
                <w:szCs w:val="24"/>
                <w:color w:val="auto"/>
              </w:rPr>
            </w:pPr>
          </w:p>
        </w:tc>
      </w:tr>
      <w:tr>
        <w:trPr>
          <w:trHeight w:val="347"/>
        </w:trPr>
        <w:tc>
          <w:tcPr>
            <w:tcW w:w="28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Copies to:</w:t>
            </w: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94"/>
        </w:trPr>
        <w:tc>
          <w:tcPr>
            <w:tcW w:w="2880" w:type="dxa"/>
            <w:vAlign w:val="bottom"/>
          </w:tcPr>
          <w:p>
            <w:pPr>
              <w:jc w:val="center"/>
              <w:ind w:left="1085"/>
              <w:spacing w:after="0"/>
              <w:rPr>
                <w:sz w:val="20"/>
                <w:szCs w:val="20"/>
                <w:color w:val="auto"/>
              </w:rPr>
            </w:pPr>
            <w:r>
              <w:rPr>
                <w:rFonts w:ascii="Courier New" w:cs="Courier New" w:eastAsia="Courier New" w:hAnsi="Courier New"/>
                <w:sz w:val="15"/>
                <w:szCs w:val="15"/>
                <w:color w:val="auto"/>
              </w:rPr>
              <w:t>DAVID J. GRAHAM</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20" w:type="dxa"/>
            <w:vAlign w:val="bottom"/>
          </w:tcPr>
          <w:p>
            <w:pPr>
              <w:jc w:val="center"/>
              <w:ind w:right="1105"/>
              <w:spacing w:after="0"/>
              <w:rPr>
                <w:sz w:val="20"/>
                <w:szCs w:val="20"/>
                <w:color w:val="auto"/>
              </w:rPr>
            </w:pPr>
            <w:r>
              <w:rPr>
                <w:rFonts w:ascii="Courier New" w:cs="Courier New" w:eastAsia="Courier New" w:hAnsi="Courier New"/>
                <w:sz w:val="15"/>
                <w:szCs w:val="15"/>
                <w:color w:val="auto"/>
                <w:w w:val="99"/>
              </w:rPr>
              <w:t>RICHARD R. HOWE</w:t>
            </w:r>
          </w:p>
        </w:tc>
      </w:tr>
      <w:tr>
        <w:trPr>
          <w:trHeight w:val="173"/>
        </w:trPr>
        <w:tc>
          <w:tcPr>
            <w:tcW w:w="43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9"/>
              </w:rPr>
              <w:t>ANDREWS &amp; KURTH L.L.P.</w:t>
            </w: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SULLIVAN &amp; CROMWELL</w:t>
            </w:r>
          </w:p>
        </w:tc>
      </w:tr>
      <w:tr>
        <w:trPr>
          <w:trHeight w:val="173"/>
        </w:trPr>
        <w:tc>
          <w:tcPr>
            <w:tcW w:w="4320" w:type="dxa"/>
            <w:vAlign w:val="bottom"/>
            <w:gridSpan w:val="2"/>
          </w:tcPr>
          <w:p>
            <w:pPr>
              <w:jc w:val="center"/>
              <w:ind w:right="205"/>
              <w:spacing w:after="0"/>
              <w:rPr>
                <w:sz w:val="20"/>
                <w:szCs w:val="20"/>
                <w:color w:val="auto"/>
              </w:rPr>
            </w:pPr>
            <w:r>
              <w:rPr>
                <w:rFonts w:ascii="Courier New" w:cs="Courier New" w:eastAsia="Courier New" w:hAnsi="Courier New"/>
                <w:sz w:val="15"/>
                <w:szCs w:val="15"/>
                <w:color w:val="auto"/>
                <w:w w:val="99"/>
              </w:rPr>
              <w:t>4200 TEXAS COMMERCE TOWER</w:t>
            </w:r>
          </w:p>
        </w:tc>
        <w:tc>
          <w:tcPr>
            <w:tcW w:w="1180" w:type="dxa"/>
            <w:vAlign w:val="bottom"/>
          </w:tcPr>
          <w:p>
            <w:pPr>
              <w:spacing w:after="0"/>
              <w:rPr>
                <w:sz w:val="15"/>
                <w:szCs w:val="15"/>
                <w:color w:val="auto"/>
              </w:rPr>
            </w:pPr>
          </w:p>
        </w:tc>
        <w:tc>
          <w:tcPr>
            <w:tcW w:w="2520" w:type="dxa"/>
            <w:vAlign w:val="bottom"/>
          </w:tcPr>
          <w:p>
            <w:pPr>
              <w:jc w:val="center"/>
              <w:ind w:right="1005"/>
              <w:spacing w:after="0"/>
              <w:rPr>
                <w:sz w:val="20"/>
                <w:szCs w:val="20"/>
                <w:color w:val="auto"/>
              </w:rPr>
            </w:pPr>
            <w:r>
              <w:rPr>
                <w:rFonts w:ascii="Courier New" w:cs="Courier New" w:eastAsia="Courier New" w:hAnsi="Courier New"/>
                <w:sz w:val="15"/>
                <w:szCs w:val="15"/>
                <w:color w:val="auto"/>
                <w:w w:val="99"/>
              </w:rPr>
              <w:t>125 BROAD STREET</w:t>
            </w:r>
          </w:p>
        </w:tc>
      </w:tr>
      <w:tr>
        <w:trPr>
          <w:trHeight w:val="173"/>
        </w:trPr>
        <w:tc>
          <w:tcPr>
            <w:tcW w:w="4320" w:type="dxa"/>
            <w:vAlign w:val="bottom"/>
            <w:gridSpan w:val="2"/>
          </w:tcPr>
          <w:p>
            <w:pPr>
              <w:jc w:val="center"/>
              <w:ind w:right="125"/>
              <w:spacing w:after="0"/>
              <w:rPr>
                <w:sz w:val="20"/>
                <w:szCs w:val="20"/>
                <w:color w:val="auto"/>
              </w:rPr>
            </w:pPr>
            <w:r>
              <w:rPr>
                <w:rFonts w:ascii="Courier New" w:cs="Courier New" w:eastAsia="Courier New" w:hAnsi="Courier New"/>
                <w:sz w:val="15"/>
                <w:szCs w:val="15"/>
                <w:color w:val="auto"/>
                <w:w w:val="99"/>
              </w:rPr>
              <w:t>HOUSTON, TEXAS 77002</w:t>
            </w:r>
          </w:p>
        </w:tc>
        <w:tc>
          <w:tcPr>
            <w:tcW w:w="370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9"/>
              </w:rPr>
              <w:t>NEW YORK, NEW YORK 10004</w:t>
            </w:r>
          </w:p>
        </w:tc>
      </w:tr>
      <w:tr>
        <w:trPr>
          <w:trHeight w:val="173"/>
        </w:trPr>
        <w:tc>
          <w:tcPr>
            <w:tcW w:w="2880" w:type="dxa"/>
            <w:vAlign w:val="bottom"/>
          </w:tcPr>
          <w:p>
            <w:pPr>
              <w:jc w:val="center"/>
              <w:ind w:left="1185"/>
              <w:spacing w:after="0"/>
              <w:rPr>
                <w:sz w:val="20"/>
                <w:szCs w:val="20"/>
                <w:color w:val="auto"/>
              </w:rPr>
            </w:pPr>
            <w:r>
              <w:rPr>
                <w:rFonts w:ascii="Courier New" w:cs="Courier New" w:eastAsia="Courier New" w:hAnsi="Courier New"/>
                <w:sz w:val="15"/>
                <w:szCs w:val="15"/>
                <w:color w:val="auto"/>
                <w:w w:val="99"/>
              </w:rPr>
              <w:t>(713) 220-4200</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520" w:type="dxa"/>
            <w:vAlign w:val="bottom"/>
          </w:tcPr>
          <w:p>
            <w:pPr>
              <w:jc w:val="center"/>
              <w:ind w:right="1025"/>
              <w:spacing w:after="0"/>
              <w:rPr>
                <w:sz w:val="20"/>
                <w:szCs w:val="20"/>
                <w:color w:val="auto"/>
              </w:rPr>
            </w:pPr>
            <w:r>
              <w:rPr>
                <w:rFonts w:ascii="Courier New" w:cs="Courier New" w:eastAsia="Courier New" w:hAnsi="Courier New"/>
                <w:sz w:val="15"/>
                <w:szCs w:val="15"/>
                <w:color w:val="auto"/>
                <w:w w:val="99"/>
              </w:rPr>
              <w:t>(212) 558-4000</w:t>
            </w:r>
          </w:p>
        </w:tc>
      </w:tr>
      <w:tr>
        <w:trPr>
          <w:trHeight w:val="173"/>
        </w:trPr>
        <w:tc>
          <w:tcPr>
            <w:tcW w:w="2880" w:type="dxa"/>
            <w:vAlign w:val="bottom"/>
          </w:tcPr>
          <w:p>
            <w:pPr>
              <w:jc w:val="center"/>
              <w:ind w:left="1085"/>
              <w:spacing w:after="0"/>
              <w:rPr>
                <w:sz w:val="20"/>
                <w:szCs w:val="20"/>
                <w:color w:val="auto"/>
              </w:rPr>
            </w:pPr>
            <w:r>
              <w:rPr>
                <w:rFonts w:ascii="Courier New" w:cs="Courier New" w:eastAsia="Courier New" w:hAnsi="Courier New"/>
                <w:sz w:val="15"/>
                <w:szCs w:val="15"/>
                <w:color w:val="auto"/>
                <w:w w:val="99"/>
              </w:rPr>
              <w:t>JOHN T. UNGER</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520" w:type="dxa"/>
            <w:vAlign w:val="bottom"/>
          </w:tcPr>
          <w:p>
            <w:pPr>
              <w:jc w:val="center"/>
              <w:ind w:right="1105"/>
              <w:spacing w:after="0"/>
              <w:rPr>
                <w:sz w:val="20"/>
                <w:szCs w:val="20"/>
                <w:color w:val="auto"/>
              </w:rPr>
            </w:pPr>
            <w:r>
              <w:rPr>
                <w:rFonts w:ascii="Courier New" w:cs="Courier New" w:eastAsia="Courier New" w:hAnsi="Courier New"/>
                <w:sz w:val="15"/>
                <w:szCs w:val="15"/>
                <w:color w:val="auto"/>
                <w:w w:val="99"/>
              </w:rPr>
              <w:t>RICHARD D. ROSE</w:t>
            </w:r>
          </w:p>
        </w:tc>
      </w:tr>
      <w:tr>
        <w:trPr>
          <w:trHeight w:val="173"/>
        </w:trPr>
        <w:tc>
          <w:tcPr>
            <w:tcW w:w="2880" w:type="dxa"/>
            <w:vAlign w:val="bottom"/>
          </w:tcPr>
          <w:p>
            <w:pPr>
              <w:jc w:val="center"/>
              <w:ind w:left="1085"/>
              <w:spacing w:after="0"/>
              <w:rPr>
                <w:sz w:val="20"/>
                <w:szCs w:val="20"/>
                <w:color w:val="auto"/>
              </w:rPr>
            </w:pPr>
            <w:r>
              <w:rPr>
                <w:rFonts w:ascii="Courier New" w:cs="Courier New" w:eastAsia="Courier New" w:hAnsi="Courier New"/>
                <w:sz w:val="15"/>
                <w:szCs w:val="15"/>
                <w:color w:val="auto"/>
              </w:rPr>
              <w:t>SNELL &amp; SMITH, P.C.</w:t>
            </w:r>
          </w:p>
        </w:tc>
        <w:tc>
          <w:tcPr>
            <w:tcW w:w="1440" w:type="dxa"/>
            <w:vAlign w:val="bottom"/>
          </w:tcPr>
          <w:p>
            <w:pPr>
              <w:spacing w:after="0"/>
              <w:rPr>
                <w:sz w:val="15"/>
                <w:szCs w:val="15"/>
                <w:color w:val="auto"/>
              </w:rPr>
            </w:pP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THORP, REED &amp; ARMSTRONG</w:t>
            </w:r>
          </w:p>
        </w:tc>
      </w:tr>
      <w:tr>
        <w:trPr>
          <w:trHeight w:val="173"/>
        </w:trPr>
        <w:tc>
          <w:tcPr>
            <w:tcW w:w="43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9"/>
              </w:rPr>
              <w:t>1000 LOUISIANA, SUITE 3650</w:t>
            </w: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ONE RIVERFRONT CENTER</w:t>
            </w:r>
          </w:p>
        </w:tc>
      </w:tr>
      <w:tr>
        <w:trPr>
          <w:trHeight w:val="173"/>
        </w:trPr>
        <w:tc>
          <w:tcPr>
            <w:tcW w:w="4320" w:type="dxa"/>
            <w:vAlign w:val="bottom"/>
            <w:gridSpan w:val="2"/>
          </w:tcPr>
          <w:p>
            <w:pPr>
              <w:jc w:val="center"/>
              <w:ind w:right="125"/>
              <w:spacing w:after="0"/>
              <w:rPr>
                <w:sz w:val="20"/>
                <w:szCs w:val="20"/>
                <w:color w:val="auto"/>
              </w:rPr>
            </w:pPr>
            <w:r>
              <w:rPr>
                <w:rFonts w:ascii="Courier New" w:cs="Courier New" w:eastAsia="Courier New" w:hAnsi="Courier New"/>
                <w:sz w:val="15"/>
                <w:szCs w:val="15"/>
                <w:color w:val="auto"/>
                <w:w w:val="99"/>
              </w:rPr>
              <w:t>HOUSTON, TEXAS 77002</w:t>
            </w:r>
          </w:p>
        </w:tc>
        <w:tc>
          <w:tcPr>
            <w:tcW w:w="3700" w:type="dxa"/>
            <w:vAlign w:val="bottom"/>
            <w:gridSpan w:val="2"/>
          </w:tcPr>
          <w:p>
            <w:pPr>
              <w:jc w:val="center"/>
              <w:ind w:left="5"/>
              <w:spacing w:after="0"/>
              <w:rPr>
                <w:sz w:val="20"/>
                <w:szCs w:val="20"/>
                <w:color w:val="auto"/>
              </w:rPr>
            </w:pPr>
            <w:r>
              <w:rPr>
                <w:rFonts w:ascii="Courier New" w:cs="Courier New" w:eastAsia="Courier New" w:hAnsi="Courier New"/>
                <w:sz w:val="15"/>
                <w:szCs w:val="15"/>
                <w:color w:val="auto"/>
                <w:w w:val="99"/>
              </w:rPr>
              <w:t>PITTSBURGH, PENNSYLVANIA 15222</w:t>
            </w:r>
          </w:p>
        </w:tc>
      </w:tr>
      <w:tr>
        <w:trPr>
          <w:trHeight w:val="173"/>
        </w:trPr>
        <w:tc>
          <w:tcPr>
            <w:tcW w:w="2880" w:type="dxa"/>
            <w:vAlign w:val="bottom"/>
          </w:tcPr>
          <w:p>
            <w:pPr>
              <w:jc w:val="center"/>
              <w:ind w:left="1185"/>
              <w:spacing w:after="0"/>
              <w:rPr>
                <w:sz w:val="20"/>
                <w:szCs w:val="20"/>
                <w:color w:val="auto"/>
              </w:rPr>
            </w:pPr>
            <w:r>
              <w:rPr>
                <w:rFonts w:ascii="Courier New" w:cs="Courier New" w:eastAsia="Courier New" w:hAnsi="Courier New"/>
                <w:sz w:val="15"/>
                <w:szCs w:val="15"/>
                <w:color w:val="auto"/>
                <w:w w:val="99"/>
              </w:rPr>
              <w:t>(713) 652-3300</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520" w:type="dxa"/>
            <w:vAlign w:val="bottom"/>
          </w:tcPr>
          <w:p>
            <w:pPr>
              <w:jc w:val="center"/>
              <w:ind w:right="1025"/>
              <w:spacing w:after="0"/>
              <w:rPr>
                <w:sz w:val="20"/>
                <w:szCs w:val="20"/>
                <w:color w:val="auto"/>
              </w:rPr>
            </w:pPr>
            <w:r>
              <w:rPr>
                <w:rFonts w:ascii="Courier New" w:cs="Courier New" w:eastAsia="Courier New" w:hAnsi="Courier New"/>
                <w:sz w:val="15"/>
                <w:szCs w:val="15"/>
                <w:color w:val="auto"/>
                <w:w w:val="99"/>
              </w:rPr>
              <w:t>(412) 394-7711</w:t>
            </w:r>
          </w:p>
        </w:tc>
      </w:tr>
    </w:tbl>
    <w:p>
      <w:pPr>
        <w:spacing w:after="0" w:line="350"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 and the conditions to consummation of the Merger have been satisfied or waived.</w:t>
      </w:r>
    </w:p>
    <w:p>
      <w:pPr>
        <w:spacing w:after="0" w:line="175" w:lineRule="exact"/>
        <w:rPr>
          <w:sz w:val="24"/>
          <w:szCs w:val="24"/>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4"/>
          <w:szCs w:val="24"/>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33" w:right="1440" w:bottom="0" w:gutter="0" w:footer="0" w:header="0"/>
        </w:sectPr>
      </w:pPr>
    </w:p>
    <w:bookmarkStart w:id="1" w:name="page2"/>
    <w:bookmarkEnd w:id="1"/>
    <w:p>
      <w:pPr>
        <w:ind w:left="18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CROSS-REFERENCE SHEET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PURSUANT TO ITEM 501(B) OF REGULATION S-K</w:t>
      </w:r>
    </w:p>
    <w:p>
      <w:pPr>
        <w:sectPr>
          <w:pgSz w:w="11900" w:h="16838" w:orient="portrait"/>
          <w:cols w:equalWidth="0" w:num="1">
            <w:col w:w="10139"/>
          </w:cols>
          <w:pgMar w:left="32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360"/>
        <w:spacing w:after="0" w:line="243" w:lineRule="auto"/>
        <w:rPr>
          <w:sz w:val="20"/>
          <w:szCs w:val="20"/>
          <w:color w:val="auto"/>
        </w:rPr>
      </w:pPr>
      <w:r>
        <w:rPr>
          <w:rFonts w:ascii="Courier New" w:cs="Courier New" w:eastAsia="Courier New" w:hAnsi="Courier New"/>
          <w:sz w:val="15"/>
          <w:szCs w:val="15"/>
          <w:color w:val="auto"/>
        </w:rPr>
        <w:t>FORM S-4 ITEM NUMBER AND HEADING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LOCATION IN PROSPECTUS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5320" w:space="180"/>
            <w:col w:w="4639"/>
          </w:cols>
          <w:pgMar w:left="320" w:top="29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1. Forepart of Registration Statement and Outside Front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Cover Page of Prospectus.............................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659"/>
        <w:spacing w:after="0" w:line="244" w:lineRule="auto"/>
        <w:rPr>
          <w:sz w:val="20"/>
          <w:szCs w:val="20"/>
          <w:color w:val="auto"/>
        </w:rPr>
      </w:pPr>
      <w:r>
        <w:rPr>
          <w:rFonts w:ascii="Courier New" w:cs="Courier New" w:eastAsia="Courier New" w:hAnsi="Courier New"/>
          <w:sz w:val="15"/>
          <w:szCs w:val="15"/>
          <w:color w:val="auto"/>
        </w:rPr>
        <w:t>Facing Page of Registration Statement; Cross-Reference Sheet; Outside Front Cover Page of Prospectus</w:t>
      </w:r>
    </w:p>
    <w:p>
      <w:pPr>
        <w:spacing w:after="0" w:line="2" w:lineRule="exact"/>
        <w:rPr>
          <w:sz w:val="20"/>
          <w:szCs w:val="20"/>
          <w:color w:val="auto"/>
        </w:rPr>
      </w:pPr>
    </w:p>
    <w:p>
      <w:pPr>
        <w:sectPr>
          <w:pgSz w:w="11900" w:h="16838" w:orient="portrait"/>
          <w:cols w:equalWidth="0" w:num="2">
            <w:col w:w="5320" w:space="180"/>
            <w:col w:w="4639"/>
          </w:cols>
          <w:pgMar w:left="320" w:top="29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2. Inside Front and Outside Back Cover Pages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Prospectus...........................................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839"/>
        <w:spacing w:after="0" w:line="244" w:lineRule="auto"/>
        <w:rPr>
          <w:sz w:val="20"/>
          <w:szCs w:val="20"/>
          <w:color w:val="auto"/>
        </w:rPr>
      </w:pPr>
      <w:r>
        <w:rPr>
          <w:rFonts w:ascii="Courier New" w:cs="Courier New" w:eastAsia="Courier New" w:hAnsi="Courier New"/>
          <w:sz w:val="15"/>
          <w:szCs w:val="15"/>
          <w:color w:val="auto"/>
        </w:rPr>
        <w:t>Available Information; Incorporation of Certain Information by Reference; Table of Contents</w:t>
      </w:r>
    </w:p>
    <w:p>
      <w:pPr>
        <w:spacing w:after="0" w:line="2" w:lineRule="exact"/>
        <w:rPr>
          <w:sz w:val="20"/>
          <w:szCs w:val="20"/>
          <w:color w:val="auto"/>
        </w:rPr>
      </w:pPr>
    </w:p>
    <w:p>
      <w:pPr>
        <w:sectPr>
          <w:pgSz w:w="11900" w:h="16838" w:orient="portrait"/>
          <w:cols w:equalWidth="0" w:num="2">
            <w:col w:w="5320" w:space="180"/>
            <w:col w:w="4639"/>
          </w:cols>
          <w:pgMar w:left="320" w:top="29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3. Risk Factors, Ratio of Earnings to Fixed Charges and</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4. Terms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 Pro Forma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6. Material Contacts with the Company Being Acquired......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Summary; Risk Factors;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and Related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Description of USA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Description of Chambers;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Summary;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Related Transactions;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of Merger and Terms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Comparative Rights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of USA Waste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Summary; USA Waste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Combined Historical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Pro Forma Condensed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Information Relating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Pro Forma Statement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for the Year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and Related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w:t>
      </w:r>
    </w:p>
    <w:p>
      <w:pPr>
        <w:spacing w:after="0" w:line="4" w:lineRule="exact"/>
        <w:rPr>
          <w:sz w:val="20"/>
          <w:szCs w:val="20"/>
          <w:color w:val="auto"/>
        </w:rPr>
      </w:pPr>
    </w:p>
    <w:p>
      <w:pPr>
        <w:sectPr>
          <w:pgSz w:w="11900" w:h="16838" w:orient="portrait"/>
          <w:cols w:equalWidth="0" w:num="2">
            <w:col w:w="5320" w:space="180"/>
            <w:col w:w="4639"/>
          </w:cols>
          <w:pgMar w:left="320" w:top="29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7. Additional Information Required for Reoffering by</w:t>
      </w:r>
    </w:p>
    <w:p>
      <w:pPr>
        <w:sectPr>
          <w:pgSz w:w="11900" w:h="16838" w:orient="portrait"/>
          <w:cols w:equalWidth="0" w:num="1">
            <w:col w:w="10139"/>
          </w:cols>
          <w:pgMar w:left="320" w:top="291" w:right="1440" w:bottom="1440" w:gutter="0" w:footer="0" w:header="0"/>
          <w:type w:val="continuous"/>
        </w:sectPr>
      </w:pPr>
    </w:p>
    <w:p>
      <w:pPr>
        <w:spacing w:after="0" w:line="1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Persons and Parties Deemed to be Underwriters........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8. Interests of Named Experts and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2">
            <w:col w:w="5320" w:space="180"/>
            <w:col w:w="4639"/>
          </w:cols>
          <w:pgMar w:left="320" w:top="29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9. Disclosure of Commission Position on Indemnification</w:t>
      </w:r>
    </w:p>
    <w:p>
      <w:pPr>
        <w:sectPr>
          <w:pgSz w:w="11900" w:h="16838" w:orient="portrait"/>
          <w:cols w:equalWidth="0" w:num="1">
            <w:col w:w="10139"/>
          </w:cols>
          <w:pgMar w:left="320" w:top="291"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for Securities Act Liabilities.......................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Information with Respect to S-3 Registrants............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Front Cover Page;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by Reference;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and Related Transactions;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of Merger and Terms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Comparative Rights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of USA Waste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Market Price Data;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USA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USA Waste's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 and Results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Description of USA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Capital Stock;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of USA Waste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USA Waste and Chambers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Historical Unaudited Pro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Forma Condensed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Supplemental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Relating to Pro Forma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Operations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ectPr>
          <w:pgSz w:w="11900" w:h="16838" w:orient="portrait"/>
          <w:cols w:equalWidth="0" w:num="2">
            <w:col w:w="5320" w:space="180"/>
            <w:col w:w="4639"/>
          </w:cols>
          <w:pgMar w:left="320" w:top="291" w:right="1440" w:bottom="1440" w:gutter="0" w:footer="0" w:header="0"/>
          <w:type w:val="continuous"/>
        </w:sectPr>
      </w:pPr>
    </w:p>
    <w:bookmarkStart w:id="2" w:name="page3"/>
    <w:bookmarkEnd w:id="2"/>
    <w:tbl>
      <w:tblPr>
        <w:tblLayout w:type="fixed"/>
        <w:tblInd w:w="88" w:type="dxa"/>
        <w:tblCellMar>
          <w:top w:w="0" w:type="dxa"/>
          <w:left w:w="0" w:type="dxa"/>
          <w:bottom w:w="0" w:type="dxa"/>
          <w:right w:w="0" w:type="dxa"/>
        </w:tblCellMar>
      </w:tblPr>
      <w:tr>
        <w:trPr>
          <w:trHeight w:val="170"/>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10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694"/>
        </w:trPr>
        <w:tc>
          <w:tcPr>
            <w:tcW w:w="320" w:type="dxa"/>
            <w:vAlign w:val="bottom"/>
          </w:tcPr>
          <w:p>
            <w:pPr>
              <w:spacing w:after="0"/>
              <w:rPr>
                <w:sz w:val="24"/>
                <w:szCs w:val="24"/>
                <w:color w:val="auto"/>
              </w:rPr>
            </w:pPr>
          </w:p>
        </w:tc>
        <w:tc>
          <w:tcPr>
            <w:tcW w:w="5100" w:type="dxa"/>
            <w:vAlign w:val="bottom"/>
          </w:tcPr>
          <w:p>
            <w:pPr>
              <w:ind w:left="1040"/>
              <w:spacing w:after="0"/>
              <w:rPr>
                <w:sz w:val="20"/>
                <w:szCs w:val="20"/>
                <w:color w:val="auto"/>
              </w:rPr>
            </w:pPr>
            <w:r>
              <w:rPr>
                <w:rFonts w:ascii="Courier New" w:cs="Courier New" w:eastAsia="Courier New" w:hAnsi="Courier New"/>
                <w:sz w:val="15"/>
                <w:szCs w:val="15"/>
                <w:color w:val="auto"/>
              </w:rPr>
              <w:t>FORM S-4 ITEM NUMBER AND HEADING</w:t>
            </w:r>
          </w:p>
        </w:tc>
        <w:tc>
          <w:tcPr>
            <w:tcW w:w="3060" w:type="dxa"/>
            <w:vAlign w:val="bottom"/>
          </w:tcPr>
          <w:p>
            <w:pPr>
              <w:ind w:left="540"/>
              <w:spacing w:after="0"/>
              <w:rPr>
                <w:sz w:val="20"/>
                <w:szCs w:val="20"/>
                <w:color w:val="auto"/>
              </w:rPr>
            </w:pPr>
            <w:r>
              <w:rPr>
                <w:rFonts w:ascii="Courier New" w:cs="Courier New" w:eastAsia="Courier New" w:hAnsi="Courier New"/>
                <w:sz w:val="15"/>
                <w:szCs w:val="15"/>
                <w:color w:val="auto"/>
              </w:rPr>
              <w:t>LOCATION IN PROSPECTUS</w:t>
            </w:r>
          </w:p>
        </w:tc>
      </w:tr>
      <w:tr>
        <w:trPr>
          <w:trHeight w:val="173"/>
        </w:trPr>
        <w:tc>
          <w:tcPr>
            <w:tcW w:w="320" w:type="dxa"/>
            <w:vAlign w:val="bottom"/>
          </w:tcPr>
          <w:p>
            <w:pPr>
              <w:spacing w:after="0"/>
              <w:rPr>
                <w:sz w:val="15"/>
                <w:szCs w:val="15"/>
                <w:color w:val="auto"/>
              </w:rPr>
            </w:pP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11.</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Incorporation of Certain Information by Reference......</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Incorporation of Certain</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Information by Reference</w:t>
            </w:r>
          </w:p>
        </w:tc>
      </w:tr>
      <w:tr>
        <w:trPr>
          <w:trHeight w:val="173"/>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12.</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 Respect to S-2 or S-3 Registrants.....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3"/>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13.</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Incorporation of Certain Information by Reference......</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3"/>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14.</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 Respect to Registrants Other Than S-2</w:t>
            </w:r>
          </w:p>
        </w:tc>
        <w:tc>
          <w:tcPr>
            <w:tcW w:w="3060" w:type="dxa"/>
            <w:vAlign w:val="bottom"/>
          </w:tcPr>
          <w:p>
            <w:pPr>
              <w:spacing w:after="0"/>
              <w:rPr>
                <w:sz w:val="15"/>
                <w:szCs w:val="15"/>
                <w:color w:val="auto"/>
              </w:rPr>
            </w:pPr>
          </w:p>
        </w:tc>
      </w:tr>
      <w:tr>
        <w:trPr>
          <w:trHeight w:val="173"/>
        </w:trPr>
        <w:tc>
          <w:tcPr>
            <w:tcW w:w="320" w:type="dxa"/>
            <w:vAlign w:val="bottom"/>
          </w:tcPr>
          <w:p>
            <w:pPr>
              <w:spacing w:after="0"/>
              <w:rPr>
                <w:sz w:val="15"/>
                <w:szCs w:val="15"/>
                <w:color w:val="auto"/>
              </w:rPr>
            </w:pPr>
          </w:p>
        </w:tc>
        <w:tc>
          <w:tcPr>
            <w:tcW w:w="5100" w:type="dxa"/>
            <w:vAlign w:val="bottom"/>
          </w:tcPr>
          <w:p>
            <w:pPr>
              <w:ind w:left="220"/>
              <w:spacing w:after="0"/>
              <w:rPr>
                <w:sz w:val="20"/>
                <w:szCs w:val="20"/>
                <w:color w:val="auto"/>
              </w:rPr>
            </w:pPr>
            <w:r>
              <w:rPr>
                <w:rFonts w:ascii="Courier New" w:cs="Courier New" w:eastAsia="Courier New" w:hAnsi="Courier New"/>
                <w:sz w:val="15"/>
                <w:szCs w:val="15"/>
                <w:color w:val="auto"/>
              </w:rPr>
              <w:t>or S-3 Registrants...................................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3"/>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15.</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 Respect to S-3 Companies..............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Outside Front Cover Page;</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Incorporation of Certain</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Information by Reference;</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Prospectus Summary; The Merger</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and Related Transactions; The</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Plan of Merger and Terms of the</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Merger; Comparative Rights of</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Stockholders of USA Waste and</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Chambers; Market Price Data;</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Description of Chambers;</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Management's Discussion and</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Analysis of Chambers Financial</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Condition and Results of</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Operations; Description of USA</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Waste Capital Stock; Principal</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Stockholders of USA Waste and</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Chambers; USA Waste and Chambers</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Combined Historical Unaudited Pro</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Forma Condensed Financial</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Statements; Supplemental</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Information Relating to Pro Forma</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Statement of Operations for the</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1994;</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r>
      <w:tr>
        <w:trPr>
          <w:trHeight w:val="173"/>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16.</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 Respect to S-2 or S-3 Companies.......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3"/>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17.</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 Respect to Companies Other Than S-2 or</w:t>
            </w:r>
          </w:p>
        </w:tc>
        <w:tc>
          <w:tcPr>
            <w:tcW w:w="3060" w:type="dxa"/>
            <w:vAlign w:val="bottom"/>
          </w:tcPr>
          <w:p>
            <w:pPr>
              <w:spacing w:after="0"/>
              <w:rPr>
                <w:sz w:val="15"/>
                <w:szCs w:val="15"/>
                <w:color w:val="auto"/>
              </w:rPr>
            </w:pPr>
          </w:p>
        </w:tc>
      </w:tr>
      <w:tr>
        <w:trPr>
          <w:trHeight w:val="173"/>
        </w:trPr>
        <w:tc>
          <w:tcPr>
            <w:tcW w:w="320" w:type="dxa"/>
            <w:vAlign w:val="bottom"/>
          </w:tcPr>
          <w:p>
            <w:pPr>
              <w:spacing w:after="0"/>
              <w:rPr>
                <w:sz w:val="15"/>
                <w:szCs w:val="15"/>
                <w:color w:val="auto"/>
              </w:rPr>
            </w:pPr>
          </w:p>
        </w:tc>
        <w:tc>
          <w:tcPr>
            <w:tcW w:w="5100" w:type="dxa"/>
            <w:vAlign w:val="bottom"/>
          </w:tcPr>
          <w:p>
            <w:pPr>
              <w:ind w:left="220"/>
              <w:spacing w:after="0"/>
              <w:rPr>
                <w:sz w:val="20"/>
                <w:szCs w:val="20"/>
                <w:color w:val="auto"/>
              </w:rPr>
            </w:pPr>
            <w:r>
              <w:rPr>
                <w:rFonts w:ascii="Courier New" w:cs="Courier New" w:eastAsia="Courier New" w:hAnsi="Courier New"/>
                <w:sz w:val="15"/>
                <w:szCs w:val="15"/>
                <w:color w:val="auto"/>
              </w:rPr>
              <w:t>S-3 Companies........................................</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173"/>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18.</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Information if Proxies, Consents or Authorizations are</w:t>
            </w:r>
          </w:p>
        </w:tc>
        <w:tc>
          <w:tcPr>
            <w:tcW w:w="3060" w:type="dxa"/>
            <w:vAlign w:val="bottom"/>
          </w:tcPr>
          <w:p>
            <w:pPr>
              <w:spacing w:after="0"/>
              <w:rPr>
                <w:sz w:val="15"/>
                <w:szCs w:val="15"/>
                <w:color w:val="auto"/>
              </w:rPr>
            </w:pPr>
          </w:p>
        </w:tc>
      </w:tr>
      <w:tr>
        <w:trPr>
          <w:trHeight w:val="173"/>
        </w:trPr>
        <w:tc>
          <w:tcPr>
            <w:tcW w:w="320" w:type="dxa"/>
            <w:vAlign w:val="bottom"/>
          </w:tcPr>
          <w:p>
            <w:pPr>
              <w:spacing w:after="0"/>
              <w:rPr>
                <w:sz w:val="15"/>
                <w:szCs w:val="15"/>
                <w:color w:val="auto"/>
              </w:rPr>
            </w:pPr>
          </w:p>
        </w:tc>
        <w:tc>
          <w:tcPr>
            <w:tcW w:w="5100" w:type="dxa"/>
            <w:vAlign w:val="bottom"/>
          </w:tcPr>
          <w:p>
            <w:pPr>
              <w:ind w:left="220"/>
              <w:spacing w:after="0"/>
              <w:rPr>
                <w:sz w:val="20"/>
                <w:szCs w:val="20"/>
                <w:color w:val="auto"/>
              </w:rPr>
            </w:pPr>
            <w:r>
              <w:rPr>
                <w:rFonts w:ascii="Courier New" w:cs="Courier New" w:eastAsia="Courier New" w:hAnsi="Courier New"/>
                <w:sz w:val="15"/>
                <w:szCs w:val="15"/>
                <w:color w:val="auto"/>
              </w:rPr>
              <w:t>to be Solicited......................................</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Prospectus Summary; The Meetings;</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The Merger and Related</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Transactions; The Plan of Merger</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and Terms of the Merger; Election</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9"/>
              </w:rPr>
              <w:t>of USA Waste Directors; Principal</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Stockholders of USA Waste and</w:t>
            </w:r>
          </w:p>
        </w:tc>
      </w:tr>
      <w:tr>
        <w:trPr>
          <w:trHeight w:val="173"/>
        </w:trPr>
        <w:tc>
          <w:tcPr>
            <w:tcW w:w="3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Chambers</w:t>
            </w:r>
          </w:p>
        </w:tc>
      </w:tr>
      <w:tr>
        <w:trPr>
          <w:trHeight w:val="173"/>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Information if Proxies, Consents or Authorizations are</w:t>
            </w:r>
          </w:p>
        </w:tc>
        <w:tc>
          <w:tcPr>
            <w:tcW w:w="3060" w:type="dxa"/>
            <w:vAlign w:val="bottom"/>
          </w:tcPr>
          <w:p>
            <w:pPr>
              <w:spacing w:after="0"/>
              <w:rPr>
                <w:sz w:val="15"/>
                <w:szCs w:val="15"/>
                <w:color w:val="auto"/>
              </w:rPr>
            </w:pPr>
          </w:p>
        </w:tc>
      </w:tr>
      <w:tr>
        <w:trPr>
          <w:trHeight w:val="173"/>
        </w:trPr>
        <w:tc>
          <w:tcPr>
            <w:tcW w:w="320" w:type="dxa"/>
            <w:vAlign w:val="bottom"/>
          </w:tcPr>
          <w:p>
            <w:pPr>
              <w:spacing w:after="0"/>
              <w:rPr>
                <w:sz w:val="15"/>
                <w:szCs w:val="15"/>
                <w:color w:val="auto"/>
              </w:rPr>
            </w:pPr>
          </w:p>
        </w:tc>
        <w:tc>
          <w:tcPr>
            <w:tcW w:w="5100" w:type="dxa"/>
            <w:vAlign w:val="bottom"/>
          </w:tcPr>
          <w:p>
            <w:pPr>
              <w:ind w:left="220"/>
              <w:spacing w:after="0"/>
              <w:rPr>
                <w:sz w:val="20"/>
                <w:szCs w:val="20"/>
                <w:color w:val="auto"/>
              </w:rPr>
            </w:pPr>
            <w:r>
              <w:rPr>
                <w:rFonts w:ascii="Courier New" w:cs="Courier New" w:eastAsia="Courier New" w:hAnsi="Courier New"/>
                <w:sz w:val="15"/>
                <w:szCs w:val="15"/>
                <w:color w:val="auto"/>
              </w:rPr>
              <w:t>not to be Solicited or in an Exchange Offer..........</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ectPr>
          <w:pgSz w:w="11900" w:h="16838" w:orient="portrait"/>
          <w:cols w:equalWidth="0" w:num="1">
            <w:col w:w="10227"/>
          </w:cols>
          <w:pgMar w:left="232" w:top="291" w:right="1440" w:bottom="1440" w:gutter="0" w:footer="0" w:header="0"/>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5000 QUORUM DRIVE, SUITE 300</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DALLAS, TEXAS 75240</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May 19, 1995</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Shareholder of USA Waste Services, Inc.:</w:t>
      </w:r>
    </w:p>
    <w:p>
      <w:pPr>
        <w:spacing w:after="0" w:line="351"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You are invited to attend the 1995 Annual Meeting of Shareholders of USA Waste Services, Inc. ("USA Waste") to be held June 27, 1995 at 2:00 p.m., Dallas, Texas time. The Annual Meeting will be held at The Grand Kempinski-Dallas Hotel, 15201 Dallas Parkway, in Dallas, Texas.</w:t>
      </w:r>
    </w:p>
    <w:p>
      <w:pPr>
        <w:spacing w:after="0" w:line="349"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At the Annual Meeting you will be asked to consider and vote upon seven proposals, including a proposal to approve and adopt the Amended and Restated Agreement and Plan of Merger dated as of November 28, 1994 (the "Merger Agreement"), by and among USA Waste, Chambers Acquisition Corporation ("Acquisition"), a wholly owned subsidiary of USA Waste, and Chambers Development Company, Inc. ("Chambers"). The other proposals include the election of directors for the ensuing year, a proposal to effect certain corporate changes, including changing the domicile of USA Waste from Oklahoma to Delaware, classifying the Board of Directors into three classes with staggered terms, increasing the number of authorized shares, increasing the number of shares that may be issued under the USA Waste 1993 Stock Incentive Plan and ratifying the appointment of USA Waste's auditors. Approval of the proposal to adopt the Merger Agreement is conditioned upon approval of the increase in authorized shares of USA Waste common stock.</w:t>
      </w:r>
    </w:p>
    <w:p>
      <w:pPr>
        <w:spacing w:after="0" w:line="182" w:lineRule="exact"/>
        <w:rPr>
          <w:sz w:val="20"/>
          <w:szCs w:val="20"/>
          <w:color w:val="auto"/>
        </w:rPr>
      </w:pPr>
    </w:p>
    <w:p>
      <w:pPr>
        <w:ind w:left="8" w:right="3199" w:firstLine="451"/>
        <w:spacing w:after="0" w:line="262" w:lineRule="auto"/>
        <w:rPr>
          <w:sz w:val="20"/>
          <w:szCs w:val="20"/>
          <w:color w:val="auto"/>
        </w:rPr>
      </w:pPr>
      <w:r>
        <w:rPr>
          <w:rFonts w:ascii="Courier New" w:cs="Courier New" w:eastAsia="Courier New" w:hAnsi="Courier New"/>
          <w:sz w:val="14"/>
          <w:szCs w:val="14"/>
          <w:color w:val="auto"/>
        </w:rPr>
        <w:t>The Merger Agreement provides, among other things, for the merger of Acquisition with and into Chambers (the "Merger"), pursuant to which Chambers would become a wholly owned subsidiary of USA Waste and each outstanding share of common stock and Class A common stock of Chambers would be converted into</w:t>
      </w:r>
    </w:p>
    <w:p>
      <w:pPr>
        <w:spacing w:after="0" w:line="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.41667 of a share of common stock of USA Waste (the "Exchange Ratio"). Upon consummation of the Merger, USA Waste would issue approximately 27.8 million shares of its common stock to the stockholders of Chambers. These shares would represent approximately 54.8% of the total shares of USA Waste's common stock outstanding immediately after the Merger. The Merger is subject to a number of conditions, including obtaining the approval of the shareholders of USA Waste and the stockholders of Chambers, final settlement of certain pending stockholder litigation and certain other proceedings involving Chambers, and obtaining any necessary regulatory waivers or approvals. A summary of the basic terms and conditions of the Merger, certain financial and other information relating to USA Waste and Chambers and a copy of the Merger Agreement are set forth in the accompanying Joint Proxy Statement and Prospectus. Please review and consider the enclosed materials carefully.</w:t>
      </w:r>
    </w:p>
    <w:p>
      <w:pPr>
        <w:spacing w:after="0" w:line="182"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Your Board of Directors has unanimously approved the Merger Agreement. In addition, the Board of Directors has received an opinion from Donaldson, Lufkin</w:t>
      </w:r>
    </w:p>
    <w:p>
      <w:pPr>
        <w:spacing w:after="0" w:line="3" w:lineRule="exact"/>
        <w:rPr>
          <w:sz w:val="20"/>
          <w:szCs w:val="20"/>
          <w:color w:val="auto"/>
        </w:rPr>
      </w:pPr>
    </w:p>
    <w:p>
      <w:pPr>
        <w:ind w:left="8" w:right="3099" w:hanging="8"/>
        <w:spacing w:after="0" w:line="244" w:lineRule="auto"/>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Jenrette Securities Corporation (a copy of which is included in the accompanying Joint Proxy Statement and Prospectus) that the Exchange Ratio is fair to the shareholders of USA Waste from a financial point of view. THE BOARD OF DIRECTORS OF USA WASTE BELIEVES THAT THE PROPOSED MERGER AND THE OTHER PROPOSALS DESCRIBED ABOVE ARE IN THE BEST INTERESTS OF USA WASTE AND ITS SHAREHOLDERS AND UNANIMOUSLY RECOMMENDS THAT YOU VOTE FOR APPROVAL AND ADOPTION OF THE MERGER AGREEMENT AND THE OTHER PROPOSALS SET FORTH IN THE JOINT PROXY STATEMENT AND PROSPECTUS.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Regardless of the number of shares you hold or whether you plan to attend the Annual Meeting, we urge you to complete, sign, date, and return the enclosed proxy card immediately. If you attend the Annual Meeting, you may vote in person if you wish, even if you have previously returned your proxy card.</w:t>
      </w:r>
    </w:p>
    <w:p>
      <w:pPr>
        <w:spacing w:after="0" w:line="175"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/s/ DONALD F. MOOREHEAD, JR.</w:t>
      </w:r>
    </w:p>
    <w:p>
      <w:pPr>
        <w:spacing w:after="0" w:line="3"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Donald F. Moorehead, Jr.</w:t>
      </w:r>
    </w:p>
    <w:p>
      <w:pPr>
        <w:spacing w:after="0" w:line="3" w:lineRule="exact"/>
        <w:rPr>
          <w:sz w:val="20"/>
          <w:szCs w:val="20"/>
          <w:color w:val="auto"/>
        </w:rPr>
      </w:pPr>
    </w:p>
    <w:p>
      <w:pPr>
        <w:ind w:left="3788"/>
        <w:spacing w:after="0"/>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27"/>
          </w:cols>
          <w:pgMar w:left="232"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10700 FRANKSTOWN ROAD</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PITTSBURGH, PENNSYLVANIA 15235</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May 19, 1995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 are cordially invited to attend the Special Meeting of Stockholders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Development Company, Inc. ("Chambers") to be held June 27, 1995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a.m. Dallas, Texas time at The Grand Kempinski-Dallas Hotel, 15201 Dallas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Parkway in Dallas, Texas. The sole purpose of the Special Meeting will be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 and vote upon a proposal to approve and adopt the Amended and Restated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and Plan of Merger, dated as of November 28, 1994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by and among USA Waste Services, Inc. ("USA Waste"), Chambers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Corporation ("Acquisition"), a wholly owned subsidiary of USA Waste,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Chambers.</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The Merger Agreement provides, among other things, for the merger of Acquisition with and into Chambers (the "Merger") pursuant to which Chambers will become a wholly owned subsidiary of USA Waste and each outstanding share of Chambers Common Stock and Chambers Class A Common Stock will be converted into</w:t>
      </w:r>
    </w:p>
    <w:p>
      <w:pPr>
        <w:spacing w:after="0" w:line="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.41667 of a share of USA Waste's common stock. Based upon the 15,439,668 shares of Chambers Common Stock and the 51,349,459 shares of Chambers Class A Common Stock outstanding as of May 5, 1995, Chambers stockholders will collectively be issued approximately 27.8 million shares of common stock of USA Waste, representing approximately 54.8% of the total issued and outstanding shares of common stock of USA Waste after the Merger.</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Merger Agreement contains a number of conditions and other terms, all of which are summarized, along with certain financial and other information, in the accompanying Joint Proxy Statement and Prospectus. PLEASE READ AND CONSIDER THE JOINT PROXY STATEMENT AND PROSPECTUS CAREFULLY.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Your Board of Directors has unanimously approved the Merger Agreement. In addition, the Board of Directors has received the written opinion from its investment advisor, J.P. Morgan Securities Inc. (a copy of which is included with the accompanying Joint Proxy Statement and Prospectus), that the consideration to be received by Chambers' stockholders in the Merger is fair, from a financial point of view, to Chambers' stockholders. YOUR BOARD OF DIRECTORS BELIEVES THAT THE PROPOSED MERGER IS IN THE BEST INTERESTS OF CHAMBERS AND ITS STOCKHOLDERS AND UNANIMOUSLY RECOMMENDS THAT YOU VOTE FOR THE APPROVAL AND ADOPTION OF THE MERGER AGREEMENT.</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Regardless of the number of shares you hold or whether you plan to attend the Special Meeting, you are urged to complete, sign, date and return the enclosed proxy card immediately. If you attend the Special Meeting, you may vote in person, if you wish, and revoke any previously returned proxy card.</w:t>
      </w:r>
    </w:p>
    <w:p>
      <w:pPr>
        <w:spacing w:after="0" w:line="176"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On behalf of your Board of Directors, I thank you for your support and look forward to the future together with USA Waste.</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JOHN G. RANGOS, SR.</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John G. Rangos, Sr.</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Chairman and Chief Executive Officer</w:t>
      </w:r>
    </w:p>
    <w:p>
      <w:pPr>
        <w:sectPr>
          <w:pgSz w:w="11900" w:h="16838" w:orient="portrait"/>
          <w:cols w:equalWidth="0" w:num="1">
            <w:col w:w="10219"/>
          </w:cols>
          <w:pgMar w:left="240" w:top="291"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5000 QUORUM DRIVE, SUITE 300</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DALLAS, TEXAS 75240</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TO BE HELD ON JUNE 27, 1995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Notice is hereby given that the 1995 Annual Meeting of Shareholders of USA Waste Services, Inc. ("USA Waste") will be held at The Grand Kempinski-Dallas Hotel, 15201 Dallas Parkway, Dallas, Texas 75248, on June 27, 1995, at 2:00 p.m., Dallas, Texas time, to consider and act upon the following proposals:</w:t>
      </w:r>
    </w:p>
    <w:p>
      <w:pPr>
        <w:spacing w:after="0" w:line="349" w:lineRule="exact"/>
        <w:rPr>
          <w:sz w:val="20"/>
          <w:szCs w:val="20"/>
          <w:color w:val="auto"/>
        </w:rPr>
      </w:pPr>
    </w:p>
    <w:p>
      <w:pPr>
        <w:jc w:val="both"/>
        <w:ind w:left="440" w:right="3019" w:firstLine="454"/>
        <w:spacing w:after="0" w:line="244" w:lineRule="auto"/>
        <w:tabs>
          <w:tab w:leader="none" w:pos="11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Amended and Restated Agreement and Plan of Merger dated as of November 28, 1994 (the "Merger Agreement"), by and among USA Waste, Chambers Acquisition Corporation ("Acquisition"), a wholly owned subsidiary of USA Waste, and Chambers Development Company, Inc.</w:t>
      </w:r>
    </w:p>
    <w:p>
      <w:pPr>
        <w:spacing w:after="0" w:line="2" w:lineRule="exact"/>
        <w:rPr>
          <w:rFonts w:ascii="Courier New" w:cs="Courier New" w:eastAsia="Courier New" w:hAnsi="Courier New"/>
          <w:sz w:val="15"/>
          <w:szCs w:val="15"/>
          <w:color w:val="auto"/>
        </w:rPr>
      </w:pPr>
    </w:p>
    <w:p>
      <w:pPr>
        <w:ind w:left="44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("Chambers") providing for, among other things, the merger of Acquisition with and into Chambers (the "Merger") and the conversion of each outstanding share of Chambers common stock, par value $.50 per share, and each outstanding share of Chambers Class A common stock, par value $.50 per share, into .41667 of a share of USA Waste common stock, par value $.01 per share ("USA Waste Common Stock").</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1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nine members to the Board of Directors of USA Waste for the ensuing year; provided, however, that if the Merger is consummated, four members of such Board will resign and four new members will fill the resulting vacancies as more fully described in the accompanying Joint Proxy Statement and Prospectus.</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1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change the domicile of USA Waste from Oklahoma to Delaware by merging USA Waste into USA Waste Services, Inc., a Delaware corporation and a wholly owned subsidiary of USA Waste ("USA Delaware").</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1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Certificate of Incorporation of USA Waste to provide for a classified Board of Directors with three classes having staggered terms of three years each; the filling of vacancies on the Board of Directors; the removal of directors; and the establishment of a 66 2/3% voting requirement for shareholders to amend, alter or repeal the foregoing provisions.</w:t>
      </w:r>
    </w:p>
    <w:p>
      <w:pPr>
        <w:spacing w:after="0" w:line="177" w:lineRule="exact"/>
        <w:rPr>
          <w:rFonts w:ascii="Courier New" w:cs="Courier New" w:eastAsia="Courier New" w:hAnsi="Courier New"/>
          <w:sz w:val="15"/>
          <w:szCs w:val="15"/>
          <w:color w:val="auto"/>
        </w:rPr>
      </w:pPr>
    </w:p>
    <w:p>
      <w:pPr>
        <w:ind w:left="440" w:right="3099" w:firstLine="454"/>
        <w:spacing w:after="0" w:line="244" w:lineRule="auto"/>
        <w:tabs>
          <w:tab w:leader="none" w:pos="11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Certificate of Incorporation of USA Waste to increase the authorized shares of USA Waste Common Stock from 50,000,000 to 150,000,000 shares.</w:t>
      </w:r>
    </w:p>
    <w:p>
      <w:pPr>
        <w:spacing w:after="0" w:line="175" w:lineRule="exact"/>
        <w:rPr>
          <w:rFonts w:ascii="Courier New" w:cs="Courier New" w:eastAsia="Courier New" w:hAnsi="Courier New"/>
          <w:sz w:val="15"/>
          <w:szCs w:val="15"/>
          <w:color w:val="auto"/>
        </w:rPr>
      </w:pPr>
    </w:p>
    <w:p>
      <w:pPr>
        <w:ind w:left="440" w:right="3279" w:firstLine="454"/>
        <w:spacing w:after="0" w:line="244" w:lineRule="auto"/>
        <w:tabs>
          <w:tab w:leader="none" w:pos="11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USA Waste 1993 Stock Incentive Plan to increase the aggregate number of shares of USA Waste Common Stock that may be issued under such Plan from 1,000,000 to 4,000,000.</w:t>
      </w:r>
    </w:p>
    <w:p>
      <w:pPr>
        <w:spacing w:after="0" w:line="175" w:lineRule="exact"/>
        <w:rPr>
          <w:rFonts w:ascii="Courier New" w:cs="Courier New" w:eastAsia="Courier New" w:hAnsi="Courier New"/>
          <w:sz w:val="15"/>
          <w:szCs w:val="15"/>
          <w:color w:val="auto"/>
        </w:rPr>
      </w:pPr>
    </w:p>
    <w:p>
      <w:pPr>
        <w:ind w:left="440" w:right="3999" w:firstLine="454"/>
        <w:spacing w:after="0" w:line="243" w:lineRule="auto"/>
        <w:tabs>
          <w:tab w:leader="none" w:pos="11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Coopers &amp; Lybrand L.L.P. as independent auditors for the ensuing year.</w:t>
      </w:r>
    </w:p>
    <w:p>
      <w:pPr>
        <w:spacing w:after="0" w:line="176" w:lineRule="exact"/>
        <w:rPr>
          <w:rFonts w:ascii="Courier New" w:cs="Courier New" w:eastAsia="Courier New" w:hAnsi="Courier New"/>
          <w:sz w:val="15"/>
          <w:szCs w:val="15"/>
          <w:color w:val="auto"/>
        </w:rPr>
      </w:pPr>
    </w:p>
    <w:p>
      <w:pPr>
        <w:ind w:left="440" w:right="3199" w:firstLine="454"/>
        <w:spacing w:after="0" w:line="243" w:lineRule="auto"/>
        <w:tabs>
          <w:tab w:leader="none" w:pos="116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be properly brought before the meeting or any adjournments thereof.</w:t>
      </w:r>
    </w:p>
    <w:p>
      <w:pPr>
        <w:spacing w:after="0" w:line="176"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The implementation of Proposals No. 1 and No. 5 is conditioned on the approval of both such proposals.</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meeting may be recessed from time to time, and at any reconvened meeting actions with respect to the matters specified in this notice may be taken without further notice to shareholders unless required by the Bylaws of USA Waste.</w:t>
      </w:r>
    </w:p>
    <w:p>
      <w:pPr>
        <w:sectPr>
          <w:pgSz w:w="11900" w:h="16838" w:orient="portrait"/>
          <w:cols w:equalWidth="0" w:num="1">
            <w:col w:w="10219"/>
          </w:cols>
          <w:pgMar w:left="240" w:top="29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Only shareholders of record at the close of business on May 5, 1995, are entitled to notice of and to vote on all matters at the meeting and any adjournments thereof. A list of all shareholders will be available at the Annual Meeting and, during the 10-day period prior to the Annual Meeting, at the offices of USA Waste, 5000 Quorum Drive, Suite 300, Dallas, Texas 75240, during ordinary business hours.</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GREGORY T. SANGALIS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Gregory T. Sangalis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19, 1995</w:t>
      </w:r>
    </w:p>
    <w:p>
      <w:pPr>
        <w:spacing w:after="0" w:line="351" w:lineRule="exact"/>
        <w:rPr>
          <w:sz w:val="20"/>
          <w:szCs w:val="20"/>
          <w:color w:val="auto"/>
        </w:rPr>
      </w:pPr>
    </w:p>
    <w:p>
      <w:pPr>
        <w:jc w:val="center"/>
        <w:ind w:right="3019"/>
        <w:spacing w:after="0" w:line="244" w:lineRule="auto"/>
        <w:rPr>
          <w:sz w:val="20"/>
          <w:szCs w:val="20"/>
          <w:color w:val="auto"/>
        </w:rPr>
      </w:pPr>
      <w:r>
        <w:rPr>
          <w:rFonts w:ascii="Courier New" w:cs="Courier New" w:eastAsia="Courier New" w:hAnsi="Courier New"/>
          <w:sz w:val="15"/>
          <w:szCs w:val="15"/>
          <w:color w:val="auto"/>
        </w:rPr>
        <w:t>WHETHER OR NOT YOU INTEND TO BE PRESENT AT THE MEETING, PLEASE SIGN AND DATE THE ENCLOSED PROXY AND RETURN IT IN THE ENCLOSED PREPAID ENVELOPE. IF YOU ATTEND THE ANNUAL MEETING, YOU MAY VOTE EITHER IN PERSON OR BY YOUR PROXY.</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10700 FRANKSTOWN ROAD</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PITTSBURGH, PENNSYLVANIA 15235</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TO BE HELD ON JUNE 27, 1995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Development Company, Inc.:</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Notice is hereby given that a Special Meeting of Stockholders of Chambers Development Company, Inc. ("Chambers") will be held at The Grand Kempinski-Dallas Hotel, 15201 Dallas Parkway, in Dallas, Texas 75248, on June 27, 1995, at 10:00 a.m., Dallas, Texas time, to consider and act upon the following matter:</w:t>
      </w:r>
    </w:p>
    <w:p>
      <w:pPr>
        <w:spacing w:after="0" w:line="350" w:lineRule="exact"/>
        <w:rPr>
          <w:sz w:val="20"/>
          <w:szCs w:val="20"/>
          <w:color w:val="auto"/>
        </w:rPr>
      </w:pPr>
    </w:p>
    <w:p>
      <w:pPr>
        <w:ind w:left="720" w:right="3019"/>
        <w:spacing w:after="0" w:line="264" w:lineRule="auto"/>
        <w:rPr>
          <w:sz w:val="20"/>
          <w:szCs w:val="20"/>
          <w:color w:val="auto"/>
        </w:rPr>
      </w:pPr>
      <w:r>
        <w:rPr>
          <w:rFonts w:ascii="Courier New" w:cs="Courier New" w:eastAsia="Courier New" w:hAnsi="Courier New"/>
          <w:sz w:val="14"/>
          <w:szCs w:val="14"/>
          <w:color w:val="auto"/>
        </w:rPr>
        <w:t>To consider and vote upon a proposal to approve and adopt the Amended and Restated Agreement and Plan of Merger dated as of November 28, 1994 (the "Merger Agreement"), among USA Waste Services, Inc. ("USA Waste"), Chambers Acquisition Corporation ("Acquisition"), and Chambers, providing for, among other things, the merger of Acquisition with and into Chambers (the "Merger"), and the conversion of each outstanding share of Chambers Common Stock, par value $.50 per share, and Chambers Class A Common Stock, par value $.50 per share, into .41667 of a share of USA Waste's common stock, par value $.01 per share, all as more fully described in the accompanying Joint Proxy Statement and Prospectus.</w:t>
      </w:r>
    </w:p>
    <w:p>
      <w:pPr>
        <w:spacing w:after="0" w:line="16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meeting may be recessed from time to time, and at any reconvened meeting actions with respect to the matter specified in this notice may be taken without further notice to stockholders unless required by the Bylaws of Chambers.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Only stockholders of record at the close of business on May 5, 1995, are entitled to notice of and to vote on all matters at the meeting and any adjournments thereof. A list of all stockholders will be available at the Special Meeting and, during the 10-day period prior to the Special Meeting, at the offices of Chambers, 10700 Frankstown Road, Pittsburgh, Pennsylvania 15235, and also at the offices of USA Waste, 5000 Quorum Drive, Suite 300, Dallas, Texas 75240, during ordinary business hours.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JOHN G. RANGOS, JR.</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John G. Rangos, Jr.</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19, 1995</w:t>
      </w:r>
    </w:p>
    <w:p>
      <w:pPr>
        <w:spacing w:after="0" w:line="351" w:lineRule="exact"/>
        <w:rPr>
          <w:sz w:val="20"/>
          <w:szCs w:val="20"/>
          <w:color w:val="auto"/>
        </w:rPr>
      </w:pPr>
    </w:p>
    <w:p>
      <w:pPr>
        <w:jc w:val="center"/>
        <w:ind w:right="3019"/>
        <w:spacing w:after="0" w:line="244" w:lineRule="auto"/>
        <w:rPr>
          <w:sz w:val="20"/>
          <w:szCs w:val="20"/>
          <w:color w:val="auto"/>
        </w:rPr>
      </w:pPr>
      <w:r>
        <w:rPr>
          <w:rFonts w:ascii="Courier New" w:cs="Courier New" w:eastAsia="Courier New" w:hAnsi="Courier New"/>
          <w:sz w:val="15"/>
          <w:szCs w:val="15"/>
          <w:color w:val="auto"/>
        </w:rPr>
        <w:t>WHETHER OR NOT YOU INTEND TO BE PRESENT AT THE MEETING, PLEASE SIGN AND DATE THE ENCLOSED PROXY AND RETURN IT IN THE ENCLOSED PREPAID ENVELOPE. IF YOU ATTEND THE SPECIAL MEETING, YOU MAY VOTE EITHER IN PERSON OR BY YOUR PROXY.</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JOINT PROXY STATEMENT AND PROSPECTUS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STATEMENT, ANNUAL REPORT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AND PROSPECTUS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5000 QUORUM DRIVE, SUITE 300</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DALLAS, TEXAS 75240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STATEMENT AND ANNUAL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CHAMBERS DEVELOPMENT</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COMPANY, INC.</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10700 FRANKSTOWN ROAD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PITTSBURGH, PENNSYLVANIA 15235</w:t>
      </w:r>
    </w:p>
    <w:p>
      <w:pPr>
        <w:spacing w:after="0" w:line="200" w:lineRule="exact"/>
        <w:rPr>
          <w:sz w:val="20"/>
          <w:szCs w:val="20"/>
          <w:color w:val="auto"/>
        </w:rPr>
      </w:pPr>
    </w:p>
    <w:p>
      <w:pPr>
        <w:sectPr>
          <w:pgSz w:w="11900" w:h="16838" w:orient="portrait"/>
          <w:cols w:equalWidth="0" w:num="2">
            <w:col w:w="2960" w:space="180"/>
            <w:col w:w="7079"/>
          </w:cols>
          <w:pgMar w:left="240" w:top="291" w:right="1440" w:bottom="1440" w:gutter="0" w:footer="0" w:header="0"/>
          <w:type w:val="continuous"/>
        </w:sectPr>
      </w:pPr>
    </w:p>
    <w:p>
      <w:pPr>
        <w:spacing w:after="0" w:line="1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Joint Proxy Statement and Prospectus is being furnished to the shareholders of USA Waste Services, Inc., an Oklahoma corporation ("USA Waste"), in connection with the solicitation of proxies by its Board of Directors to be voted at the Annual Meeting of Shareholders of USA Waste (the "USA Waste Annual Meeting") scheduled to be held on Thursday, June 27, 1995, at 2:00 p.m., Dallas, Texas time, at The Grand Kempinski-Dallas Hotel, 15201 Dallas Parkway, Dallas, Texas 75248, and at any adjournment or postponement thereof, and to the stockholders of Chambers Development Company, Inc., a Delaware corporation ("Chambers"), in connection with the solicitation of proxies by its Board of Directors to be voted at the Special Meeting of Stockholders of Chambers (the "Chambers Special Meeting") scheduled to be held on Thursday, June 27, 1995, at 10:00 a.m., Dallas, Texas time, at The Grand Kempinski -- Dallas Hotel, 15201 Dallas Parkway, Dallas, Texas 75248, and at any adjournment or postponement thereof.</w:t>
      </w:r>
    </w:p>
    <w:p>
      <w:pPr>
        <w:spacing w:after="0" w:line="35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At the USA Waste Annual Meeting and the Chambers Special Meeting, the holders of common stock, par value $.01 per share ("USA Waste Common Stock"), of USA Waste and the holders of Common Stock, par value $.50 per share ("Chambers Common Stock"), and Class A Common Stock, par value $.50 per share ("Chambers Class A Common Stock"), respectively, of Chambers will be asked to consider and vote upon a proposal to approve and adopt the Amended and Restated Agreement and Plan of Merger dated as of November 28, 1994 (the "Merger Agreement"), among USA Waste, Chambers Acquisition Corporation, a wholly owned subsidiary of USA Waste ("Acquisition"), and Chambers providing for the merger of Acquisition with and into Chambers (the "Merger"). Such approvals are a condition to consummating the Merger. Upon consummation of the Merger, Chambers will become a wholly owned subsidiary of USA Waste and the holders of the issued and outstanding shares of Chambers Common Stock and Chambers Class A Common Stock will receive, at the effective time of the Merger, .41667 of a share of USA Waste Common Stock for each share of Chambers Common Stock or Chambers Class A Common Stock held by them. See "The Plan of Merger and Terms of the Merger." A copy of the Merger Agreement is attached hereto as Appendix A and incorporated herein by reference.</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May 15, 1995, the closing sale price of USA Waste Common Stock on the New York Stock Exchange was $15.38 per share. Based on such closing price, the consideration to be received by stockholders of Chambers pursuant to the Merger would be approximately $6.41 per share of Chambers Common Stock and Chambers Class A Common Stock. Approximately 50.8 million shares of USA Waste Common Stock will be outstanding after the Merger is consummated, of which approximately 54.8% will be owned by former stockholders of Chambers and approximately 45.2% will be owned by current shareholders of USA Waste. This Joint Proxy Statement and Prospectus also constitutes the prospectus of USA Waste that is a part of the Registration Statement of USA Waste filed with the Securities and Exchange Commission with respect to the issuance and exchange of up to approximately 27.8 million shares of USA Waste Common Stock to be issued pursuant to the Merger. This Joint Proxy Statement and Prospectus is first being mailed to the shareholders of USA Waste and the stockholders of Chambers on or about May 19, 1995.</w:t>
      </w:r>
    </w:p>
    <w:p>
      <w:pPr>
        <w:spacing w:after="0" w:line="356" w:lineRule="exact"/>
        <w:rPr>
          <w:sz w:val="20"/>
          <w:szCs w:val="20"/>
          <w:color w:val="auto"/>
        </w:rPr>
      </w:pPr>
    </w:p>
    <w:p>
      <w:pPr>
        <w:ind w:left="440" w:right="3099" w:hanging="450"/>
        <w:spacing w:after="0" w:line="243" w:lineRule="auto"/>
        <w:rPr>
          <w:sz w:val="20"/>
          <w:szCs w:val="20"/>
          <w:color w:val="auto"/>
        </w:rPr>
      </w:pPr>
      <w:r>
        <w:rPr>
          <w:rFonts w:ascii="Courier New" w:cs="Courier New" w:eastAsia="Courier New" w:hAnsi="Courier New"/>
          <w:sz w:val="15"/>
          <w:szCs w:val="15"/>
          <w:color w:val="auto"/>
        </w:rPr>
        <w:t>THE SHARES OF USA WASTE COMMON STOCK TO BE ISSUED IN CONNECTION WITH THE MERGER HAVE NOT BEEN APPROVED OR DISAPPROVED BY THE SECURITIES AND EXCHANGE</w:t>
      </w:r>
    </w:p>
    <w:p>
      <w:pPr>
        <w:spacing w:after="0" w:line="3" w:lineRule="exact"/>
        <w:rPr>
          <w:sz w:val="20"/>
          <w:szCs w:val="20"/>
          <w:color w:val="auto"/>
        </w:rPr>
      </w:pPr>
    </w:p>
    <w:p>
      <w:pPr>
        <w:jc w:val="center"/>
        <w:ind w:right="3199"/>
        <w:spacing w:after="0" w:line="244" w:lineRule="auto"/>
        <w:rPr>
          <w:sz w:val="20"/>
          <w:szCs w:val="20"/>
          <w:color w:val="auto"/>
        </w:rPr>
      </w:pPr>
      <w:r>
        <w:rPr>
          <w:rFonts w:ascii="Courier New" w:cs="Courier New" w:eastAsia="Courier New" w:hAnsi="Courier New"/>
          <w:sz w:val="15"/>
          <w:szCs w:val="15"/>
          <w:color w:val="auto"/>
        </w:rPr>
        <w:t>COMMISSION OR ANY STATE SECURITIES COMMISSION NOR HAS THE SECURITIES AND EXCHANGE COMMISSION OR ANY STATE SECURITIES COMMISSION PASSED UPON THE ACCURACY OR ADEQUACY OF THIS JOINT PROXY STATEMENT AND PROSPECTUS. ANY REPRESENTATION TO THE CONTRARY IS A CRIMINAL OFFENSE.</w:t>
      </w: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DATE OF THIS JOINT PROXY STATEMENT AND PROSPECTUS IS MAY 19, 1995</w:t>
      </w:r>
    </w:p>
    <w:p>
      <w:pPr>
        <w:sectPr>
          <w:pgSz w:w="11900" w:h="16838" w:orient="portrait"/>
          <w:cols w:equalWidth="0" w:num="1">
            <w:col w:w="10219"/>
          </w:cols>
          <w:pgMar w:left="240" w:top="291"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Chambers.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Chambers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Chambers has been furnished by Chambers.</w:t>
      </w:r>
    </w:p>
    <w:p>
      <w:pPr>
        <w:spacing w:after="0" w:line="18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AVAILABLE INFORMATION</w:t>
      </w:r>
    </w:p>
    <w:p>
      <w:pPr>
        <w:spacing w:after="0" w:line="178"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USA Waste and Chambers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Northwestern Atrium Center, 500 W. Madison, Suite 1400, Chicago, Illinois</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60661-2511 and in New York, New York at 7 World Trade Center, Suite 1300, New York, New York 10048. Copies of such materials may be obtained from the Public Reference Section of the Commission at Judiciary Plaza, 450 Fifth Street, N.W., Washington, D.C. 20549 at prescribed rates. Furthermore, USA Waste's securities are listed on the New York Stock Exchange (the "NYSE") and the reports, proxy statements, and other information of USA Waste described above may also be inspected at the NYSE at 20 Broad Street, New York, New York 10005. Chambers' securities are listed on the American Stock Exchange (the "AMEX") and the reports, proxy statements, and other information of Chambers described above may also be inspected at the AMEX at 86 Trinity Place, New York, New York 10006. Upon consummation of the Merger, listing of the Chambers' securities on the AMEX will be terminated.</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has filed with the Commission a registration statement (the "Registration Statement") under the Securities Act of 1933, as amended (the "Securities Act") on Form S-4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Chambers Common Stock and Chambers Class A Common Stock under the Exchange Act will be terminated.</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INCORPORATION OF CERTAIN INFORMATION BY REFERENCE</w:t>
      </w:r>
    </w:p>
    <w:p>
      <w:pPr>
        <w:spacing w:after="0" w:line="351"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USA Waste incorporates herein by reference the following documents filed by it with the Commission (File No. 1-12154) pursuant to the Exchange Act: (i) its Annual Report on Form 10-K for the year ended December 31, 1994, (ii) its Quarterly Report on Form 10-Q for the quarter ended March 31, 1995; (iii) the description of USA Waste Common Stock contained in USA Waste's Registration Statement on Form 8-A dated July 1, 1993 and (iv) the Current Report on Form 8-K dated February 28, 1994 as filed by Envirofil Inc. ("Envirofil") and as amended by Form 8-K/A dated May 11, 1994, including the combined financial statements of the Acquired New Jersey Solid Waste Companies as of December 31, 1992 and 1993 and for each of the three years in the period ended December 31, 1993.</w:t>
      </w:r>
    </w:p>
    <w:p>
      <w:pPr>
        <w:spacing w:after="0" w:line="200" w:lineRule="exact"/>
        <w:rPr>
          <w:sz w:val="20"/>
          <w:szCs w:val="20"/>
          <w:color w:val="auto"/>
        </w:rPr>
      </w:pPr>
    </w:p>
    <w:p>
      <w:pPr>
        <w:spacing w:after="0" w:line="30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Chambers incorporates herein by reference (i) its Annual Report or Form 10-K for the year ended December 31, 1994 and (ii) its Quarterly Report on Form 10-Q for the quarter ended March 31, 1995.</w:t>
      </w:r>
    </w:p>
    <w:p>
      <w:pPr>
        <w:spacing w:after="0" w:line="34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All documents filed by USA Waste and Chambers pursuant to Section 13(a), 13(c), 14, or 15(d) of the Exchange Act subsequent to the date of this Joint Proxy Statement and Prospectus and prior to the date of the USA Waste Annual Meeting and the Chambers Special Meeting shall be deemed to be incorporated by reference in this Joint Proxy Statement and Prospectus and to be part hereof from the date of filing of such documents. All information appearing in this Joint Proxy Statement and Prospectus is qualified in its entirety by the information and financial statements (including notes thereto) appearing in the documents incorporated by reference herein.</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JOINT PROXY STATEMENT AND PROSPECTUS INCORPORATES DOCUMENTS BY REFERENCE THAT ARE NOT PRESENTED HEREIN OR DELIVERED HEREWITH. USA WASTE AND CHAMBERS HEREBY UNDERTAKE TO PROVIDE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5000 QUORUM DRIVE, SUITE 300, DALLAS, TEXAS 75240, ATTENTION: EXECUTIVE VICE PRESIDENT AND CHIEF FINANCIAL OFFICER, TELEPHONE NUMBER 214-383-7900. DOCUMENTS RELATING TO CHAMBERS ARE AVAILABLE UPON REQUEST FROM CHAMBERS DEVELOPMENT COMPANY, INC., 10700 FRANKSTOWN ROAD, PITTSBURGH, PENNSYLVANIA 15235, ATTENTION: SENIOR VICE PRESIDENT AND CHIEF FINANCIAL OFFICER, TELEPHONE NUMBER 412-242-6237. IN ORDER TO ENSURE TIMELY DELIVERY OF THE DOCUMENTS, ANY REQUEST SHOULD BE RECEIVED BY JUNE 20, 1995.</w:t>
      </w:r>
    </w:p>
    <w:p>
      <w:pPr>
        <w:spacing w:after="0" w:line="3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ind w:left="278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694"/>
        </w:trPr>
        <w:tc>
          <w:tcPr>
            <w:tcW w:w="4360" w:type="dxa"/>
            <w:vAlign w:val="bottom"/>
          </w:tcPr>
          <w:p>
            <w:pPr>
              <w:spacing w:after="0"/>
              <w:rPr>
                <w:sz w:val="24"/>
                <w:szCs w:val="24"/>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4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spacing w:after="0"/>
              <w:rPr>
                <w:sz w:val="20"/>
                <w:szCs w:val="20"/>
                <w:color w:val="auto"/>
              </w:rPr>
            </w:pPr>
            <w:r>
              <w:rPr>
                <w:rFonts w:ascii="Courier New" w:cs="Courier New" w:eastAsia="Courier New" w:hAnsi="Courier New"/>
                <w:sz w:val="15"/>
                <w:szCs w:val="15"/>
                <w:color w:val="auto"/>
              </w:rPr>
              <w:t>AVAILABLE INFORMATION..........................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ii</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INCORPORATION OF CERTAIN INFORMATION BY</w:t>
            </w:r>
          </w:p>
        </w:tc>
        <w:tc>
          <w:tcPr>
            <w:tcW w:w="500" w:type="dxa"/>
            <w:vAlign w:val="bottom"/>
          </w:tcPr>
          <w:p>
            <w:pPr>
              <w:spacing w:after="0"/>
              <w:rPr>
                <w:sz w:val="15"/>
                <w:szCs w:val="15"/>
                <w:color w:val="auto"/>
              </w:rPr>
            </w:pP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REFERENCE....................................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iii</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The Companies................................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The Shareholders' Meetings...................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Stockholders' Comparative Rights.............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Market Price Data............................</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Summary Financial Information................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Other Proposals to be Presented at the USA</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Waste Annual Meeting.......................</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RISK FACTORS...................................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Reliance on Future Acquisitions for Growth...</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Limitation on Use of Net Operating Loss</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Carryforwards..............................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High Degree of Leverage......................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Operations Could be Adversely Affected by</w:t>
            </w:r>
          </w:p>
        </w:tc>
        <w:tc>
          <w:tcPr>
            <w:tcW w:w="500" w:type="dxa"/>
            <w:vAlign w:val="bottom"/>
          </w:tcPr>
          <w:p>
            <w:pPr>
              <w:spacing w:after="0"/>
              <w:rPr>
                <w:sz w:val="15"/>
                <w:szCs w:val="15"/>
                <w:color w:val="auto"/>
              </w:rPr>
            </w:pPr>
          </w:p>
        </w:tc>
      </w:tr>
      <w:tr>
        <w:trPr>
          <w:trHeight w:val="173"/>
        </w:trPr>
        <w:tc>
          <w:tcPr>
            <w:tcW w:w="4360" w:type="dxa"/>
            <w:vAlign w:val="bottom"/>
          </w:tcPr>
          <w:p>
            <w:pPr>
              <w:ind w:left="360"/>
              <w:spacing w:after="0"/>
              <w:rPr>
                <w:sz w:val="20"/>
                <w:szCs w:val="20"/>
                <w:color w:val="auto"/>
              </w:rPr>
            </w:pPr>
            <w:r>
              <w:rPr>
                <w:rFonts w:ascii="Courier New" w:cs="Courier New" w:eastAsia="Courier New" w:hAnsi="Courier New"/>
                <w:sz w:val="15"/>
                <w:szCs w:val="15"/>
                <w:color w:val="auto"/>
              </w:rPr>
              <w:t>Government Regulation and Potential</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Litigation.................................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Potential Liability for Environmental</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Damage.....................................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Profitability May be Affected by</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Competition................................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Expected Benefits of Combined Business May</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Not be Achieved............................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Exchange Ratio Will Not Reflect Any Change in</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 Prices...............................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Chambers' Existing Financing Requirements....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THE MEETINGS...................................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Date, Time, and Place of the Meetings........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Purpose of the Meetings......................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Record Date and Outstanding Shares...........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Voting and Revocation of Proxies.............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Vote Required for Approval...................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Solicitation of Proxies......................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Other Matters................................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THE MERGER AND RELATED</w:t>
            </w:r>
          </w:p>
        </w:tc>
        <w:tc>
          <w:tcPr>
            <w:tcW w:w="500" w:type="dxa"/>
            <w:vAlign w:val="bottom"/>
          </w:tcPr>
          <w:p>
            <w:pPr>
              <w:spacing w:after="0"/>
              <w:rPr>
                <w:sz w:val="15"/>
                <w:szCs w:val="15"/>
                <w:color w:val="auto"/>
              </w:rPr>
            </w:pP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TRANSACTIONS.................................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General Description of 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Background of 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USA Waste's Reasons for 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Recommendation of the Board of Directors of</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USA Waste..................................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Chambers' Reasons for 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Recommendation of the Board of Directors of</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Chambers...................................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Opinion of Financial Advisor to USA Waste....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Opinion of Financial Advisor to Chambers.....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Conflicts of Interests.......................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Shareholders Agreement.......................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Financing Arrangements.......................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Certain Federal Income Tax Consequences......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Net Operating Loss Carryforwards.............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Accounting Treatment.........................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Government and Regulatory Approvals..........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Settlement of Certain Chambers Litigation....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Restrictions on Resales by Affiliates........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ELECTION OF USA WASTE DIRECTORS................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Nominees for Election as Directors...........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Board of Directors After the Merger..........</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520"/>
        </w:trPr>
        <w:tc>
          <w:tcPr>
            <w:tcW w:w="4360" w:type="dxa"/>
            <w:vAlign w:val="bottom"/>
          </w:tcPr>
          <w:p>
            <w:pPr>
              <w:spacing w:after="0"/>
              <w:rPr>
                <w:sz w:val="24"/>
                <w:szCs w:val="24"/>
                <w:color w:val="auto"/>
              </w:rPr>
            </w:pP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4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Meetings, Committees and Compensation........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Beneficial Ownership of USA Waste</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Common Stock...............................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Executive Compensation.......................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Compensation Committee Interlocks and Insider</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Participation in Compensation Decisions....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Certain Relationships and Related</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Transactions...............................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Filing of Reports of Stock Ownership.........</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THE REINCORPORATION............................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Principal Reason for Reincorporation.........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Director Liability...........................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Indemnification of Directors, Officers and</w:t>
            </w:r>
          </w:p>
        </w:tc>
        <w:tc>
          <w:tcPr>
            <w:tcW w:w="500" w:type="dxa"/>
            <w:vAlign w:val="bottom"/>
          </w:tcPr>
          <w:p>
            <w:pPr>
              <w:spacing w:after="0"/>
              <w:rPr>
                <w:sz w:val="15"/>
                <w:szCs w:val="15"/>
                <w:color w:val="auto"/>
              </w:rPr>
            </w:pPr>
          </w:p>
        </w:tc>
      </w:tr>
      <w:tr>
        <w:trPr>
          <w:trHeight w:val="173"/>
        </w:trPr>
        <w:tc>
          <w:tcPr>
            <w:tcW w:w="4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Agents...............................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Contests for Corporate Control...............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Possible Negative Considerations.............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Other Concerns...............................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3"/>
        </w:trPr>
        <w:tc>
          <w:tcPr>
            <w:tcW w:w="4360" w:type="dxa"/>
            <w:vAlign w:val="bottom"/>
          </w:tcPr>
          <w:p>
            <w:pPr>
              <w:spacing w:after="0"/>
              <w:rPr>
                <w:sz w:val="20"/>
                <w:szCs w:val="20"/>
                <w:color w:val="auto"/>
              </w:rPr>
            </w:pPr>
            <w:r>
              <w:rPr>
                <w:rFonts w:ascii="Courier New" w:cs="Courier New" w:eastAsia="Courier New" w:hAnsi="Courier New"/>
                <w:sz w:val="15"/>
                <w:szCs w:val="15"/>
                <w:color w:val="auto"/>
              </w:rPr>
              <w:t>CLASSIFICATION OF THE USA WASTE BOARD AND</w:t>
            </w:r>
          </w:p>
        </w:tc>
        <w:tc>
          <w:tcPr>
            <w:tcW w:w="500" w:type="dxa"/>
            <w:vAlign w:val="bottom"/>
          </w:tcPr>
          <w:p>
            <w:pPr>
              <w:spacing w:after="0"/>
              <w:rPr>
                <w:sz w:val="15"/>
                <w:szCs w:val="15"/>
                <w:color w:val="auto"/>
              </w:rPr>
            </w:pPr>
          </w:p>
        </w:tc>
      </w:tr>
      <w:tr>
        <w:trPr>
          <w:trHeight w:val="173"/>
        </w:trPr>
        <w:tc>
          <w:tcPr>
            <w:tcW w:w="4360" w:type="dxa"/>
            <w:vAlign w:val="bottom"/>
          </w:tcPr>
          <w:p>
            <w:pPr>
              <w:ind w:left="180"/>
              <w:spacing w:after="0"/>
              <w:rPr>
                <w:sz w:val="20"/>
                <w:szCs w:val="20"/>
                <w:color w:val="auto"/>
              </w:rPr>
            </w:pPr>
            <w:r>
              <w:rPr>
                <w:rFonts w:ascii="Courier New" w:cs="Courier New" w:eastAsia="Courier New" w:hAnsi="Courier New"/>
                <w:sz w:val="15"/>
                <w:szCs w:val="15"/>
                <w:color w:val="auto"/>
              </w:rPr>
              <w:t>RELATED MATTERS..............................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bl>
    <w:p>
      <w:pPr>
        <w:sectPr>
          <w:pgSz w:w="11900" w:h="16838" w:orient="portrait"/>
          <w:cols w:equalWidth="0" w:num="1">
            <w:col w:w="10219"/>
          </w:cols>
          <w:pgMar w:left="240" w:top="291" w:right="1440" w:bottom="0" w:gutter="0" w:footer="0" w:header="0"/>
        </w:sectPr>
      </w:pPr>
    </w:p>
    <w:bookmarkStart w:id="12" w:name="page13"/>
    <w:bookmarkEnd w:id="12"/>
    <w:p>
      <w:pPr>
        <w:ind w:left="180"/>
        <w:spacing w:after="0"/>
        <w:tabs>
          <w:tab w:leader="dot" w:pos="4660" w:val="left"/>
        </w:tabs>
        <w:rPr>
          <w:sz w:val="20"/>
          <w:szCs w:val="20"/>
          <w:color w:val="auto"/>
        </w:rPr>
      </w:pPr>
      <w:r>
        <w:rPr>
          <w:rFonts w:ascii="Courier New" w:cs="Courier New" w:eastAsia="Courier New" w:hAnsi="Courier New"/>
          <w:sz w:val="15"/>
          <w:szCs w:val="15"/>
          <w:color w:val="auto"/>
        </w:rPr>
        <w:t>Classified Board</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Filling Vacancies</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Removal of Directors</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 Alteration or Repeal of These</w:t>
      </w:r>
    </w:p>
    <w:p>
      <w:pPr>
        <w:spacing w:after="0" w:line="3" w:lineRule="exact"/>
        <w:rPr>
          <w:sz w:val="20"/>
          <w:szCs w:val="20"/>
          <w:color w:val="auto"/>
        </w:rPr>
      </w:pPr>
    </w:p>
    <w:p>
      <w:pPr>
        <w:ind w:left="360"/>
        <w:spacing w:after="0"/>
        <w:tabs>
          <w:tab w:leader="dot" w:pos="4660" w:val="left"/>
        </w:tabs>
        <w:rPr>
          <w:sz w:val="20"/>
          <w:szCs w:val="20"/>
          <w:color w:val="auto"/>
        </w:rPr>
      </w:pPr>
      <w:r>
        <w:rPr>
          <w:rFonts w:ascii="Courier New" w:cs="Courier New" w:eastAsia="Courier New" w:hAnsi="Courier New"/>
          <w:sz w:val="15"/>
          <w:szCs w:val="15"/>
          <w:color w:val="auto"/>
        </w:rPr>
        <w:t>Provisions</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TO INCREASE THE NUMBER OF AUTHORIZED</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USA WASTE 1993 STOCK INCENTIVE</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spacing w:after="0"/>
        <w:tabs>
          <w:tab w:leader="dot" w:pos="4660" w:val="left"/>
        </w:tabs>
        <w:rPr>
          <w:sz w:val="20"/>
          <w:szCs w:val="20"/>
          <w:color w:val="auto"/>
        </w:rPr>
      </w:pPr>
      <w:r>
        <w:rPr>
          <w:rFonts w:ascii="Courier New" w:cs="Courier New" w:eastAsia="Courier New" w:hAnsi="Courier New"/>
          <w:sz w:val="15"/>
          <w:szCs w:val="15"/>
          <w:color w:val="auto"/>
        </w:rPr>
        <w:t>RATIFICATION OF APPOINTMENT OF AUDITORS</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spacing w:after="0"/>
        <w:tabs>
          <w:tab w:leader="dot" w:pos="4660" w:val="left"/>
        </w:tabs>
        <w:rPr>
          <w:sz w:val="20"/>
          <w:szCs w:val="20"/>
          <w:color w:val="auto"/>
        </w:rPr>
      </w:pPr>
      <w:r>
        <w:rPr>
          <w:rFonts w:ascii="Courier New" w:cs="Courier New" w:eastAsia="Courier New" w:hAnsi="Courier New"/>
          <w:sz w:val="15"/>
          <w:szCs w:val="15"/>
          <w:color w:val="auto"/>
        </w:rPr>
        <w:t>THE PLAN OF MERGER AND TERMS OF THE MERGER</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Effective Time of the Merger</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Manner and Basis for Converting Shares</w:t>
      </w:r>
      <w:r>
        <w:rPr>
          <w:sz w:val="20"/>
          <w:szCs w:val="20"/>
          <w:color w:val="auto"/>
        </w:rPr>
        <w:tab/>
      </w:r>
      <w:r>
        <w:rPr>
          <w:rFonts w:ascii="Courier New" w:cs="Courier New" w:eastAsia="Courier New" w:hAnsi="Courier New"/>
          <w:sz w:val="15"/>
          <w:szCs w:val="15"/>
          <w:color w:val="auto"/>
        </w:rPr>
        <w:t>64</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Chambers Options</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Conditions to the Merger</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Representations and Warranties of USA Waste</w:t>
      </w:r>
    </w:p>
    <w:p>
      <w:pPr>
        <w:spacing w:after="0" w:line="3" w:lineRule="exact"/>
        <w:rPr>
          <w:sz w:val="20"/>
          <w:szCs w:val="20"/>
          <w:color w:val="auto"/>
        </w:rPr>
      </w:pPr>
    </w:p>
    <w:p>
      <w:pPr>
        <w:ind w:left="360"/>
        <w:spacing w:after="0"/>
        <w:tabs>
          <w:tab w:leader="dot" w:pos="4660" w:val="left"/>
        </w:tabs>
        <w:rPr>
          <w:sz w:val="20"/>
          <w:szCs w:val="20"/>
          <w:color w:val="auto"/>
        </w:rPr>
      </w:pPr>
      <w:r>
        <w:rPr>
          <w:rFonts w:ascii="Courier New" w:cs="Courier New" w:eastAsia="Courier New" w:hAnsi="Courier New"/>
          <w:sz w:val="15"/>
          <w:szCs w:val="15"/>
          <w:color w:val="auto"/>
        </w:rPr>
        <w:t>and Chambers</w:t>
      </w:r>
      <w:r>
        <w:rPr>
          <w:sz w:val="20"/>
          <w:szCs w:val="20"/>
          <w:color w:val="auto"/>
        </w:rPr>
        <w:tab/>
      </w:r>
      <w:r>
        <w:rPr>
          <w:rFonts w:ascii="Courier New" w:cs="Courier New" w:eastAsia="Courier New" w:hAnsi="Courier New"/>
          <w:sz w:val="15"/>
          <w:szCs w:val="15"/>
          <w:color w:val="auto"/>
        </w:rPr>
        <w:t>67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Conduct of the Business of USA Waste and</w:t>
      </w:r>
    </w:p>
    <w:p>
      <w:pPr>
        <w:spacing w:after="0" w:line="3" w:lineRule="exact"/>
        <w:rPr>
          <w:sz w:val="20"/>
          <w:szCs w:val="20"/>
          <w:color w:val="auto"/>
        </w:rPr>
      </w:pPr>
    </w:p>
    <w:p>
      <w:pPr>
        <w:ind w:left="360"/>
        <w:spacing w:after="0"/>
        <w:tabs>
          <w:tab w:leader="dot" w:pos="4660" w:val="left"/>
        </w:tabs>
        <w:rPr>
          <w:sz w:val="20"/>
          <w:szCs w:val="20"/>
          <w:color w:val="auto"/>
        </w:rPr>
      </w:pPr>
      <w:r>
        <w:rPr>
          <w:rFonts w:ascii="Courier New" w:cs="Courier New" w:eastAsia="Courier New" w:hAnsi="Courier New"/>
          <w:sz w:val="15"/>
          <w:szCs w:val="15"/>
          <w:color w:val="auto"/>
        </w:rPr>
        <w:t>Chambers Prior to the Merger</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 Solicitation of Acquisition</w:t>
      </w:r>
    </w:p>
    <w:p>
      <w:pPr>
        <w:spacing w:after="0" w:line="3" w:lineRule="exact"/>
        <w:rPr>
          <w:sz w:val="20"/>
          <w:szCs w:val="20"/>
          <w:color w:val="auto"/>
        </w:rPr>
      </w:pPr>
    </w:p>
    <w:p>
      <w:pPr>
        <w:ind w:left="360"/>
        <w:spacing w:after="0"/>
        <w:tabs>
          <w:tab w:leader="dot" w:pos="4660" w:val="left"/>
        </w:tabs>
        <w:rPr>
          <w:sz w:val="20"/>
          <w:szCs w:val="20"/>
          <w:color w:val="auto"/>
        </w:rPr>
      </w:pPr>
      <w:r>
        <w:rPr>
          <w:rFonts w:ascii="Courier New" w:cs="Courier New" w:eastAsia="Courier New" w:hAnsi="Courier New"/>
          <w:sz w:val="15"/>
          <w:szCs w:val="15"/>
          <w:color w:val="auto"/>
        </w:rPr>
        <w:t>Transactions</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Conduct of the Business of the Combined</w:t>
      </w:r>
    </w:p>
    <w:p>
      <w:pPr>
        <w:spacing w:after="0" w:line="3" w:lineRule="exact"/>
        <w:rPr>
          <w:sz w:val="20"/>
          <w:szCs w:val="20"/>
          <w:color w:val="auto"/>
        </w:rPr>
      </w:pPr>
    </w:p>
    <w:p>
      <w:pPr>
        <w:ind w:left="360"/>
        <w:spacing w:after="0"/>
        <w:tabs>
          <w:tab w:leader="dot" w:pos="4660" w:val="left"/>
        </w:tabs>
        <w:rPr>
          <w:sz w:val="20"/>
          <w:szCs w:val="20"/>
          <w:color w:val="auto"/>
        </w:rPr>
      </w:pPr>
      <w:r>
        <w:rPr>
          <w:rFonts w:ascii="Courier New" w:cs="Courier New" w:eastAsia="Courier New" w:hAnsi="Courier New"/>
          <w:sz w:val="15"/>
          <w:szCs w:val="15"/>
          <w:color w:val="auto"/>
        </w:rPr>
        <w:t>Companies Following the Merger</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Termination or Amendment</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Termination Fees</w:t>
      </w:r>
      <w:r>
        <w:rPr>
          <w:sz w:val="20"/>
          <w:szCs w:val="20"/>
          <w:color w:val="auto"/>
        </w:rPr>
        <w:tab/>
      </w:r>
      <w:r>
        <w:rPr>
          <w:rFonts w:ascii="Courier New" w:cs="Courier New" w:eastAsia="Courier New" w:hAnsi="Courier New"/>
          <w:sz w:val="15"/>
          <w:szCs w:val="15"/>
          <w:color w:val="auto"/>
        </w:rPr>
        <w:t>71</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Arrangements with Certain Individuals</w:t>
      </w:r>
      <w:r>
        <w:rPr>
          <w:sz w:val="20"/>
          <w:szCs w:val="20"/>
          <w:color w:val="auto"/>
        </w:rPr>
        <w:tab/>
      </w:r>
      <w:r>
        <w:rPr>
          <w:rFonts w:ascii="Courier New" w:cs="Courier New" w:eastAsia="Courier New" w:hAnsi="Courier New"/>
          <w:sz w:val="15"/>
          <w:szCs w:val="15"/>
          <w:color w:val="auto"/>
        </w:rPr>
        <w:t>72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RIGHTS OF STOCKHOLDERS OF USA WASTE</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AND CHAMBERS</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AND CHAMBERS COMBINED HISTORICAL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UNAUDITED PRO FORMA CONDENSED FINANCIAL</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INFORMATION RELATING TO PRO FORMA</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STATEMENT OF OPERATIONS FOR THE YEAR ENDED</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DECEMBER 31, 1994</w:t>
      </w:r>
      <w:r>
        <w:rPr>
          <w:sz w:val="20"/>
          <w:szCs w:val="20"/>
          <w:color w:val="auto"/>
        </w:rPr>
        <w:tab/>
      </w:r>
      <w:r>
        <w:rPr>
          <w:rFonts w:ascii="Courier New" w:cs="Courier New" w:eastAsia="Courier New" w:hAnsi="Courier New"/>
          <w:sz w:val="15"/>
          <w:szCs w:val="15"/>
          <w:color w:val="auto"/>
        </w:rPr>
        <w:t>84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STOCKHOLDERS OF USA WASTE AND</w:t>
      </w:r>
    </w:p>
    <w:p>
      <w:pPr>
        <w:spacing w:after="0" w:line="3" w:lineRule="exact"/>
        <w:rPr>
          <w:sz w:val="20"/>
          <w:szCs w:val="20"/>
          <w:color w:val="auto"/>
        </w:rPr>
      </w:pPr>
    </w:p>
    <w:p>
      <w:pPr>
        <w:ind w:left="180"/>
        <w:spacing w:after="0"/>
        <w:tabs>
          <w:tab w:leader="dot" w:pos="4660" w:val="left"/>
        </w:tabs>
        <w:rPr>
          <w:sz w:val="20"/>
          <w:szCs w:val="20"/>
          <w:color w:val="auto"/>
        </w:rPr>
      </w:pPr>
      <w:r>
        <w:rPr>
          <w:rFonts w:ascii="Courier New" w:cs="Courier New" w:eastAsia="Courier New" w:hAnsi="Courier New"/>
          <w:sz w:val="15"/>
          <w:szCs w:val="15"/>
          <w:color w:val="auto"/>
        </w:rPr>
        <w:t>CHAMBERS</w:t>
      </w:r>
      <w:r>
        <w:rPr>
          <w:sz w:val="20"/>
          <w:szCs w:val="20"/>
          <w:color w:val="auto"/>
        </w:rPr>
        <w:tab/>
      </w:r>
      <w:r>
        <w:rPr>
          <w:rFonts w:ascii="Courier New" w:cs="Courier New" w:eastAsia="Courier New" w:hAnsi="Courier New"/>
          <w:sz w:val="15"/>
          <w:szCs w:val="15"/>
          <w:color w:val="auto"/>
        </w:rPr>
        <w:t>85</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14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94"/>
        </w:trPr>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12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MARKET PRICE DATA..............................</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Market Information...........................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Dividend Information.........................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USA WASTE.......................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Industry Background..........................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Strategy.....................................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Marketing and Sales..........................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Competition..................................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Pricing......................................</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Employees....................................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Insurance and Performance Bonds..............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Regulation...................................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Properties...................................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Legal Matters................................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Selected Historical Consolidated Financial</w:t>
            </w:r>
          </w:p>
        </w:tc>
        <w:tc>
          <w:tcPr>
            <w:tcW w:w="540" w:type="dxa"/>
            <w:vAlign w:val="bottom"/>
          </w:tcPr>
          <w:p>
            <w:pPr>
              <w:spacing w:after="0"/>
              <w:rPr>
                <w:sz w:val="15"/>
                <w:szCs w:val="15"/>
                <w:color w:val="auto"/>
              </w:rPr>
            </w:pPr>
          </w:p>
        </w:tc>
      </w:tr>
      <w:tr>
        <w:trPr>
          <w:trHeight w:val="173"/>
        </w:trPr>
        <w:tc>
          <w:tcPr>
            <w:tcW w:w="4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Data of USA Waste..........................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 USA</w:t>
            </w:r>
          </w:p>
        </w:tc>
        <w:tc>
          <w:tcPr>
            <w:tcW w:w="540" w:type="dxa"/>
            <w:vAlign w:val="bottom"/>
          </w:tcPr>
          <w:p>
            <w:pPr>
              <w:spacing w:after="0"/>
              <w:rPr>
                <w:sz w:val="15"/>
                <w:szCs w:val="15"/>
                <w:color w:val="auto"/>
              </w:rPr>
            </w:pP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WASTE'S FINANCIAL CONDITION AND RESULTS OF</w:t>
            </w:r>
          </w:p>
        </w:tc>
        <w:tc>
          <w:tcPr>
            <w:tcW w:w="540" w:type="dxa"/>
            <w:vAlign w:val="bottom"/>
          </w:tcPr>
          <w:p>
            <w:pPr>
              <w:spacing w:after="0"/>
              <w:rPr>
                <w:sz w:val="15"/>
                <w:szCs w:val="15"/>
                <w:color w:val="auto"/>
              </w:rPr>
            </w:pP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3"/>
        </w:trPr>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w w:val="98"/>
              </w:rPr>
              <w:t>Introduction</w:t>
            </w:r>
          </w:p>
        </w:tc>
        <w:tc>
          <w:tcPr>
            <w:tcW w:w="30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Results of Operations for the Three Months</w:t>
            </w:r>
          </w:p>
        </w:tc>
        <w:tc>
          <w:tcPr>
            <w:tcW w:w="540" w:type="dxa"/>
            <w:vAlign w:val="bottom"/>
          </w:tcPr>
          <w:p>
            <w:pPr>
              <w:spacing w:after="0"/>
              <w:rPr>
                <w:sz w:val="15"/>
                <w:szCs w:val="15"/>
                <w:color w:val="auto"/>
              </w:rPr>
            </w:pPr>
          </w:p>
        </w:tc>
      </w:tr>
      <w:tr>
        <w:trPr>
          <w:trHeight w:val="173"/>
        </w:trPr>
        <w:tc>
          <w:tcPr>
            <w:tcW w:w="4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Ended March 31, 1994 and 1995..............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Results of Operations for the Three Years</w:t>
            </w:r>
          </w:p>
        </w:tc>
        <w:tc>
          <w:tcPr>
            <w:tcW w:w="540" w:type="dxa"/>
            <w:vAlign w:val="bottom"/>
          </w:tcPr>
          <w:p>
            <w:pPr>
              <w:spacing w:after="0"/>
              <w:rPr>
                <w:sz w:val="15"/>
                <w:szCs w:val="15"/>
                <w:color w:val="auto"/>
              </w:rPr>
            </w:pPr>
          </w:p>
        </w:tc>
      </w:tr>
      <w:tr>
        <w:trPr>
          <w:trHeight w:val="173"/>
        </w:trPr>
        <w:tc>
          <w:tcPr>
            <w:tcW w:w="4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Ended December 31, 1994....................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Liquidity and Capital Resources..............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Environmental Matters........................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Seasonality and Inflation....................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CHAMBERS........................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Competition..................................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Marketing....................................</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Regulation...................................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Bonding and Insurance........................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Employees....................................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Properties...................................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Legal Proceedings............................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Selected Historical Consolidated Financial</w:t>
            </w:r>
          </w:p>
        </w:tc>
        <w:tc>
          <w:tcPr>
            <w:tcW w:w="540" w:type="dxa"/>
            <w:vAlign w:val="bottom"/>
          </w:tcPr>
          <w:p>
            <w:pPr>
              <w:spacing w:after="0"/>
              <w:rPr>
                <w:sz w:val="15"/>
                <w:szCs w:val="15"/>
                <w:color w:val="auto"/>
              </w:rPr>
            </w:pPr>
          </w:p>
        </w:tc>
      </w:tr>
      <w:tr>
        <w:trPr>
          <w:trHeight w:val="173"/>
        </w:trPr>
        <w:tc>
          <w:tcPr>
            <w:tcW w:w="4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Data of Chambers...........................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r>
        <w:trPr>
          <w:trHeight w:val="520"/>
        </w:trPr>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12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w:t>
            </w:r>
          </w:p>
        </w:tc>
        <w:tc>
          <w:tcPr>
            <w:tcW w:w="540" w:type="dxa"/>
            <w:vAlign w:val="bottom"/>
          </w:tcPr>
          <w:p>
            <w:pPr>
              <w:spacing w:after="0"/>
              <w:rPr>
                <w:sz w:val="24"/>
                <w:szCs w:val="24"/>
                <w:color w:val="auto"/>
              </w:rPr>
            </w:pP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CHAMBERS' FINANCIAL CONDITION AND RESULTS OF</w:t>
            </w:r>
          </w:p>
        </w:tc>
        <w:tc>
          <w:tcPr>
            <w:tcW w:w="540" w:type="dxa"/>
            <w:vAlign w:val="bottom"/>
          </w:tcPr>
          <w:p>
            <w:pPr>
              <w:spacing w:after="0"/>
              <w:rPr>
                <w:sz w:val="15"/>
                <w:szCs w:val="15"/>
                <w:color w:val="auto"/>
              </w:rPr>
            </w:pP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Results of Operations for the Three Months</w:t>
            </w:r>
          </w:p>
        </w:tc>
        <w:tc>
          <w:tcPr>
            <w:tcW w:w="540" w:type="dxa"/>
            <w:vAlign w:val="bottom"/>
          </w:tcPr>
          <w:p>
            <w:pPr>
              <w:spacing w:after="0"/>
              <w:rPr>
                <w:sz w:val="15"/>
                <w:szCs w:val="15"/>
                <w:color w:val="auto"/>
              </w:rPr>
            </w:pPr>
          </w:p>
        </w:tc>
      </w:tr>
      <w:tr>
        <w:trPr>
          <w:trHeight w:val="173"/>
        </w:trPr>
        <w:tc>
          <w:tcPr>
            <w:tcW w:w="4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Ended March 31, 1994 and 1995..............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Results of Operations for the Three Years</w:t>
            </w:r>
          </w:p>
        </w:tc>
        <w:tc>
          <w:tcPr>
            <w:tcW w:w="540" w:type="dxa"/>
            <w:vAlign w:val="bottom"/>
          </w:tcPr>
          <w:p>
            <w:pPr>
              <w:spacing w:after="0"/>
              <w:rPr>
                <w:sz w:val="15"/>
                <w:szCs w:val="15"/>
                <w:color w:val="auto"/>
              </w:rPr>
            </w:pPr>
          </w:p>
        </w:tc>
      </w:tr>
      <w:tr>
        <w:trPr>
          <w:trHeight w:val="173"/>
        </w:trPr>
        <w:tc>
          <w:tcPr>
            <w:tcW w:w="4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Ended December 31, 1994....................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Liquidity and Capital Resources..............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Environmental Matters........................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USA WASTE CAPITAL STOCK.........</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3"/>
        </w:trPr>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w w:val="98"/>
              </w:rPr>
              <w:t>Common Stock</w:t>
            </w:r>
          </w:p>
        </w:tc>
        <w:tc>
          <w:tcPr>
            <w:tcW w:w="30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Authorized But Unissued Shares...............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Transfer Agent and Registrar.................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Limited Liability and Indemnification of</w:t>
            </w:r>
          </w:p>
        </w:tc>
        <w:tc>
          <w:tcPr>
            <w:tcW w:w="540" w:type="dxa"/>
            <w:vAlign w:val="bottom"/>
          </w:tcPr>
          <w:p>
            <w:pPr>
              <w:spacing w:after="0"/>
              <w:rPr>
                <w:sz w:val="15"/>
                <w:szCs w:val="15"/>
                <w:color w:val="auto"/>
              </w:rPr>
            </w:pPr>
          </w:p>
        </w:tc>
      </w:tr>
      <w:tr>
        <w:trPr>
          <w:trHeight w:val="173"/>
        </w:trPr>
        <w:tc>
          <w:tcPr>
            <w:tcW w:w="4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Officers and Directors.....................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EXPERTS........................................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PROPOSALS OF SHAREHOLDERS FOR</w:t>
            </w:r>
          </w:p>
        </w:tc>
        <w:tc>
          <w:tcPr>
            <w:tcW w:w="540" w:type="dxa"/>
            <w:vAlign w:val="bottom"/>
          </w:tcPr>
          <w:p>
            <w:pPr>
              <w:spacing w:after="0"/>
              <w:rPr>
                <w:sz w:val="15"/>
                <w:szCs w:val="15"/>
                <w:color w:val="auto"/>
              </w:rPr>
            </w:pP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ANNUAL MEETINGS..............................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OTHER MATTERS..................................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APPENDIX A --</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Amended and Restated Agreement</w:t>
            </w:r>
          </w:p>
        </w:tc>
        <w:tc>
          <w:tcPr>
            <w:tcW w:w="540" w:type="dxa"/>
            <w:vAlign w:val="bottom"/>
          </w:tcPr>
          <w:p>
            <w:pPr>
              <w:spacing w:after="0"/>
              <w:rPr>
                <w:sz w:val="15"/>
                <w:szCs w:val="15"/>
                <w:color w:val="auto"/>
              </w:rPr>
            </w:pP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Plan of Merger...........................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AA-1</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APPENDIX B --</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Fairness Opinion of Donaldson,</w:t>
            </w:r>
          </w:p>
        </w:tc>
        <w:tc>
          <w:tcPr>
            <w:tcW w:w="540" w:type="dxa"/>
            <w:vAlign w:val="bottom"/>
          </w:tcPr>
          <w:p>
            <w:pPr>
              <w:spacing w:after="0"/>
              <w:rPr>
                <w:sz w:val="15"/>
                <w:szCs w:val="15"/>
                <w:color w:val="auto"/>
              </w:rPr>
            </w:pP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Lufkin &amp; Jenrette Securities Corporation.....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BB-1</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APPENDIX C --</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Fairness Opinion of J.P. Morgan</w:t>
            </w:r>
          </w:p>
        </w:tc>
        <w:tc>
          <w:tcPr>
            <w:tcW w:w="540" w:type="dxa"/>
            <w:vAlign w:val="bottom"/>
          </w:tcPr>
          <w:p>
            <w:pPr>
              <w:spacing w:after="0"/>
              <w:rPr>
                <w:sz w:val="15"/>
                <w:szCs w:val="15"/>
                <w:color w:val="auto"/>
              </w:rPr>
            </w:pP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Securities Inc...............................</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CC-1</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APPENDIX D --</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Reincorporation Merger</w:t>
            </w:r>
          </w:p>
        </w:tc>
        <w:tc>
          <w:tcPr>
            <w:tcW w:w="540" w:type="dxa"/>
            <w:vAlign w:val="bottom"/>
          </w:tcPr>
          <w:p>
            <w:pPr>
              <w:spacing w:after="0"/>
              <w:rPr>
                <w:sz w:val="15"/>
                <w:szCs w:val="15"/>
                <w:color w:val="auto"/>
              </w:rPr>
            </w:pP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Agreement....................................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DD-1</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APPENDIX E --</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Certificate of Incorporation of</w:t>
            </w:r>
          </w:p>
        </w:tc>
        <w:tc>
          <w:tcPr>
            <w:tcW w:w="540" w:type="dxa"/>
            <w:vAlign w:val="bottom"/>
          </w:tcPr>
          <w:p>
            <w:pPr>
              <w:spacing w:after="0"/>
              <w:rPr>
                <w:sz w:val="15"/>
                <w:szCs w:val="15"/>
                <w:color w:val="auto"/>
              </w:rPr>
            </w:pPr>
          </w:p>
        </w:tc>
      </w:tr>
      <w:tr>
        <w:trPr>
          <w:trHeight w:val="173"/>
        </w:trPr>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w w:val="98"/>
              </w:rPr>
              <w:t>USA Delaware</w:t>
            </w:r>
          </w:p>
        </w:tc>
        <w:tc>
          <w:tcPr>
            <w:tcW w:w="30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EE-1</w:t>
            </w:r>
          </w:p>
        </w:tc>
      </w:tr>
      <w:tr>
        <w:trPr>
          <w:trHeight w:val="173"/>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APPENDIX F -- Bylaws of USA Delaware...........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FF-1</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APPENDIX G --</w:t>
            </w:r>
          </w:p>
        </w:tc>
        <w:tc>
          <w:tcPr>
            <w:tcW w:w="3060" w:type="dxa"/>
            <w:vAlign w:val="bottom"/>
          </w:tcPr>
          <w:p>
            <w:pPr>
              <w:spacing w:after="0"/>
              <w:rPr>
                <w:sz w:val="20"/>
                <w:szCs w:val="20"/>
                <w:color w:val="auto"/>
              </w:rPr>
            </w:pPr>
            <w:r>
              <w:rPr>
                <w:rFonts w:ascii="Courier New" w:cs="Courier New" w:eastAsia="Courier New" w:hAnsi="Courier New"/>
                <w:sz w:val="15"/>
                <w:szCs w:val="15"/>
                <w:color w:val="auto"/>
              </w:rPr>
              <w:t>Articles of Amendment of USA</w:t>
            </w:r>
          </w:p>
        </w:tc>
        <w:tc>
          <w:tcPr>
            <w:tcW w:w="540" w:type="dxa"/>
            <w:vAlign w:val="bottom"/>
          </w:tcPr>
          <w:p>
            <w:pPr>
              <w:spacing w:after="0"/>
              <w:rPr>
                <w:sz w:val="15"/>
                <w:szCs w:val="15"/>
                <w:color w:val="auto"/>
              </w:rPr>
            </w:pPr>
          </w:p>
        </w:tc>
      </w:tr>
      <w:tr>
        <w:trPr>
          <w:trHeight w:val="173"/>
        </w:trPr>
        <w:tc>
          <w:tcPr>
            <w:tcW w:w="4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Waste........................................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GG-1</w:t>
            </w:r>
          </w:p>
        </w:tc>
      </w:tr>
    </w:tbl>
    <w:p>
      <w:pPr>
        <w:spacing w:after="0" w:line="200" w:lineRule="exact"/>
        <w:rPr>
          <w:sz w:val="20"/>
          <w:szCs w:val="20"/>
          <w:color w:val="auto"/>
        </w:rPr>
      </w:pPr>
    </w:p>
    <w:p>
      <w:pPr>
        <w:sectPr>
          <w:pgSz w:w="11900" w:h="16838" w:orient="portrait"/>
          <w:cols w:equalWidth="0" w:num="1">
            <w:col w:w="10219"/>
          </w:cols>
          <w:pgMar w:left="240" w:top="291" w:right="1440" w:bottom="230" w:gutter="0" w:footer="0" w:header="0"/>
        </w:sectPr>
      </w:pPr>
    </w:p>
    <w:p>
      <w:pPr>
        <w:spacing w:after="0" w:line="324"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v</w:t>
      </w:r>
    </w:p>
    <w:p>
      <w:pPr>
        <w:sectPr>
          <w:pgSz w:w="11900" w:h="16838" w:orient="portrait"/>
          <w:cols w:equalWidth="0" w:num="1">
            <w:col w:w="10219"/>
          </w:cols>
          <w:pgMar w:left="240" w:top="291" w:right="1440" w:bottom="230" w:gutter="0" w:footer="0" w:header="0"/>
          <w:type w:val="continuous"/>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SUMMARY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following is a summary of certain information contained elsewhere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176"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THE COMPANIES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USA WASTE SERVICES, INC.</w:t>
      </w:r>
    </w:p>
    <w:p>
      <w:pPr>
        <w:spacing w:after="0" w:line="178"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USA Waste Services, Inc. ("USA Waste") is an integrated solid waste management company operating in the non-hazardous segment of the industry, including collection, transfer, recycling, disposal and soil remediation. USA Waste provides solid waste management services to the full spectrum of municipal, commercial, industrial and residential customers with operations in California, Illinois, Indiana, Missouri, New Jersey, North Dakota, Ohio, Oklahoma, Pennsylvania, Texas, Washington and West Virginia. Based on 1994 revenues, USA Waste is currently the sixth largest publicly traded non-hazardous solid waste management company in the United States and Chambers Development Company, Inc. is the fourth. Upon consummation of the Merger, USA Waste will become the third largest such company, based on information currently available to management. Chambers Acquisition Corporation ("Acquisition") is a wholly owned subsidiary of USA Waste organized for the purpose of effecting the Merger pursuant to the Merger Agreement. Acquisition has no material assets and has not engaged in any activities except in connection with the Merger.</w:t>
      </w:r>
    </w:p>
    <w:p>
      <w:pPr>
        <w:spacing w:after="0" w:line="341"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The principal executive offices of USA Waste and Acquisition are located at 5000 Quorum Drive, Suite 300, Dallas, Texas 75240, and the telephone number is</w:t>
      </w:r>
    </w:p>
    <w:p>
      <w:pPr>
        <w:ind w:left="8" w:right="3199" w:hanging="8"/>
        <w:spacing w:after="0" w:line="244" w:lineRule="auto"/>
        <w:tabs>
          <w:tab w:leader="none" w:pos="5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383-7900. References to USA Waste at the time of consummation of the Merger and thereafter shall mean the surviving Delaware corporation into which USA Waste merges for purposes of changing the domicile of USA Waste from Oklahoma to Delaware. See "The Reincorporation."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Chambers Development Company, Inc. ("Chambers") provides integrated solid waste services in the United States, with operations or properties at the end of 1994 in selected areas of Florida, Georgia, Illinois, Maryland, Mississippi, New Jersey, North Carolina, Ohio, Pennsylvania, South Carolina, Tennessee, Virginia, and West Virginia. Major elements of the business include the operation, management, construction and engineering of solid waste sanitary landfills, transfer stations, recycling facilities, and related operations. Chambers also provides the services of collecting, hauling and recycling solid waste for municipal, commercial, industrial and residential customers. The principal executive offices of Chambers are located at 10700 Frankstown Road, Pittsburgh, Pennsylvania 15235, and the telephone number is (412) 242-6237. See "Description of Chambers."</w:t>
      </w:r>
    </w:p>
    <w:p>
      <w:pPr>
        <w:spacing w:after="0" w:line="180"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THE SHAREHOLDERS' MEETINGS</w:t>
      </w:r>
    </w:p>
    <w:p>
      <w:pPr>
        <w:spacing w:after="0" w:line="35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USA Waste Annual Meeting will be held at 2:00 p.m., Dallas, Texas time on June 27, 1995, at The Grand Kempinski-Dallas Hotel, 15201 Dallas Parkway, Dallas, Texas, for the purpose of considering and acting upon proposals to (i) approve and adopt the Merger Agreement, (ii) elect directors for the ensuing year, (iii) change the domicile of USA Waste from Oklahoma to Delaware, (iv) provide for a classified Board of Directors, (v) increase the number of authorized shares of USA Waste Common Stock, (vi) increase the number of shares that may be issued under the USA Waste 1993 Stock Incentive Plan and (vii) ratify the appointment of USA Waste's auditors for the ensuing year. The Chambers Special Meeting will be held at 10:00 a.m., Dallas, Texas time on June 27, 1995, at The Grand Kempinski-Dallas Hotel, 15201 Dallas Parkway, Dallas, Texas, for the sole purpose of approving and adopting the Merger Agreement.</w:t>
      </w:r>
    </w:p>
    <w:p>
      <w:pPr>
        <w:spacing w:after="0" w:line="354"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Only those shareholders of USA Waste and stockholders of Chambers of record at the close of business on May 5, 1995 (the "Record Date"), are entitled to notice of, and to vote at, the USA Waste Annual Meeting and the Chambers Special Meeting, respectively.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rules of the NYSE, approval and adoption of the Merger Agreement require the affirmative vote of the holders of a majority of the shares of USA Waste Common Stock voted, in person or by proxy, at the USA Waste Annual Meeting, provided that the total vote cast on the proposal represents a majority of the shares entitled to vote thereon. At the close of business on the Record Date, there were 22,967,256 shares of USA Waste Common Stock outstanding and entitled to vote at the USA Waste Annual Meeting. All executive officers and directors of USA Waste who are shareholders of USA Waste, who collectively have the right to vote approximately 2,958,500 shares of USA Common Stock, representing approximately 12.9% of the shares outstanding as of the Record Date, have indicated to USA Waste that they intend to vote the shares of USA Waste Common Stock over which they have voting control in favor of the Merger Agreement. See "The Meetings -- Vote Required for Approval."</w:t>
      </w:r>
    </w:p>
    <w:p>
      <w:pPr>
        <w:spacing w:after="0" w:line="35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Delaware law and the terms of the Certificate of Incorporation of Chambers, approval and adoption of the Merger Agreement require the affirmative vote of a majority of the votes to which holders of shares of Chambers Common Stock and Chambers Class A Common Stock outstanding on the Record Date are entitled, voting together as a single class. At the close of business on the Record Date, there were 15,439,668 shares of Chambers Common Stock and 51,349,459 shares of Chambers Class A Common Stock outstanding and entitled to vote at the Chambers Special Meeting. Holders of Chambers Common Stock are entitled to ten votes per share and holders of Chambers Class A Common Stock are entitled to one vote per share. The executive officers and directors of Chambers who are stockholders of Chambers and certain principal stockholders of Chambers, who collectively have the right to vote approximately 13,478,850 shares of Chambers Common Stock and 11,706,980 shares of Chambers Class A Common Stock, representing approximately 71.2% of the votes outstanding as of the Record Date, have indicated to Chambers that they intend to vote such shares in favor of the Merger Agreement. The affirmative vote of such persons would be sufficient to approve the Merger Agreement. See "The Meetings -- Vote Required for Approval."</w:t>
      </w:r>
    </w:p>
    <w:p>
      <w:pPr>
        <w:spacing w:after="0" w:line="35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RECOMMENDATIONS OF THE BOARDS OF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of USA Waste has approved the Merger Agreement and has directed that it be submitted to the shareholders of USA Waste. The Board of Directors of USA Waste unanimously recommends that the shareholders of USA Waste approve and adopt the Merger Agreement. See "The Merger and Related Transactions -- Background of the Merger," "-- USA Waste's Reasons for the Merger" and "-- Recommendation of the Board of Directors of USA Waste." In considering the recommendation of the USA Waste Board of Directors with respect to the Merger, USA Waste shareholders should be aware that certain officers and directors of USA Waste have employment agreements that may require severance payments upon a change of control such as the Merger. See "The Merger and Related Transactions -- Conflicts of Interest."</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of Chambers has approved the Merger Agreement and has directed that it be submitted to the stockholders of Chambers. The Board of Directors of Chambers unanimously recommends that the stockholders of Chambers approve and adopt the Merger Agreement. See "The Merger and Related Transactions -- Background of the Merger," "-- Chambers' Reasons for the Merger" and "-- Recommendation of the Board of Directors of Chambers." In considering the recommendation of the Chambers' Board of Directors with respect to the Merger, Chambers stockholders should be aware that certain officers and directors of Chambers have direct or indirect interests in recommending the Merger, apart from their interests as stockholders of Chambers, which are not identical to those of unaffiliated stockholders of Chambers. See "The Merger and Related Transactions -- Conflicts of Interest."</w:t>
      </w:r>
    </w:p>
    <w:p>
      <w:pPr>
        <w:spacing w:after="0" w:line="18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Certain members of the Board of Directors and management of USA Waste and Chambers have certain interests separate from their interests as stockholders. Such conflicts of interest include: (i) certain officers of Chambers will become directors and/or officers of USA Waste upon consummation of the Merger, (ii) certain officers of Chambers and USA Waste have employment agreements that may require severance payments in the event of a "change of control" such as the Merger, (iii) upon consummation of the Merger, USA Waste has agreed to exercise an option to purchase certain land from John G. Rangos, Sr. and certain other affiliated persons, (iv) upon settlement of the Chambers shareholder litigation, certain officers of Chambers, doing business as Synergy Associates, have agreed to contribute a building, currently used as Chambers' headquarters, to Chambers, resulting in the extinguishment of future lease obligations of Chambers and the assumption by Chambers of the loan obligation of Synergy Associates as to which Chambers is guarantor, and (v) certain executive officers of Chambers hold options to acquire Chambers Class A Common Stock, which will become fully vested and exercisable immediately into shares of USA Waste Common Stock upon consummation of the Merger. For more information on such conflicts of interest, see "The Merger and Related Transactions -- Conflicts of Interest."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OPINIONS OF FINANCIAL ADVISORS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On December 19, 1994, the Board of Directors of USA Waste received a verbal opinion from Donaldson, Lufkin &amp; Jenrette Securities Corporation ("DLJ") to the effect that the Exchange Ratio (as hereinafter defined) is fair to the shareholders of USA Waste from a financial point of view, and on the date hereof received a written opinion to such effect. On December 19, 1994, the Board of Directors of Chambers received a written opinion from J.P. Morgan Securities Inc. ("J.P. Morgan") to the effect that the consideration to be received by the stockholders of Chambers in the Merger is fair from a financial point of view. J.P. Morgan confirmed, as of the date hereof, its opinion of December 19, 1994. The full text of the written opinions of DLJ and J.P. Morgan are attached to this Joint Proxy Statement and Prospectus as Appendices B and C, respectively. See "The Merger and Related Transactions -- Opinions of Financial Advisors."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Exchange Ratio. At the Effective Time (as hereinafter defined), Acquisition will merge with and into Chambers and Chambers will become a wholly owned subsidiary of USA Waste. In the Merger, each outstanding share of Chambers Common Stock and Chambers Class A Common Stock will be converted into .41667 of a share of USA Waste Common Stock (the "Exchange Ratio").</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Based upon the number of shares of common stock of USA Waste and Chambers outstanding as of the Record Date, approximately 50.8 million shares of USA Waste Common Stock will be outstanding immediately after the Effective Time, of which approximately 27.8 million shares, representing 54.8% of the total, will be held by former holders of Chambers Common Stock and Chambers Class A Common Stock.</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Fractional Shares. No fractional shares of USA Waste Common Stock will be issued pursuant to the Merger. In lieu of such fractional shares, each holder who would otherwise receive a fractional share will receive cash (without interest) in an amount equal to the product of such fractional part of a share of USA Waste Common Stock multiplied by the closing price of the USA Waste Common Stock on the last trading day preceding the Effective Time.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Effective Time of the Merger. The Merger will become effective upon the issuance of a certificate of merger by the Secretary of State of Delaware (the "Effective Time"). Assuming the requisite shareholder approval of the Merger Agreement is obtained, it is anticipated that the Effective Time of the Merger will occur as soon as practicable following the Meetings. If all other conditions to the Merger have not been satisfied prior to the Meetings, however, it is expected that the Merger will occur as soon as practicable after such conditions have been satisfied or waived.</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Exchange of Chambers Common Stock Certificates. Promptly after consummation of the Merger, The First National Bank of Boston (the "Exchange Agent") will mail a letter of transmittal with instructions to</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each holder of record of Chambers Common Stock and Chambers Class A Common Stock for use in exchanging certificates representing shares of Chambers Common Stock and Chambers Class A Common Stock for certificates representing shares of USA Waste Common Stock and cash in lieu of any fractional shares. CERTIFICATES SHOULD NOT BE SURRENDERED BY THE HOLDERS OF CHAMBERS COMMON STOCK AND CHAMBERS CLASS A COMMON STOCK UNTIL THEY HAVE RECEIVED THE LETTER OF TRANSMITTAL FROM THE EXCHANGE AGENT. See "The Plan of Merger and Terms of the Merger -- Manner and Basis for Converting Shares."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Assumption of Chambers Options. Pursuant to the Merger Agreement and immediately after the Effective Time, USA Waste will assume the obligations under each outstanding option to purchase Chambers Class A Common Stock (a "Chambers Option") that remains unexercised in whole or in part. Accordingly, each Chambers Option will remain outstanding as an option to purchase, in place of the shares of Chambers Class A Common Stock previously subject to such Chambers Option, that number of shares of USA Waste Common Stock equal to the product of the number of shares of Chambers Class A Common Stock subject to the Chambers Option multiplied by the Exchange Ratio. The exercise price per share of USA Waste Common Stock will be equal to the previous exercise price per share under the Chambers Option divided by the Exchange Ratio. See "The Plan of Merger and Terms of the Merger -- Chambers Options." Ten of the executive officers of Chambers hold options to acquire 860,600 shares of Chambers Class A Common Stock pursuant to the terms of certain stock option agreements, at exercise prices ranging from $2.25 to $17.44. See "The Merger and Related Transactions -- Conflicts of Interest."</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Indemnification. The Merger Agreement provides that the officers, directors, employees and agents of Chambers will be indemnified against certain liabilities and costs, including those arising out of, relating to or in connection with any action or omission occurring prior to the Effective Time or arising out of or pertaining to the transactions contemplated by the Merger Agreement. See "The Plan of Merger and Terms of the Merger -- Indemnification."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Certain Federal Income Tax Consequences. USA Waste has received an opinion of its counsel to the effect that no gain or loss will be recognized by USA Waste or Acquisition for federal income tax purposes as a result of consummation of the Merger. Chambers has received an opinion of its counsel to the effect that no gain or loss will be recognized for federal income tax purposes by Chambers or holders of Chambers Common Stock or Chambers Class A Common Stock as a result of consummation of the Merger, except for gain or loss attributable to cash received in lieu of fractional shares. Receipt of these opinions is a condition precedent to the consummation of the Merger. See "The Merger and Related Transactions -- Certain Federal Income Tax Consequences."</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Accounting Treatment. It is a condition precedent to the closing of the Merger that USA Waste will receive a letter from Coopers &amp; Lybrand L.L.P., independent public accountants, that the Merger will qualify as a "pooling of interests" for accounting and financial reporting purposes. See "The Merger and Related Transactions -- Accounting Treatment."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Certain Chambers Litigation. In 1992, Chambers and its affiliates became defendants in a number of federal and state lawsuits arising from an announcement of a change in Chambers' accounting method in March 1992 and a subsequent $362 million reduction in retained earnings as of December 31, 1991. In addition, in 1992, the Commission initiated an investigation with respect to Chambers' accounting method and the accuracy of its financial statements and into the possibility that persons or entities had traded in Chambers' securities on the basis of inside information prior to the announcement of the change in accounting policies. On February 24, 1995, Chambers and shareholder representatives executed definitive agreements providing for the settlement and dismissal of the shareholder litigation and the payment of up to $85.9 million by Chambers. On March 22, 1995, the court granted preliminary approval of the settlements and the distribution of notices to Chambers' stockholders and the plaintiff class members regarding the settlements. A hearing upon the fairness, reasonableness and adequacy of the proposed settlements has been scheduled for May 19, 1995. In connection with the Commission investigation, on May 9, 1995, the Commission announced the filing of a complaint against Chambers alleging that Chambers violated the antifraud provisions of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18" w:name="page19"/>
    <w:bookmarkEnd w:id="18"/>
    <w:p>
      <w:pPr>
        <w:ind w:left="268"/>
        <w:spacing w:after="0"/>
        <w:rPr>
          <w:sz w:val="20"/>
          <w:szCs w:val="20"/>
          <w:color w:val="auto"/>
        </w:rPr>
      </w:pPr>
      <w:r>
        <w:rPr>
          <w:rFonts w:ascii="Courier New" w:cs="Courier New" w:eastAsia="Courier New" w:hAnsi="Courier New"/>
          <w:sz w:val="15"/>
          <w:szCs w:val="15"/>
          <w:color w:val="auto"/>
        </w:rPr>
        <w:t>18</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Securities Act and the antifraud, reporting, internal controls and recordkeeping provisions of the Exchange Act. Chambers simultaneously consented, without admitting or denying the allegations, to the entry of an order enjoining it from violating certain provisions of the Securities Act and the Exchange Act and requiring Chambers to pay a civil penalty of $500,000. For a description of the lawsuits, the settlement agreements and the Commission investigation, see "Description of Chambers -- Legal Proceedings." Consummation of the Merger is conditioned upon the shareholder litigation having been fully and irrevocably settled and receipt of approval of the Commission to a consent order with respect to the Commission's investigation as to Chambers' accounting method and the accuracy of its financial statements upon terms and conditions satisfactory to USA Waste. See "The Merger and Related Transactions -- Settlement of Certain Chambers Litigation."</w:t>
      </w:r>
    </w:p>
    <w:p>
      <w:pPr>
        <w:spacing w:after="0" w:line="18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Governmental and Regulatory Approvals. Consummation of the Merger is conditioned upon the expiration or termination of the waiting period applicable under the Hart-Scott-Rodino Antitrust Improvements Act of 1976, as amended (the "HSR Act"). On March 1, 1995, and March 10, 1995, USA Waste and Chambers, respectively, filed notification reports under the HSR Act with the Federal Trade Commission and the Antitrust Division of the Department of Justice. The waiting period expired on April 9, 1995. See "The Merger and Related Transactions -- Government and Regulatory Approvals." USA Waste and Chambers are aware of no other governmental or regulatory approvals required for consummation of the Merger, other than as required to comply with applicable federal and state securities laws.</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No Injunction Preventing Merger. Consummation of the Merger is subject to the condition that no injunction or decree by any federal or state court that prevents the consummation of the Merger shall have been issued and remain in effect. Between December 1994 and February 1995, three class action lawsuits naming Chambers and its officers and directors and USA Waste and Envirofil, Inc. ("Envirofil"), a subsidiary of USA Waste, which was originally a party to the Merger Agreement in place of Acquisition, as defendants were filed in the State of Delaware seeking an injunction to the consummation of the Merger. Counsel for the parties have engaged in settlement discussions and, based thereon, USA Waste and Chambers anticipate a definitive agreement, subject to court approval, will be finalized before the USA Waste Annual Meeting and the Chambers Special Meeting. See "Description of USA Waste -- Legal Proceedings" and "Description of Chambers -- Legal Proceedings."</w:t>
      </w:r>
    </w:p>
    <w:p>
      <w:pPr>
        <w:spacing w:after="0" w:line="18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Other Conditions to the Merger. In addition to the approval and adoption of the Merger Agreement by the requisite votes of USA Waste shareholders and Chambers stockholders and the satisfaction of the conditions described above, the respective obligations of USA Waste and Chambers to effect the Merger are subject to the satisfaction or waiver, where permissible, of certain other conditions, including, without limitation, (i) the shares of USA Waste Common Stock issuable in the Merger shall have been authorized for listing on the NYSE, subject to official notice of issuance; (ii) receipt of letters from each of Coopers &amp; Lybrand L.L.P. and Deloitte &amp; Touche LLP, certified public accountants, to USA Waste and Chambers' respectively, with respect to certain financial information included in this Joint Proxy Statement and Prospectus;</w:t>
      </w:r>
    </w:p>
    <w:p>
      <w:pPr>
        <w:spacing w:after="0" w:line="7" w:lineRule="exact"/>
        <w:rPr>
          <w:sz w:val="20"/>
          <w:szCs w:val="20"/>
          <w:color w:val="auto"/>
        </w:rPr>
      </w:pPr>
    </w:p>
    <w:p>
      <w:pPr>
        <w:ind w:left="8" w:right="3019" w:hanging="8"/>
        <w:spacing w:after="0" w:line="244" w:lineRule="auto"/>
        <w:tabs>
          <w:tab w:leader="none" w:pos="5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lenders of USA Waste and Chambers or the refinancing of Chambers' outstanding bank indebtedness; and (iv) the opinions of the financial advisors shall not have been withdrawn. With respect to the required consents of lenders or refinancing, USA Waste and Chambers currently intend to obtain a new credit facility effective upon consummation of the Merger pursuant to which the outstanding indebtedness of each company would be refinanced. There can be no assurance that such a facility will be obtained or that all of the conditions set forth in the Merger Agreement will be satisfied. See "The Plan of Merger and Terms of the Merger -- Conditions to the Merger."</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 SOLICITATION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Merger Agreement provides that neither Chambers nor USA Waste will initiate, solicit, negotiate, encourage, or provide confidential information to facilitate, and each of Chambers and USA Waste will (i) cause any officer, director, or employee of, or any attorney, accountant, or other agent retained by it and (ii) use its reasonable best efforts to cause any financial advisor or investment banker retained by it, not to initiate, solicit, negotiate, encourage, or provide non-public or confidential information to facilitate, any proposal or offer to acquire all or any substantial part of the business and properties or any capital stock of Chambers or USA Waste. Notwithstanding the foregoing, Chambers or USA Waste may, under certain</w:t>
      </w:r>
    </w:p>
    <w:p>
      <w:pPr>
        <w:sectPr>
          <w:pgSz w:w="11900" w:h="16838" w:orient="portrait"/>
          <w:cols w:equalWidth="0" w:num="1">
            <w:col w:w="10227"/>
          </w:cols>
          <w:pgMar w:left="232" w:top="291" w:right="1440" w:bottom="1440" w:gutter="0" w:footer="0" w:header="0"/>
        </w:sectPr>
      </w:pPr>
    </w:p>
    <w:p>
      <w:pPr>
        <w:spacing w:after="0" w:line="180" w:lineRule="exact"/>
        <w:rPr>
          <w:sz w:val="20"/>
          <w:szCs w:val="20"/>
          <w:color w:val="auto"/>
        </w:rPr>
      </w:pPr>
    </w:p>
    <w:p>
      <w:pPr>
        <w:ind w:left="3608"/>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27"/>
          </w:cols>
          <w:pgMar w:left="232" w:top="291" w:right="1440" w:bottom="1440" w:gutter="0" w:footer="0" w:header="0"/>
          <w:type w:val="continuous"/>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circumstances, furnish confidential or non-public information concerning its business, properties, or assets in response to an unsolicited request therefor. Chambers or USA Waste may enter into a definitive agreement for such acquisition with a potential acquiror with which it is permitted to negotiate, but only if</w:t>
      </w:r>
    </w:p>
    <w:p>
      <w:pPr>
        <w:spacing w:after="0" w:line="1" w:lineRule="exact"/>
        <w:rPr>
          <w:sz w:val="20"/>
          <w:szCs w:val="20"/>
          <w:color w:val="auto"/>
        </w:rPr>
      </w:pPr>
    </w:p>
    <w:p>
      <w:pPr>
        <w:jc w:val="both"/>
        <w:ind w:left="8" w:right="3019" w:hanging="8"/>
        <w:spacing w:after="0" w:line="262" w:lineRule="auto"/>
        <w:tabs>
          <w:tab w:leader="none" w:pos="36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its board of directors has duly determined that such transaction would yield a materially higher value to its stockholders than the Merger and that execution of such definitive agreement is in the best interests of its stockholders, (ii) at least ten business days prior to the execution of such definitive agreement, it has furnished the other party with a copy of such definitive agreement, and</w:t>
      </w:r>
    </w:p>
    <w:p>
      <w:pPr>
        <w:spacing w:after="0" w:line="1" w:lineRule="exact"/>
        <w:rPr>
          <w:rFonts w:ascii="Courier New" w:cs="Courier New" w:eastAsia="Courier New" w:hAnsi="Courier New"/>
          <w:sz w:val="14"/>
          <w:szCs w:val="14"/>
          <w:color w:val="auto"/>
        </w:rPr>
      </w:pPr>
    </w:p>
    <w:p>
      <w:pPr>
        <w:ind w:left="8" w:right="3199" w:hanging="8"/>
        <w:spacing w:after="0" w:line="244" w:lineRule="auto"/>
        <w:tabs>
          <w:tab w:leader="none" w:pos="5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party has failed within such ten-day period to offer to amend the terms of the Merger Agreement in order that the Merger would yield a value to such party's stockholders at least equal to the third party acquisition transaction. See "The Merger Agreement and Terms of the Merger -- No Solicitation of Acquisition Transactions."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TERMINATION OR AMENDMENT OF MERGER AGREEMENT</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Termination. The Merger Agreement may be terminated under certain circumstances, including (a) with the mutual consent of USA Waste and Chambers or (b) either by USA Waste or Chambers at any time prior to the consummation of the Merger (i) if the Merger is not completed by July 31, 1995 for reasons other than delay on the part of the party requesting termination (the "Terminating Party") or any of its 5% stockholders or any of their affiliates or associates,</w:t>
      </w:r>
    </w:p>
    <w:p>
      <w:pPr>
        <w:spacing w:after="0" w:line="1" w:lineRule="exact"/>
        <w:rPr>
          <w:sz w:val="20"/>
          <w:szCs w:val="20"/>
          <w:color w:val="auto"/>
        </w:rPr>
      </w:pPr>
    </w:p>
    <w:p>
      <w:pPr>
        <w:ind w:left="8" w:right="3019" w:hanging="8"/>
        <w:spacing w:after="0" w:line="262" w:lineRule="auto"/>
        <w:tabs>
          <w:tab w:leader="none" w:pos="45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is enjoined by a final, unappealable court order not entered into at the request or with the support of the Terminating Party or any of its 5% stockholders or any of their affiliates or associates, (iii) if (x) the Terminating Party receives an offer from any third party with respect to a merger, sale of substantial assets or other business combination, (y) the Board of Directors of the Terminating Party determines, in good faith and after consultation with an independent financial advisor, that such offer would yield a materially higher value for the Terminating Party or its stockholders than the Merger, and (z) the other party fails, within ten business days after notice, to match such offer, (iv) if (x) a tender offer or exchange offer is commenced by a third party for all of the outstanding shares of the Terminating Party's stock,</w:t>
      </w:r>
    </w:p>
    <w:p>
      <w:pPr>
        <w:spacing w:after="0" w:line="2" w:lineRule="exact"/>
        <w:rPr>
          <w:rFonts w:ascii="Courier New" w:cs="Courier New" w:eastAsia="Courier New" w:hAnsi="Courier New"/>
          <w:sz w:val="14"/>
          <w:szCs w:val="14"/>
          <w:color w:val="auto"/>
        </w:rPr>
      </w:pPr>
    </w:p>
    <w:p>
      <w:pPr>
        <w:ind w:left="8" w:right="3019" w:hanging="8"/>
        <w:spacing w:after="0" w:line="244"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Terminating Party determines, in good faith and after consultation with an independent financial advisor, that such offer would yield a materially higher value for the Terminating Party or its stockholders than the Merger, and (z) the other party fails, within ten business days after notice of such determination and of the terms of the offer, to match such offer; or (v) if the party other than the Terminating Party (x) fails to perform any material covenant contained in the Merger Agreement in any material respect and (y) does not so perform within 30 days after the Terminating Party delivers written notice of the alleged failure. As of the date of this Joint Proxy Statement and Prospectus, neither party has received an acquisition offer of the nature described in clause (iii) above nor is either party aware of the commencement of a tender offer or exchange offer of the nature described in clause (iv) above.</w:t>
      </w:r>
    </w:p>
    <w:p>
      <w:pPr>
        <w:spacing w:after="0" w:line="18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Amendment. The Merger Agreement may be amended or supplemented by an instrument in writing signed on behalf of each party and in compliance with applicable law. Such amendment may occur at any time, including after the Merger Agreement has been approved by the shareholders of USA Waste and the stockholders of Chambers at the Meetings. See "The Plan of Merger and Terms of the Merger -- Termination or Amendment."</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Termination Fees; Expenses. Under certain circumstances, USA Waste or Chambers may be required to pay the other a fee and to reimburse the other for its expenses upon termination of the Merger Agreement. Certain expenses incurred in connection with this Joint Proxy Statement and Prospectus will be shared equally by USA Waste and Chambers. All other costs and expenses incurred in connection with the Merger Agreement and the transactions contemplated thereby shall be paid by the party incurring such expenses, whether or not the Merger is consummated. See "The Plan of Merger and Terms of the Merger -- Termination Fees" and " -- Expenses."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SHAREHOLDERS AGREEMENT</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Certain of the principal shareholders of USA Waste and Chambers will enter into a Shareholders Agreement (the "Shareholders Agreement") at the Effective Time of the Merger. The Shareholders Agreement will provide, among other things, for certain matters to require the approval of a two-thirds vote of the Board of Directors and for certain members of the Rangos family, principal shareholders of Chambers</w:t>
      </w:r>
    </w:p>
    <w:p>
      <w:pPr>
        <w:sectPr>
          <w:pgSz w:w="11900" w:h="16838" w:orient="portrait"/>
          <w:cols w:equalWidth="0" w:num="1">
            <w:col w:w="10227"/>
          </w:cols>
          <w:pgMar w:left="232" w:top="291" w:right="1440" w:bottom="1440" w:gutter="0" w:footer="0" w:header="0"/>
        </w:sectPr>
      </w:pPr>
    </w:p>
    <w:p>
      <w:pPr>
        <w:spacing w:after="0" w:line="177" w:lineRule="exact"/>
        <w:rPr>
          <w:sz w:val="20"/>
          <w:szCs w:val="20"/>
          <w:color w:val="auto"/>
        </w:rPr>
      </w:pPr>
    </w:p>
    <w:p>
      <w:pPr>
        <w:ind w:left="3608"/>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27"/>
          </w:cols>
          <w:pgMar w:left="232" w:top="291"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("Rangos Shareholders"), to participate in the naming of members of USA Waste's Board of Directors and Executive Committee. The Shareholders Agreement will remain in effect until the aggregate number of shares of USA Waste Common Stock beneficially held by the Rangos Shareholders and their affiliates is less than 5% of the outstanding shares of USA Waste Common Stock. Pursuant to the Shareholders Agreement, USA Waste and Messrs. Moorehead and Drury will agree to use their best efforts to cause two representatives of the Rangos Shareholders (who initially will be John G. Rangos, Sr. and Alexander W. Rangos) to be appointed as directors of USA Waste. In addition, during the term of the Shareholders Agreement, USA Waste, Messrs. Moorehead and Drury, and the Rangos Shareholders will use their best efforts to cause the Board of Directors to include at all times (in addition to the two directors designated by the Rangos Shareholders) four independent directors who are approved by at least four members of the Executive Committee of the Board of Directors. The Shareholders Agreement will also provide that USA Waste and Messrs. Moorehead and Drury will use their best efforts to establish and maintain an Executive Committee of the Board of Directors consisting of five directors and to cause the Executive Committee to include the two directors designated by the Rangos Shareholders. It is currently anticipated that the four independent directors to be approved by the Executive Committee will be George L. Ball, Richard J. Heckmann, William E. Moffett and Peter J. Gibbons. See "Election of USA Waste Directors -- Nominees for Election as Directors."</w:t>
      </w:r>
    </w:p>
    <w:p>
      <w:pPr>
        <w:spacing w:after="0" w:line="18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Following the Merger, John E. Drury will be Chairman of USA Waste, Donald F. Moorehead, Jr. and John G. Rangos, Sr. will become Vice Chairmen, and Alexander W. Rangos will become Executive Vice President for Landfill Development. See "The Plan of Merger and Terms of the Merger -- Conduct of the Business of the Combined Companies Following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Neither Oklahoma law nor Delaware law requires that holders of USA Waste Common Stock or Chambers Common Stock or Chambers Class A Common Stock who object to the Merger and who vote against or abstain from voting in favor of the Merger be afforded any appraisal rights or the right to receive cash for their shares. Neither USA Waste nor Chambers intends to make available any such rights to its shareholders or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ADOPTION OF THE MERGER PROPOSAL</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to the Merger proposal, shareholders of USA Waste are being asked to approve several other proposals, including an increase in authorized shares of USA Waste Common Stock from 50,000,000 to 150,000,000. Adoption of the Merger proposal is conditioned upon approval of the increase in authorized shares of USA Waste Common Stock by the USA Waste shareholders. See "-- Other Proposals to be Presented at the USA Waste Annual Meeting." Adoption of the proposal approving an increase in authorized shares is also conditioned upon approval of the Merger.</w:t>
      </w:r>
    </w:p>
    <w:p>
      <w:pPr>
        <w:spacing w:after="0" w:line="178"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STOCKHOLDERS' COMPARATIVE RIGHTS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rights of stockholders of Chambers are currently governed by Delaware law, Chambers' Certificate of Incorporation, as amended, and Chambers' Bylaws, as amended. Approval of the reincorporation proposal by USA Waste shareholders will change USA Waste's domicile from Oklahoma to Delaware through a merger (the "Reincorporation Merger") of USA Waste into USA Delaware. The merger agreement governing the Reincorporation Merger permits the Board of Directors of USA Waste or USA Delaware to abandon the Reincorporation Merger. Assuming that the Reincorporation Merger is consummated, the rights of USA Waste's shareholders after the Merger (including those persons who were stockholders in Chambers prior to the Merger) will be governed by Delaware law and the Certificate of Incorporation and Bylaws of USA Delaware. If the Reincorporation Merger is not approved or is abandoned, the rights of USA Waste's shareholders after the Merger (including those persons who were stockholders in Chambers prior to the Merger) will be governed by Oklahoma law, and USA Waste's Certificate of Incorporation and USA Waste's Bylaws, as amended. In addition, all holders of USA Waste's Common Stock hold shares of a single class, whereas Chambers maintains a two class equity structure. As a result, holders of Chambers Class A Common Stock will lose their preferential dividend rights and the exclusive right to elect one-fourth of the number (or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next higher whole number) of directors while participating in the election of the remaining directors; holders of Chambers Common Stock will lose their preferential voting rights upon consummation of the Merger. See "Comparative Rights of Stockholders of USA Waste and Chambers."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MARKET PRICE DATA</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Common Stock is traded on the NYSE under the symbol "UW." Prior to July 20, 1993, USA Waste Common Stock was quoted on the Nasdaq National Market ("Nasdaq"). Chambers Common Stock and Chambers Class A Common Stock are traded on the AMEX under the symbols "CDVB" and "CDVA," respectively. The following table sets forth the range of high and low closing sale prices for USA Waste Common Stock as reported on the NYSE and Chambers Common Stock and Chambers Class A Common Stock as reported on the AMEX for the calendar quarters indicated. For periods prior to July 20, 1993, prices indicated for USA Waste Common Stock reflect high and low closing sales prices as quoted on the Nasdaq.</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7"/>
              </w:rPr>
              <w:t>CHAMBERS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3"/>
        </w:trPr>
        <w:tc>
          <w:tcPr>
            <w:tcW w:w="3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CLASS A COMMON</w:t>
            </w:r>
          </w:p>
        </w:tc>
      </w:tr>
      <w:tr>
        <w:trPr>
          <w:trHeight w:val="173"/>
        </w:trPr>
        <w:tc>
          <w:tcPr>
            <w:tcW w:w="3420" w:type="dxa"/>
            <w:vAlign w:val="bottom"/>
          </w:tcPr>
          <w:p>
            <w:pPr>
              <w:spacing w:after="0"/>
              <w:rPr>
                <w:sz w:val="15"/>
                <w:szCs w:val="15"/>
                <w:color w:val="auto"/>
              </w:rPr>
            </w:pP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USA WASTE</w:t>
            </w:r>
          </w:p>
        </w:tc>
        <w:tc>
          <w:tcPr>
            <w:tcW w:w="400" w:type="dxa"/>
            <w:vAlign w:val="bottom"/>
          </w:tcPr>
          <w:p>
            <w:pPr>
              <w:spacing w:after="0"/>
              <w:rPr>
                <w:sz w:val="15"/>
                <w:szCs w:val="15"/>
                <w:color w:val="auto"/>
              </w:rPr>
            </w:pPr>
          </w:p>
        </w:tc>
        <w:tc>
          <w:tcPr>
            <w:tcW w:w="12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w w:val="98"/>
              </w:rPr>
              <w:t>COMMON STOCK</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w:t>
            </w: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17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HIGH</w:t>
            </w: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LOW</w:t>
            </w:r>
          </w:p>
        </w:tc>
        <w:tc>
          <w:tcPr>
            <w:tcW w:w="40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HIGH</w:t>
            </w:r>
          </w:p>
        </w:tc>
        <w:tc>
          <w:tcPr>
            <w:tcW w:w="240" w:type="dxa"/>
            <w:vAlign w:val="bottom"/>
          </w:tcPr>
          <w:p>
            <w:pPr>
              <w:spacing w:after="0"/>
              <w:rPr>
                <w:sz w:val="15"/>
                <w:szCs w:val="15"/>
                <w:color w:val="auto"/>
              </w:rPr>
            </w:pP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LOW</w:t>
            </w:r>
          </w:p>
        </w:tc>
        <w:tc>
          <w:tcPr>
            <w:tcW w:w="540" w:type="dxa"/>
            <w:vAlign w:val="bottom"/>
          </w:tcPr>
          <w:p>
            <w:pPr>
              <w:spacing w:after="0"/>
              <w:rPr>
                <w:sz w:val="15"/>
                <w:szCs w:val="15"/>
                <w:color w:val="auto"/>
              </w:rPr>
            </w:pP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HIGH</w:t>
            </w:r>
          </w:p>
        </w:tc>
        <w:tc>
          <w:tcPr>
            <w:tcW w:w="680" w:type="dxa"/>
            <w:vAlign w:val="bottom"/>
          </w:tcPr>
          <w:p>
            <w:pPr>
              <w:spacing w:after="0"/>
              <w:rPr>
                <w:sz w:val="15"/>
                <w:szCs w:val="15"/>
                <w:color w:val="auto"/>
              </w:rPr>
            </w:pP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LOW</w:t>
            </w:r>
          </w:p>
        </w:tc>
      </w:tr>
      <w:tr>
        <w:trPr>
          <w:trHeight w:val="173"/>
        </w:trPr>
        <w:tc>
          <w:tcPr>
            <w:tcW w:w="34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$14.50</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$13.25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13.75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11.75</w:t>
            </w:r>
          </w:p>
        </w:tc>
        <w:tc>
          <w:tcPr>
            <w:tcW w:w="4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4.81</w:t>
            </w: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15.00</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11.50</w:t>
            </w:r>
          </w:p>
        </w:tc>
        <w:tc>
          <w:tcPr>
            <w:tcW w:w="4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5.25</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c>
          <w:tcPr>
            <w:tcW w:w="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5.38</w:t>
            </w: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9.75</w:t>
            </w:r>
          </w:p>
        </w:tc>
        <w:tc>
          <w:tcPr>
            <w:tcW w:w="4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4.50</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c>
          <w:tcPr>
            <w:tcW w:w="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$15.00</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$11.38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13.38</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10.58</w:t>
            </w:r>
          </w:p>
        </w:tc>
        <w:tc>
          <w:tcPr>
            <w:tcW w:w="4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4.00</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c>
          <w:tcPr>
            <w:tcW w:w="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4.13</w:t>
            </w: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15.13</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11.50</w:t>
            </w:r>
          </w:p>
        </w:tc>
        <w:tc>
          <w:tcPr>
            <w:tcW w:w="4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2.88</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15.13</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11.00</w:t>
            </w:r>
          </w:p>
        </w:tc>
        <w:tc>
          <w:tcPr>
            <w:tcW w:w="4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4.25</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$12.25</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$10.13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Second Quarter (through May 15)......</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16.00</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11.50</w:t>
            </w:r>
          </w:p>
        </w:tc>
        <w:tc>
          <w:tcPr>
            <w:tcW w:w="400" w:type="dxa"/>
            <w:vAlign w:val="bottom"/>
          </w:tcPr>
          <w:p>
            <w:pPr>
              <w:spacing w:after="0"/>
              <w:rPr>
                <w:sz w:val="15"/>
                <w:szCs w:val="15"/>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5.88</w:t>
            </w:r>
          </w:p>
        </w:tc>
        <w:tc>
          <w:tcPr>
            <w:tcW w:w="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c>
          <w:tcPr>
            <w:tcW w:w="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5.88</w:t>
            </w:r>
          </w:p>
        </w:tc>
        <w:tc>
          <w:tcPr>
            <w:tcW w:w="6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bl>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November 25, 1994, the last trading day prior to announcement by USA Waste and Chambers that they had reached an agreement concerning the Merger, the closing sale price of USA Waste Common Stock as reported on the NYSE was $14.00 per share and the closing sale prices of Chambers Common Stock and Chambers Class A Common Stock as reported on the AMEX were $3.13 and $3.00 per share, respectively. The equivalent per share price of Chambers Common Stock and Chambers Class A Common Stock on November 25, 1994, calculated by multiplying the closing sale price of USA Waste Common Stock on the same date by the Exchange Ratio, was $5.83.</w:t>
      </w:r>
    </w:p>
    <w:p>
      <w:pPr>
        <w:spacing w:after="0" w:line="352"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On May 15, 1995, the closing sale price of USA Waste Common Stock as reported on the NYSE was $15.38 per share; and the closing sale prices of Chambers Common Stock and Chambers Class A Common Stock on the AMEX were $5.88 and $5.75, respectively. Following the Merger, USA Waste Common Stock will continue to be traded on the NYSE under the symbol "UW", and the listing of Chambers Common Stock and Chambers Class A Common Stock on the AMEX will be terminated.</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22</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SUMMARY FINANCIAL INFORMATION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HISTORICAL CONSOLIDATED FINANCIAL DATA</w:t>
      </w:r>
    </w:p>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following summary historical consolidated financial data of USA Waste and Chambers for each of the three years in the period ended December 31, 1994, have been derived from their respective historical audited consolidated financial statements and for the three-month periods ended March 31, 1994 and 1995, have been derived from their respective historical unaudited consolidated financial statements. Such unaudited data for USA Waste include, in the opinion of USA Waste's management, and such unaudited data for Chambers include, in the opinion of Chambers' management, all adjustments necessary to present fairly the information for such periods. The historical financial data is not necessarily indicative of results to be expected after the Merger is consummated. The financial data should be read in conjunction with the separate audited consolidated financial statements and the notes thereto and with Management's Discussion and Analysis of Financial Condition and Results of Operations of USA Waste and Chambers located elsewhere herein.</w:t>
      </w:r>
    </w:p>
    <w:p>
      <w:pPr>
        <w:spacing w:after="0" w:line="35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80" w:type="dxa"/>
            <w:vAlign w:val="bottom"/>
          </w:tcPr>
          <w:p>
            <w:pPr>
              <w:jc w:val="right"/>
              <w:spacing w:after="0"/>
              <w:rPr>
                <w:sz w:val="20"/>
                <w:szCs w:val="20"/>
                <w:color w:val="auto"/>
              </w:rPr>
            </w:pPr>
            <w:r>
              <w:rPr>
                <w:rFonts w:ascii="Courier New" w:cs="Courier New" w:eastAsia="Courier New" w:hAnsi="Courier New"/>
                <w:sz w:val="15"/>
                <w:szCs w:val="15"/>
                <w:color w:val="auto"/>
              </w:rPr>
              <w:t>USA WASTE SERVICES, INC.</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867"/>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w w:val="98"/>
              </w:rPr>
              <w:t>THREE MONTHS ENDED</w:t>
            </w:r>
          </w:p>
        </w:tc>
      </w:t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5"/>
          </w:tcPr>
          <w:p>
            <w:pPr>
              <w:jc w:val="right"/>
              <w:ind w:right="605"/>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5"/>
                <w:szCs w:val="15"/>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46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Courier New" w:cs="Courier New" w:eastAsia="Courier New" w:hAnsi="Courier New"/>
                <w:sz w:val="6"/>
                <w:szCs w:val="6"/>
                <w:color w:val="auto"/>
                <w:w w:val="79"/>
              </w:rPr>
              <w: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2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240" w:type="dxa"/>
            <w:vAlign w:val="bottom"/>
          </w:tcPr>
          <w:p>
            <w:pPr>
              <w:spacing w:after="0"/>
              <w:rPr>
                <w:sz w:val="15"/>
                <w:szCs w:val="15"/>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1993</w:t>
            </w:r>
          </w:p>
        </w:tc>
        <w:tc>
          <w:tcPr>
            <w:tcW w:w="240" w:type="dxa"/>
            <w:vAlign w:val="bottom"/>
          </w:tcPr>
          <w:p>
            <w:pPr>
              <w:spacing w:after="0"/>
              <w:rPr>
                <w:sz w:val="15"/>
                <w:szCs w:val="15"/>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5"/>
                <w:szCs w:val="15"/>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10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$ 57,049</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$ 93,753</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$176,235</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$ 38,205</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$ 46,508</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Operating......................................</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28,128</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49,251</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101,069</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21,915</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25,496</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General and administrative.....................</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11,612</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17,497</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23,463</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5,321</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6,087</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Nonrecurring charges...........................</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6,756</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923</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3,782</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Depreciation and amortization..................</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5,776</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10,558</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18,785</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4,393</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5,408</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52,272</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78,229</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147,099</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31,629</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36,991</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Income from operations...........................</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4,777</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15,524</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29,136</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6,576</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9,517</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Interest expense...............................</w:t>
            </w:r>
          </w:p>
        </w:tc>
        <w:tc>
          <w:tcPr>
            <w:tcW w:w="10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(4,212)</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(6,856)</w:t>
            </w:r>
          </w:p>
        </w:tc>
        <w:tc>
          <w:tcPr>
            <w:tcW w:w="2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(10,385)</w:t>
            </w:r>
          </w:p>
        </w:tc>
        <w:tc>
          <w:tcPr>
            <w:tcW w:w="2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(2,457)</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(3,152)</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Interest income................................</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610</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1,113</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591</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116</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288</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Other, net.....................................</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2,249</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947</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(3,587)</w:t>
            </w:r>
          </w:p>
        </w:tc>
        <w:tc>
          <w:tcPr>
            <w:tcW w:w="2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(4,921)</w:t>
            </w:r>
          </w:p>
        </w:tc>
        <w:tc>
          <w:tcPr>
            <w:tcW w:w="2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(7,545)</w:t>
            </w:r>
          </w:p>
        </w:tc>
        <w:tc>
          <w:tcPr>
            <w:tcW w:w="2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(2,236)</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(1,917)</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Income before income taxes.......................</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1,190</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10,603</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21,591</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4,340</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7,600</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Income tax provision.............................</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3,955</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5,413</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7,760</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1,636</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2,812</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10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(2,765)</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5,190</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13,831</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2,704</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4,788</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Gain on discontinued operations, net of income</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taxes..........................................</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897</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Extraordinary income from debt forgiveness, net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of income taxes................................</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10,066</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Net income.......................................</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8,198</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5,190</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13,831</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2,704</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4,788</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Preferred dividends..............................</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582</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565</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380</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Income available to common shareholders..........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8,046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4,608</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$ 13,266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2,324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4,788</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per</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common share...................................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0.21</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Income per common share..........................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0.21</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equivalent shares..............................</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14,878</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18,056</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21,842</w:t>
            </w:r>
          </w:p>
        </w:tc>
        <w:tc>
          <w:tcPr>
            <w:tcW w:w="2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19,408</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23,259</w:t>
            </w:r>
          </w:p>
        </w:tc>
      </w:tr>
      <w:tr>
        <w:trPr>
          <w:trHeight w:val="173"/>
        </w:trPr>
        <w:tc>
          <w:tcPr>
            <w:tcW w:w="46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Working capital (deficit)........................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8,828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8,619</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$ 19,042</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Intangible assets, net...........................</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26,645</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49,631</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87,680</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88,161</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Total assets.....................................</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141,466</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238,819</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323,167</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338,224</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Long-term debt, including current maturities.....</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58,505</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115,174</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155,733</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169,450</w:t>
            </w:r>
          </w:p>
        </w:tc>
      </w:tr>
      <w:tr>
        <w:trPr>
          <w:trHeight w:val="173"/>
        </w:trPr>
        <w:tc>
          <w:tcPr>
            <w:tcW w:w="46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Stockholders' equity.............................</w:t>
            </w:r>
          </w:p>
        </w:tc>
        <w:tc>
          <w:tcPr>
            <w:tcW w:w="1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56,677</w:t>
            </w:r>
          </w:p>
        </w:tc>
        <w:tc>
          <w:tcPr>
            <w:tcW w:w="24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78,081</w:t>
            </w:r>
          </w:p>
        </w:tc>
        <w:tc>
          <w:tcPr>
            <w:tcW w:w="240" w:type="dxa"/>
            <w:vAlign w:val="bottom"/>
          </w:tcPr>
          <w:p>
            <w:pPr>
              <w:spacing w:after="0"/>
              <w:rPr>
                <w:sz w:val="15"/>
                <w:szCs w:val="15"/>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107,986</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113,346</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448" w:right="3019" w:hanging="448"/>
        <w:spacing w:after="0" w:line="244" w:lineRule="auto"/>
        <w:tabs>
          <w:tab w:leader="none" w:pos="35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statement of operations and balance sheet data have been restated to include certain acquisitions accounted for as poolings of interests. See Note 2 to the Consolidated Financial Statements of USA Waste, located elsewhere herein.</w:t>
      </w:r>
    </w:p>
    <w:p>
      <w:pPr>
        <w:sectPr>
          <w:pgSz w:w="11900" w:h="16838" w:orient="portrait"/>
          <w:cols w:equalWidth="0" w:num="1">
            <w:col w:w="10227"/>
          </w:cols>
          <w:pgMar w:left="232" w:top="291" w:right="1440" w:bottom="0" w:gutter="0" w:footer="0" w:header="0"/>
        </w:sectPr>
      </w:pPr>
    </w:p>
    <w:p>
      <w:pPr>
        <w:spacing w:after="0" w:line="176" w:lineRule="exact"/>
        <w:rPr>
          <w:sz w:val="20"/>
          <w:szCs w:val="20"/>
          <w:color w:val="auto"/>
        </w:rPr>
      </w:pPr>
    </w:p>
    <w:p>
      <w:pPr>
        <w:ind w:left="3608"/>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27"/>
          </w:cols>
          <w:pgMar w:left="232" w:top="291" w:right="1440" w:bottom="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w w:val="98"/>
              </w:rPr>
              <w:t>THREE MONTHS ENDED</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5"/>
          </w:tcPr>
          <w:p>
            <w:pPr>
              <w:jc w:val="right"/>
              <w:ind w:right="745"/>
              <w:spacing w:after="0"/>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15"/>
                <w:szCs w:val="15"/>
                <w:color w:val="auto"/>
              </w:rPr>
            </w:pPr>
          </w:p>
        </w:tc>
        <w:tc>
          <w:tcPr>
            <w:tcW w:w="19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2"/>
              </w:rPr>
              <w:t>----------------------------------</w:t>
            </w: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1992</w:t>
            </w:r>
          </w:p>
        </w:tc>
        <w:tc>
          <w:tcPr>
            <w:tcW w:w="40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1993</w:t>
            </w:r>
          </w:p>
        </w:tc>
        <w:tc>
          <w:tcPr>
            <w:tcW w:w="2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1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4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(IN THOUSANDS, EXCEPT PER SHARE AMOUNTS)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$294,310</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$288,481</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$257,989</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$ 59,766</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$ 54,734</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Costs and expenses:</w:t>
            </w: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Operating...................................</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206,761</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194,355</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179,542</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41,776</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38,442</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37,853</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23,210</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24,796</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5,356</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5,837</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38,363</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41,764</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37,568</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9,319</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7,737</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Unusual items -- operations.................</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44,291</w:t>
            </w:r>
          </w:p>
        </w:tc>
        <w:tc>
          <w:tcPr>
            <w:tcW w:w="4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(11,851)</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8,863</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327,268</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247,478</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250,769</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56,451</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52,016</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(loss) from operations.................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(32,958)</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41,003</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7,220</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3,315</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2,718</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Unusual items --</w:t>
            </w:r>
          </w:p>
        </w:tc>
        <w:tc>
          <w:tcPr>
            <w:tcW w:w="252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shareholder litigation</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settlement and other litigation related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costs.....................................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(10,853)</w:t>
            </w:r>
          </w:p>
        </w:tc>
        <w:tc>
          <w:tcPr>
            <w:tcW w:w="4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(5,500)</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(79,400)</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(31,628)</w:t>
            </w:r>
          </w:p>
        </w:tc>
        <w:tc>
          <w:tcPr>
            <w:tcW w:w="4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(29,163)</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(23,843)</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(5,726)</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(8,591)</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Interest income.............................</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4,825</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2,470</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2,220</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505</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462</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1,684</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1,093</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(372)</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167</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(35,972)</w:t>
            </w:r>
          </w:p>
        </w:tc>
        <w:tc>
          <w:tcPr>
            <w:tcW w:w="4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(31,100)</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(101,395)</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(5,166)</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(7,962)</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(loss) before income taxes.............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(68,930)</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9,903</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(94,175)</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(1,851)</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(5,244)</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tax provision (benefit)................</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1,325</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1,600</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(3,931)</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(70,255)</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8,303</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(90,244)</w:t>
            </w:r>
          </w:p>
        </w:tc>
        <w:tc>
          <w:tcPr>
            <w:tcW w:w="2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(1,975)</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(5,269)</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Discontinued operations: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Loss from operations........................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(1,407)</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Gain on sale of assets......................</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939</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Net income (loss).............................</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$(70,723)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8,303</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$(90,244)</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(1,975)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(5,269)</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continuing operations per</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common share................................</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(loss) per common share................</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equivalent shares</w:t>
            </w:r>
          </w:p>
        </w:tc>
        <w:tc>
          <w:tcPr>
            <w:tcW w:w="2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66,788</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66,788</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66,789</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66,789</w:t>
            </w: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66,789</w:t>
            </w:r>
          </w:p>
        </w:tc>
      </w:tr>
      <w:tr>
        <w:trPr>
          <w:trHeight w:val="173"/>
        </w:trPr>
        <w:tc>
          <w:tcPr>
            <w:tcW w:w="17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Working capital (deficit).....................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$ 52,631</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$ 30,067</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$(12,220)</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(8,961)</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Intangible assets, net........................</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18,404</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21,995</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15,811</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15,372</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Total assets..................................</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592,790</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533,622</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488,498</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476,363</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maturities..................................</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352,836</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291,551</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257,481</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247,673</w:t>
            </w:r>
          </w:p>
        </w:tc>
      </w:tr>
      <w:tr>
        <w:trPr>
          <w:trHeight w:val="173"/>
        </w:trPr>
        <w:tc>
          <w:tcPr>
            <w:tcW w:w="4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Stockholders' equity..........................</w:t>
            </w:r>
          </w:p>
        </w:tc>
        <w:tc>
          <w:tcPr>
            <w:tcW w:w="20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145,870</w:t>
            </w:r>
          </w:p>
        </w:tc>
        <w:tc>
          <w:tcPr>
            <w:tcW w:w="40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154,173</w:t>
            </w:r>
          </w:p>
        </w:tc>
        <w:tc>
          <w:tcPr>
            <w:tcW w:w="2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63,932</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58,663</w:t>
            </w:r>
          </w:p>
        </w:tc>
      </w:tr>
      <w:tr>
        <w:trPr>
          <w:trHeight w:val="694"/>
        </w:trPr>
        <w:tc>
          <w:tcPr>
            <w:tcW w:w="1700" w:type="dxa"/>
            <w:vAlign w:val="bottom"/>
          </w:tcPr>
          <w:p>
            <w:pPr>
              <w:spacing w:after="0"/>
              <w:rPr>
                <w:sz w:val="24"/>
                <w:szCs w:val="24"/>
                <w:color w:val="auto"/>
              </w:rPr>
            </w:pPr>
          </w:p>
        </w:tc>
        <w:tc>
          <w:tcPr>
            <w:tcW w:w="2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24</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COMBINED HISTORICAL UNAUDITED PRO FORMA CONDENSED FINANCIAL INFORMATION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following summary combined historical unaudited pro forma condensed financial information of USA Waste and Chambers gives effect to the Merger under the "pooling of interests" method of accounting as if the Merger had been consummated as of the beginning of the periods presented. This pro forma information is not necessarily indicative of the results that would have been obtained if the Merger had been consummated at the beginning of the periods presented and should not be construed as representative of future operating results, nor does it give effect to adjustments for certain nonrecurring and other items considered by USA Waste and Chambers in evaluating the Merger. For a description of such adjustments and their impact on the pro forma data, see "Supplemental Information Relating to Pro Forma Statement of Operations for the Year Ended December 31, 1994."</w:t>
      </w:r>
    </w:p>
    <w:p>
      <w:pPr>
        <w:spacing w:after="0" w:line="180"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USA WASTE AND CHAMBERS COMBINED HISTORICAL</w:t>
      </w:r>
    </w:p>
    <w:p>
      <w:pPr>
        <w:spacing w:after="0" w:line="3"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UNAUDITED PRO FORMA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w w:val="98"/>
              </w:rPr>
              <w:t>THREE MONTHS ENDED</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380" w:type="dxa"/>
            <w:vAlign w:val="bottom"/>
            <w:gridSpan w:val="4"/>
          </w:tcPr>
          <w:p>
            <w:pPr>
              <w:jc w:val="right"/>
              <w:ind w:right="825"/>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5"/>
                <w:szCs w:val="15"/>
                <w:color w:val="auto"/>
              </w:rPr>
            </w:pPr>
          </w:p>
        </w:tc>
        <w:tc>
          <w:tcPr>
            <w:tcW w:w="19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w:t>
            </w: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1993</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6"/>
          </w:tcPr>
          <w:p>
            <w:pPr>
              <w:jc w:val="right"/>
              <w:ind w:right="685"/>
              <w:spacing w:after="0"/>
              <w:rPr>
                <w:sz w:val="20"/>
                <w:szCs w:val="20"/>
                <w:color w:val="auto"/>
              </w:rPr>
            </w:pPr>
            <w:r>
              <w:rPr>
                <w:rFonts w:ascii="Courier New" w:cs="Courier New" w:eastAsia="Courier New" w:hAnsi="Courier New"/>
                <w:sz w:val="15"/>
                <w:szCs w:val="15"/>
                <w:color w:val="auto"/>
              </w:rPr>
              <w:t>(IN THOUSANDS, EXCEPT PER SHARE AMOUNTS)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47"/>
        </w:trPr>
        <w:tc>
          <w:tcPr>
            <w:tcW w:w="170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1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$351,359</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$382,234</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$434,224</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$ 97,971</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$ 101,242</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Costs and expenses:</w:t>
            </w:r>
          </w:p>
        </w:tc>
        <w:tc>
          <w:tcPr>
            <w:tcW w:w="1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Operating...........................</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208,928</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217,345</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257,370</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58,232</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58,279</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75,426</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66,968</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71,500</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16,136</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17,583</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Merger costs........................</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3,782</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Nonrecurring expenses...............</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6,756</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923</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Unusual items -- operations.........</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44,291</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1,749</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8,863</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44,139</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52,222</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56,139</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13,660</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12,980</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379,540</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339,207</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397,654</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88,028</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88,842</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Income (loss) from operations.........</w:t>
            </w:r>
          </w:p>
        </w:tc>
        <w:tc>
          <w:tcPr>
            <w:tcW w:w="1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(28,181)</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43,027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36,570(1)</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9,943</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12,400</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Unusual items --</w:t>
            </w:r>
          </w:p>
        </w:tc>
        <w:tc>
          <w:tcPr>
            <w:tcW w:w="176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8"/>
              </w:rPr>
              <w:t>shareholder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4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litigation settlement and other</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litigation related costs.........</w:t>
            </w:r>
          </w:p>
        </w:tc>
        <w:tc>
          <w:tcPr>
            <w:tcW w:w="1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(10,853)</w:t>
            </w:r>
          </w:p>
        </w:tc>
        <w:tc>
          <w:tcPr>
            <w:tcW w:w="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(5,500)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(79,400)</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(35,840)</w:t>
            </w:r>
          </w:p>
        </w:tc>
        <w:tc>
          <w:tcPr>
            <w:tcW w:w="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(35,975)</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(34,058)</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(8,139)</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(11,724)</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5,435</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3,539</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2,641</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731</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Other, net..........................</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1,699</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1,915</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1,877</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1,114</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(39,559)</w:t>
            </w:r>
          </w:p>
        </w:tc>
        <w:tc>
          <w:tcPr>
            <w:tcW w:w="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(36,021)</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(108,940)</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(7,402)</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(9,879)</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income tax</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provision...........................</w:t>
            </w:r>
          </w:p>
        </w:tc>
        <w:tc>
          <w:tcPr>
            <w:tcW w:w="1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(67,740)</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7,006</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(72,370)</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2,541</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2,521</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Income tax provision..................</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479</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6,018</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3,908</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1,419</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2,337</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operations..........................</w:t>
            </w:r>
          </w:p>
        </w:tc>
        <w:tc>
          <w:tcPr>
            <w:tcW w:w="1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$(68,219)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988</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$(76,278)(1)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operations per common share.........</w:t>
            </w:r>
          </w:p>
        </w:tc>
        <w:tc>
          <w:tcPr>
            <w:tcW w:w="11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(1.60)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0.01</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0.00</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common equivalent</w:t>
            </w:r>
          </w:p>
        </w:tc>
        <w:tc>
          <w:tcPr>
            <w:tcW w:w="1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42,707</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45,885</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49,671</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47,237</w:t>
            </w: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51,088</w:t>
            </w:r>
          </w:p>
        </w:tc>
      </w:tr>
      <w:tr>
        <w:trPr>
          <w:trHeight w:val="173"/>
        </w:trPr>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BALANCE SHEET DATA (AT END OF PERIOD):</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Working capital (deficit).............</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(6,101)</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10,081</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Intangible assets, net................</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93,416</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93,458</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Total assets..........................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785,616</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787,091</w:t>
            </w:r>
          </w:p>
        </w:tc>
      </w:tr>
      <w:tr>
        <w:trPr>
          <w:trHeight w:val="17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maturities..........................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410,714</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417,123</w:t>
            </w:r>
          </w:p>
        </w:tc>
      </w:tr>
      <w:tr>
        <w:trPr>
          <w:trHeight w:val="173"/>
        </w:trPr>
        <w:tc>
          <w:tcPr>
            <w:tcW w:w="3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Stockholders' equity..................</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164,349</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165,105</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448" w:right="3099" w:hanging="448"/>
        <w:spacing w:after="0" w:line="244" w:lineRule="auto"/>
        <w:tabs>
          <w:tab w:leader="none" w:pos="35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"Supplemental Information Relating to Pro Forma Statement of Operations for the Year Ended December 31, 1994" for the effect of adjustments for certain nonrecurring and other items.</w:t>
      </w:r>
    </w:p>
    <w:p>
      <w:pPr>
        <w:sectPr>
          <w:pgSz w:w="11900" w:h="16838" w:orient="portrait"/>
          <w:cols w:equalWidth="0" w:num="1">
            <w:col w:w="10227"/>
          </w:cols>
          <w:pgMar w:left="232" w:top="291" w:right="1440" w:bottom="1075" w:gutter="0" w:footer="0" w:header="0"/>
        </w:sectPr>
      </w:pP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91" w:right="1440" w:bottom="1075"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INFORMATION RELATING TO PRO FORMA STATEMENT OF 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combined historical unaudited pro forma condensed financial information for the year ended December 31, 1994 included elsewhere herein gives effect to certain pro forma adjustments as described in the notes to such information. In evaluating the Merger, the respective managements of USA Waste and Chambers considered the impact of certain cost and expense savings and other economic benefits that are expected to be realized as a result of the Merger. These adjustments do not include additional cost reductions relating to landfill and collection operations or additional revenues that may result from volume or price increases.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Application of the supplemental adjustments described below to the combined historical unaudited pro forma statement of operations for the year ended December 31, 1994 would result in the following (in thousands, except per share amount):</w:t>
      </w:r>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Operating revenues........................................................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$434,224</w:t>
            </w: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Income from operations....................................................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69,097</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c>
          <w:tcPr>
            <w:tcW w:w="5740" w:type="dxa"/>
            <w:vAlign w:val="bottom"/>
          </w:tcPr>
          <w:p>
            <w:pPr>
              <w:ind w:left="60"/>
              <w:spacing w:after="0"/>
              <w:rPr>
                <w:sz w:val="20"/>
                <w:szCs w:val="20"/>
                <w:color w:val="auto"/>
              </w:rPr>
            </w:pPr>
            <w:r>
              <w:rPr>
                <w:rFonts w:ascii="Courier New" w:cs="Courier New" w:eastAsia="Courier New" w:hAnsi="Courier New"/>
                <w:sz w:val="15"/>
                <w:szCs w:val="15"/>
                <w:color w:val="auto"/>
              </w:rPr>
              <w:t>continuing operations.........................................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36,976</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c>
          <w:tcPr>
            <w:tcW w:w="5740" w:type="dxa"/>
            <w:vAlign w:val="bottom"/>
          </w:tcPr>
          <w:p>
            <w:pPr>
              <w:ind w:left="60"/>
              <w:spacing w:after="0"/>
              <w:rPr>
                <w:sz w:val="20"/>
                <w:szCs w:val="20"/>
                <w:color w:val="auto"/>
              </w:rPr>
            </w:pPr>
            <w:r>
              <w:rPr>
                <w:rFonts w:ascii="Courier New" w:cs="Courier New" w:eastAsia="Courier New" w:hAnsi="Courier New"/>
                <w:sz w:val="15"/>
                <w:szCs w:val="15"/>
                <w:color w:val="auto"/>
              </w:rPr>
              <w:t>continuing operations per common share........................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bl>
    <w:p>
      <w:pPr>
        <w:spacing w:after="0" w:line="351"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adjustments to the pro forma financial information give effect to the following:</w:t>
      </w:r>
    </w:p>
    <w:p>
      <w:pPr>
        <w:spacing w:after="0" w:line="176" w:lineRule="exact"/>
        <w:rPr>
          <w:sz w:val="20"/>
          <w:szCs w:val="20"/>
          <w:color w:val="auto"/>
        </w:rPr>
      </w:pPr>
    </w:p>
    <w:p>
      <w:pPr>
        <w:ind w:left="620" w:right="3019" w:hanging="177"/>
        <w:spacing w:after="0" w:line="244"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cost savings and efficiencies of approximately $16 million that may have been achieved if the combination of USA Waste and Chambers had occurred as of January 1, 1994. These cost savings and efficiencies are directly attributable or related to the Merger and are expected to have a continuing impact on the combined company.</w:t>
      </w:r>
    </w:p>
    <w:p>
      <w:pPr>
        <w:spacing w:after="0" w:line="176"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shareholder litigation settlement and other litigation related costs of approximately $79.4 million.</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approximately $3.8 million in costs incurred in connection with the merger of USA Waste and Envirofil on May 26, 1994.</w:t>
      </w:r>
    </w:p>
    <w:p>
      <w:pPr>
        <w:spacing w:after="0" w:line="176" w:lineRule="exact"/>
        <w:rPr>
          <w:rFonts w:ascii="Courier New" w:cs="Courier New" w:eastAsia="Courier New" w:hAnsi="Courier New"/>
          <w:sz w:val="15"/>
          <w:szCs w:val="15"/>
          <w:color w:val="auto"/>
        </w:rPr>
      </w:pPr>
    </w:p>
    <w:p>
      <w:pPr>
        <w:jc w:val="both"/>
        <w:ind w:left="620" w:right="3019" w:hanging="177"/>
        <w:spacing w:after="0" w:line="244"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 interest expense as a result of the assumed reduction in long-term debt offset by additional interest expense on the $79.4 million shareholder litigation settlement and other litigation related costs,</w:t>
      </w:r>
    </w:p>
    <w:p>
      <w:pPr>
        <w:spacing w:after="0" w:line="1" w:lineRule="exact"/>
        <w:rPr>
          <w:rFonts w:ascii="Courier New" w:cs="Courier New" w:eastAsia="Courier New" w:hAnsi="Courier New"/>
          <w:sz w:val="15"/>
          <w:szCs w:val="15"/>
          <w:color w:val="auto"/>
        </w:rPr>
      </w:pPr>
    </w:p>
    <w:p>
      <w:pPr>
        <w:ind w:left="620" w:right="3099" w:firstLine="4"/>
        <w:spacing w:after="0" w:line="244" w:lineRule="auto"/>
        <w:tabs>
          <w:tab w:leader="none" w:pos="1071"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income as a result of using available cash and investment balances to reduce outstanding debt, and (iii) letter of credit fees and interest costs due to the enhanced credit terms that are expected to be available to the combined company.</w:t>
      </w:r>
    </w:p>
    <w:p>
      <w:pPr>
        <w:spacing w:after="0" w:line="175"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other unusual and nonrecurring charges in Chambers' operations of approximately $12.7 million.</w:t>
      </w:r>
    </w:p>
    <w:p>
      <w:pPr>
        <w:spacing w:after="0" w:line="176" w:lineRule="exact"/>
        <w:rPr>
          <w:rFonts w:ascii="Courier New" w:cs="Courier New" w:eastAsia="Courier New" w:hAnsi="Courier New"/>
          <w:sz w:val="15"/>
          <w:szCs w:val="15"/>
          <w:color w:val="auto"/>
        </w:rPr>
      </w:pPr>
    </w:p>
    <w:p>
      <w:pPr>
        <w:jc w:val="both"/>
        <w:ind w:left="620" w:right="3199" w:hanging="177"/>
        <w:spacing w:after="0" w:line="243"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the provision for income taxes to reflect the benefit from expected utilization of the Chambers' net operating loss carryforwards.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of January 1, 1995, USA Waste changed the useful life of the excess of cost over net assets of acquired businesses from 25 years to 40 years to more appropriately reflect the estimated periods during which the benefit of the assets will be realized. This change in accounting estimate is expected to have the effect of reducing amortization expense by approximately $1,350,000 in 1995 on a combined basis.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UNAUDITED PER SHARE DATA</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table sets forth (a) the historical income (loss) from continuing operations per common share and the historical book value per share of USA Waste Common Stock; (b) the historical income (loss) from continuing operations per common share and the historical book value per share of Chambers Common Stock and Chambers Class A Common Stock; (c) the combined historical unaudited pro forma income (loss) from continuing operations per common share and the unaudited pro forma book value per share data of USA Waste Common Stock after giving effect to the Merger on a pooling of interests basis with Chambers; and (d) the Chambers equivalent combined historical unaudited pro forma income (loss) from continuing operations per common share and the unaudited pro forma book value per share attributable to .41667 of a share of USA Waste Common Stock that will be received by Chambers stockholders for each share of Chambers Common Stock and Chambers Class A Common Stock. The information presented in the table should be read in conjunction with the combined historical unaudited pro forma financial statements and the</w:t>
      </w:r>
    </w:p>
    <w:p>
      <w:pPr>
        <w:sectPr>
          <w:pgSz w:w="11900" w:h="16838" w:orient="portrait"/>
          <w:cols w:equalWidth="0" w:num="1">
            <w:col w:w="10219"/>
          </w:cols>
          <w:pgMar w:left="240" w:top="291" w:right="1440" w:bottom="1440" w:gutter="0" w:footer="0" w:header="0"/>
        </w:sectPr>
      </w:pP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type w:val="continuous"/>
        </w:sectPr>
      </w:pPr>
    </w:p>
    <w:bookmarkStart w:id="26" w:name="page27"/>
    <w:bookmarkEnd w:id="26"/>
    <w:p>
      <w:pPr>
        <w:ind w:left="268"/>
        <w:spacing w:after="0"/>
        <w:rPr>
          <w:sz w:val="20"/>
          <w:szCs w:val="20"/>
          <w:color w:val="auto"/>
        </w:rPr>
      </w:pPr>
      <w:r>
        <w:rPr>
          <w:rFonts w:ascii="Courier New" w:cs="Courier New" w:eastAsia="Courier New" w:hAnsi="Courier New"/>
          <w:sz w:val="15"/>
          <w:szCs w:val="15"/>
          <w:color w:val="auto"/>
        </w:rPr>
        <w:t>26</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separate historical consolidated financial statements of USA Waste and Chambers and the notes thereto appearing elsewhere herein. See "USA Waste and Chambers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CHAMBERS</w:t>
            </w:r>
          </w:p>
        </w:tc>
      </w:tr>
      <w:tr>
        <w:trPr>
          <w:trHeight w:val="173"/>
        </w:trPr>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6"/>
              </w:rPr>
              <w:t>USA</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WASTE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CHAMBERS</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COMBINED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EQUIVALENT</w:t>
            </w:r>
          </w:p>
        </w:tc>
      </w:tr>
      <w:tr>
        <w:trPr>
          <w:trHeight w:val="173"/>
        </w:trPr>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gridSpan w:val="4"/>
          </w:tcPr>
          <w:p>
            <w:pPr>
              <w:spacing w:after="0"/>
              <w:rPr>
                <w:sz w:val="20"/>
                <w:szCs w:val="20"/>
                <w:color w:val="auto"/>
              </w:rPr>
            </w:pPr>
            <w:r>
              <w:rPr>
                <w:rFonts w:ascii="Courier New" w:cs="Courier New" w:eastAsia="Courier New" w:hAnsi="Courier New"/>
                <w:sz w:val="15"/>
                <w:szCs w:val="15"/>
                <w:color w:val="auto"/>
              </w:rPr>
              <w:t>Income (loss) from continuing operations per common</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6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Three months ended March 31, 1995.............</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$ 0.00</w:t>
            </w:r>
          </w:p>
        </w:tc>
      </w:tr>
      <w:tr>
        <w:trPr>
          <w:trHeight w:val="173"/>
        </w:trPr>
        <w:tc>
          <w:tcPr>
            <w:tcW w:w="46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Years ended December 31:</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980" w:type="dxa"/>
            <w:vAlign w:val="bottom"/>
          </w:tcPr>
          <w:p>
            <w:pPr>
              <w:ind w:left="620"/>
              <w:spacing w:after="0"/>
              <w:rPr>
                <w:sz w:val="20"/>
                <w:szCs w:val="20"/>
                <w:color w:val="auto"/>
              </w:rPr>
            </w:pPr>
            <w:r>
              <w:rPr>
                <w:rFonts w:ascii="Courier New" w:cs="Courier New" w:eastAsia="Courier New" w:hAnsi="Courier New"/>
                <w:sz w:val="15"/>
                <w:szCs w:val="15"/>
                <w:color w:val="auto"/>
                <w:w w:val="94"/>
              </w:rPr>
              <w:t>1994</w:t>
            </w:r>
          </w:p>
        </w:tc>
        <w:tc>
          <w:tcPr>
            <w:tcW w:w="600" w:type="dxa"/>
            <w:vAlign w:val="bottom"/>
            <w:gridSpan w:val="2"/>
          </w:tcPr>
          <w:p>
            <w:pPr>
              <w:spacing w:after="0"/>
              <w:rPr>
                <w:sz w:val="20"/>
                <w:szCs w:val="20"/>
                <w:color w:val="auto"/>
              </w:rPr>
            </w:pPr>
            <w:r>
              <w:rPr>
                <w:rFonts w:ascii="Courier New" w:cs="Courier New" w:eastAsia="Courier New" w:hAnsi="Courier New"/>
                <w:sz w:val="3"/>
                <w:szCs w:val="3"/>
                <w:color w:val="auto"/>
                <w:w w:val="80"/>
              </w:rPr>
              <w:t>........................................</w:t>
            </w: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(1.55)(1)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(0.65)</w:t>
            </w:r>
          </w:p>
        </w:tc>
      </w:tr>
      <w:tr>
        <w:trPr>
          <w:trHeight w:val="173"/>
        </w:trPr>
        <w:tc>
          <w:tcPr>
            <w:tcW w:w="980" w:type="dxa"/>
            <w:vAlign w:val="bottom"/>
          </w:tcPr>
          <w:p>
            <w:pPr>
              <w:ind w:left="620"/>
              <w:spacing w:after="0"/>
              <w:rPr>
                <w:sz w:val="20"/>
                <w:szCs w:val="20"/>
                <w:color w:val="auto"/>
              </w:rPr>
            </w:pPr>
            <w:r>
              <w:rPr>
                <w:rFonts w:ascii="Courier New" w:cs="Courier New" w:eastAsia="Courier New" w:hAnsi="Courier New"/>
                <w:sz w:val="15"/>
                <w:szCs w:val="15"/>
                <w:color w:val="auto"/>
                <w:w w:val="94"/>
              </w:rPr>
              <w:t>1993</w:t>
            </w:r>
          </w:p>
        </w:tc>
        <w:tc>
          <w:tcPr>
            <w:tcW w:w="600" w:type="dxa"/>
            <w:vAlign w:val="bottom"/>
            <w:gridSpan w:val="2"/>
          </w:tcPr>
          <w:p>
            <w:pPr>
              <w:spacing w:after="0"/>
              <w:rPr>
                <w:sz w:val="20"/>
                <w:szCs w:val="20"/>
                <w:color w:val="auto"/>
              </w:rPr>
            </w:pPr>
            <w:r>
              <w:rPr>
                <w:rFonts w:ascii="Courier New" w:cs="Courier New" w:eastAsia="Courier New" w:hAnsi="Courier New"/>
                <w:sz w:val="3"/>
                <w:szCs w:val="3"/>
                <w:color w:val="auto"/>
                <w:w w:val="80"/>
              </w:rPr>
              <w:t>........................................</w:t>
            </w: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0.26</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0.01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0.00</w:t>
            </w:r>
          </w:p>
        </w:tc>
      </w:tr>
      <w:tr>
        <w:trPr>
          <w:trHeight w:val="173"/>
        </w:trPr>
        <w:tc>
          <w:tcPr>
            <w:tcW w:w="980" w:type="dxa"/>
            <w:vAlign w:val="bottom"/>
          </w:tcPr>
          <w:p>
            <w:pPr>
              <w:ind w:left="620"/>
              <w:spacing w:after="0"/>
              <w:rPr>
                <w:sz w:val="20"/>
                <w:szCs w:val="20"/>
                <w:color w:val="auto"/>
              </w:rPr>
            </w:pPr>
            <w:r>
              <w:rPr>
                <w:rFonts w:ascii="Courier New" w:cs="Courier New" w:eastAsia="Courier New" w:hAnsi="Courier New"/>
                <w:sz w:val="15"/>
                <w:szCs w:val="15"/>
                <w:color w:val="auto"/>
                <w:w w:val="94"/>
              </w:rPr>
              <w:t>1992</w:t>
            </w:r>
          </w:p>
        </w:tc>
        <w:tc>
          <w:tcPr>
            <w:tcW w:w="600" w:type="dxa"/>
            <w:vAlign w:val="bottom"/>
            <w:gridSpan w:val="2"/>
          </w:tcPr>
          <w:p>
            <w:pPr>
              <w:spacing w:after="0"/>
              <w:rPr>
                <w:sz w:val="20"/>
                <w:szCs w:val="20"/>
                <w:color w:val="auto"/>
              </w:rPr>
            </w:pPr>
            <w:r>
              <w:rPr>
                <w:rFonts w:ascii="Courier New" w:cs="Courier New" w:eastAsia="Courier New" w:hAnsi="Courier New"/>
                <w:sz w:val="3"/>
                <w:szCs w:val="3"/>
                <w:color w:val="auto"/>
                <w:w w:val="80"/>
              </w:rPr>
              <w:t>........................................</w:t>
            </w:r>
          </w:p>
        </w:tc>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(0.20)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(0.67)</w:t>
            </w:r>
          </w:p>
        </w:tc>
      </w:tr>
      <w:tr>
        <w:trPr>
          <w:trHeight w:val="173"/>
        </w:trPr>
        <w:tc>
          <w:tcPr>
            <w:tcW w:w="4680" w:type="dxa"/>
            <w:vAlign w:val="bottom"/>
            <w:gridSpan w:val="4"/>
          </w:tcPr>
          <w:p>
            <w:pPr>
              <w:spacing w:after="0"/>
              <w:rPr>
                <w:sz w:val="20"/>
                <w:szCs w:val="20"/>
                <w:color w:val="auto"/>
              </w:rPr>
            </w:pPr>
            <w:r>
              <w:rPr>
                <w:rFonts w:ascii="Courier New" w:cs="Courier New" w:eastAsia="Courier New" w:hAnsi="Courier New"/>
                <w:sz w:val="15"/>
                <w:szCs w:val="15"/>
                <w:color w:val="auto"/>
              </w:rPr>
              <w:t>Book value per share:</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March</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3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1995................................</w:t>
            </w:r>
          </w:p>
        </w:tc>
        <w:tc>
          <w:tcPr>
            <w:tcW w:w="3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5.00</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r>
      <w:tr>
        <w:trPr>
          <w:trHeight w:val="173"/>
        </w:trPr>
        <w:tc>
          <w:tcPr>
            <w:tcW w:w="15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December 31,</w:t>
            </w:r>
          </w:p>
        </w:tc>
        <w:tc>
          <w:tcPr>
            <w:tcW w:w="3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4.78</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0.96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448" w:right="3019" w:hanging="448"/>
        <w:spacing w:after="0" w:line="244" w:lineRule="auto"/>
        <w:tabs>
          <w:tab w:leader="none" w:pos="35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give effect to adjustments for certain nonrecurring and other items described elsewhere herein. See "Supplemental Information Relating to Pro Forma Statement of Operations for the Year Ended December 31, 1994." If such adjustments were applied to the combined pro forma information reflected above, income from continuing operations per common share for the year ended December 31, 1994 would have been $0.73.</w:t>
      </w:r>
    </w:p>
    <w:p>
      <w:pPr>
        <w:spacing w:after="0" w:line="176"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OTHER PROPOSALS TO BE PRESENTED AT THE USA WASTE ANNUAL MEETING</w:t>
      </w:r>
    </w:p>
    <w:p>
      <w:pPr>
        <w:spacing w:after="0" w:line="178" w:lineRule="exact"/>
        <w:rPr>
          <w:sz w:val="20"/>
          <w:szCs w:val="20"/>
          <w:color w:val="auto"/>
        </w:rPr>
      </w:pPr>
    </w:p>
    <w:p>
      <w:pPr>
        <w:ind w:left="8" w:right="3379" w:firstLine="451"/>
        <w:spacing w:after="0" w:line="243" w:lineRule="auto"/>
        <w:rPr>
          <w:sz w:val="20"/>
          <w:szCs w:val="20"/>
          <w:color w:val="auto"/>
        </w:rPr>
      </w:pPr>
      <w:r>
        <w:rPr>
          <w:rFonts w:ascii="Courier New" w:cs="Courier New" w:eastAsia="Courier New" w:hAnsi="Courier New"/>
          <w:sz w:val="15"/>
          <w:szCs w:val="15"/>
          <w:color w:val="auto"/>
        </w:rPr>
        <w:t>At the USA Waste Annual Meeting, shareholders of USA Waste will also be asked to consider and act upon the following proposals:</w:t>
      </w:r>
    </w:p>
    <w:p>
      <w:pPr>
        <w:spacing w:after="0" w:line="176" w:lineRule="exact"/>
        <w:rPr>
          <w:sz w:val="20"/>
          <w:szCs w:val="20"/>
          <w:color w:val="auto"/>
        </w:rPr>
      </w:pPr>
    </w:p>
    <w:p>
      <w:pPr>
        <w:ind w:left="8" w:right="3019" w:firstLine="451"/>
        <w:spacing w:after="0" w:line="265" w:lineRule="auto"/>
        <w:rPr>
          <w:sz w:val="20"/>
          <w:szCs w:val="20"/>
          <w:color w:val="auto"/>
        </w:rPr>
      </w:pPr>
      <w:r>
        <w:rPr>
          <w:rFonts w:ascii="Courier New" w:cs="Courier New" w:eastAsia="Courier New" w:hAnsi="Courier New"/>
          <w:sz w:val="14"/>
          <w:szCs w:val="14"/>
          <w:color w:val="auto"/>
        </w:rPr>
        <w:t>Proposal No. 2. To elect nine members to the Board of Directors of USA Waste for the ensuing year; provided, however, that if the Merger is approved, upon consummation of the Merger, four members of such Board will resign and four new members currently serving on the Chambers Board of Directors will fill such vacancies. See "Election of USA Waste Directors -- Nominees for Election as Directors". THE BOARD OF DIRECTORS OF USA WASTE UNANIMOUSLY RECOMMENDS THAT THE SHAREHOLDERS OF USA WASTE VOTE FOR THE NOMINEES FOR DIRECTORS DESCRIBED HEREIN.</w:t>
      </w:r>
    </w:p>
    <w:p>
      <w:pPr>
        <w:spacing w:after="0" w:line="161"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Proposal No. 3. To approve a change in the domicile of USA Waste from Oklahoma to Delaware (the "Reincorporation") by means of a merger of USA Waste into USA Delaware. THE BOARD OF DIRECTORS OF USA WASTE UNANIMOUSLY RECOMMENDS THAT THE SHAREHOLDERS OF USA WASTE VOTE FOR THE REINCORPORATION.</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Proposal No. 4. To approve an amendment to the Certificate of Incorporation of USA Waste that provides (i) for a classified Board of Directors consisting of three classes, as nearly equal in number as possible; (ii) for vacancies in the Board of Directors to be filled by a majority vote of directors then in office; (iii) for removal of directors with or without cause only by the affirmative vote of either a majority of the Board of Directors or holders of at least 66 2/3% of USA Waste's outstanding voting shares; and (iv) that the foregoing provisions may be amended, altered or repealed only by the affirmative vote of the holders of at least 66 2/3% of USA Waste's outstanding voting shares (collectively, the "Board Classification Proposals"). THE BOARD OF DIRECTORS OF USA WASTE UNANIMOUSLY RECOMMENDS THAT THE SHAREHOLDERS OF USA WASTE VOTE FOR THE BOARD CLASSIFICATION PROPOSALS.</w:t>
      </w:r>
    </w:p>
    <w:p>
      <w:pPr>
        <w:spacing w:after="0" w:line="18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Proposal No. 5. To approve an amendment to the Certificate of Incorporation of USA Waste to increase the number of authorized shares of USA Waste Common Stock from 50,000,000 shares to 150,000,000 shares. THE BOARD OF DIRECTORS OF USA WASTE UNANIMOUSLY RECOMMENDS THAT THE SHAREHOLDERS OF USA WASTE VOTE FOR THE INCREASE IN AUTHORIZED SHARES.</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Proposal No. 6. To approve an amendment to the 1993 Stock Incentive Plan of USA Waste to increase the aggregate number of shares of USA Waste Common Stock that may be issued under such Plan from 1,000,000 to 4,000,000. THE BOARD OF DIRECTORS OF USA WASTE UNANIMOUSLY RECOMMENDS THAT THE SHAREHOLDERS OF USA WASTE VOTE FOR THE INCREASE.</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Proposal No. 7. To ratify the appointment of Coopers &amp; Lybrand L.L.P. as certified public accountants to audit USA Waste's financial statements for fiscal 1995. See "Ratification of Appointment of Auditors." THE BOARD OF DIRECTORS OF USA WASTE UNANIMOUSLY RECOMMENDS THAT THE SHAREHOLDERS OF USA WASTE VOTE FOR THE RATIFICATION OF THE APPOINTMENT OF COOPERS &amp; LYBRAND L.L.P.</w:t>
      </w:r>
    </w:p>
    <w:p>
      <w:pPr>
        <w:sectPr>
          <w:pgSz w:w="11900" w:h="16838" w:orient="portrait"/>
          <w:cols w:equalWidth="0" w:num="1">
            <w:col w:w="10227"/>
          </w:cols>
          <w:pgMar w:left="232" w:top="291" w:right="1440" w:bottom="902" w:gutter="0" w:footer="0" w:header="0"/>
        </w:sectPr>
      </w:pP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91" w:right="1440" w:bottom="902"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to the other information set forth in this Joint Proxy Statement and Prospectus, the following factors should be considered by the USA Waste shareholders and the Chambers stockholders before voting on the proposals herein.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RELIANCE ON FUTURE ACQUISITIONS FOR GROWTH</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strategy envisions that a significant part of its future growth will come from businesses yet to be acquired. There can be no assurance that USA Waste will be able to successfully identify suitable acquisition candidates, successfully negotiate the acquisition of such businesses, or obtain any necessary financing.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ON USE OF NET OPERATING LOSS CARRYFORWARDS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After consummation of the Merger, USA Waste intends to utilize Chambers' net operating loss carryforwards to offset future income for tax purposes. USA Waste and Chambers believe that there will be no "ownership change" within the meaning of Section 382 of the Code in connection with the Merger; however, there can be no assurance in this matter. Furthermore, the Merger will result in a significant shift among Chambers' 5% stockholders, which increases the risk that utilization of the net operating loss carryforwards may be limited on an annual basis in the future. If an ownership change is deemed to have occurred in connection with the Merger, or in the future, the ability of the combined companies to utilize net operating loss carryforwards may be subject to yearly limitations. See "The Merger and Related Transactions -- Net Operating Loss Carryforwards."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DEGREE OF LEVERAGE</w:t>
      </w:r>
    </w:p>
    <w:p>
      <w:pPr>
        <w:spacing w:after="0" w:line="351"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After the Merger, USA Waste will have a substantial amount of debt in its capital structure. The long-term debt of the combined entity on a pro forma basis as of March 31, 1995 would have been $417.1 million. Future unforeseen events may prevent USA Waste from fulfilling its obligations under its various debt agreements or may limit USA Waste's ability to incur additional indebtedness. See "Management's Discussion and Analysis of USA Waste's Financial Condition and Results of Operations -- Liquidity and Capital Resources."</w:t>
      </w:r>
    </w:p>
    <w:p>
      <w:pPr>
        <w:spacing w:after="0" w:line="335"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OPERATIONS COULD BE ADVERSELY AFFECTED BY GOVERNMENT REGULATION AND POTENTIAL LITIGATION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operations are subject to, and substantially affected by, extensive federal, state and local laws, regulations, orders, and permits, which govern environmental protection, health and safety, zoning and other matters. These regulations may impose restrictions on USA Waste's operations that could limit or reduce USA Waste's revenues and earnings, such as limiting the expansion of disposal facilities, limiting or banning the disposal of out-of-state waste or certain categories of waste, or mandating the disposal of local refuse. Because of heightened public concern, companies in the waste management services business, including USA Waste, in the normal course of business may be expected to become subject to judicial and administrative proceedings involving federal, state or local agencies. These governmental agencies may seek to impose fines on USA Waste or to revoke or deny renewal of USA Waste's operating permits or licenses for violations of environmental laws or regulations or to require USA Waste to remediate environmental problems at its sites relating to waste disposed of by USA Waste or its predecessors, or resulting from its transportation and collection operations, all of which could have a material adverse effect on USA Waste. USA Waste may also be subject to actions brought by individuals or community groups in connection with the permitting or licensing of its operations, any alleged violations of such permits and licenses, or other matters. See "Description of USA Waste -- Regulation."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FOR ENVIRONMENTAL DAMAGE</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USA Waste is subject to liability for any environmental damage its landfills, transfer stations, and collection operations may cause to adjacent landowners, particularly as a result of the contamination of</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drinking water sources or the soil, including damage resulting from conditions existing prior to the acquisition of such operations by USA Waste. Subsequent to the Merger, USA Waste may be subject to liability for such conditions or events associated with Chambers or Chambers' assets and operations. USA Waste may also be subject to liability for any off-site environmental contamination caused by pollutants or hazardous substances whose transportation, treatment, or disposal was arranged for by USA Waste, Chambers or their predecessors. If USA Waste were to incur a substantial liability for environmental damage, its financial condition could be materially adversely affected. See "Description of USA Waste -- Regulation."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is characterized by two large national waste management companies as well as numerous local and regional companies of varying sizes and financial resources. The largest national waste management companies have significantly greater financial resources than USA Waste. In addition, many municipalities operate collection and disposal operations. Competition may also be affected by the increasing national emphasis on recycling, composting, incineration, and other waste reduction programs that could reduce the volume of refuse and garbage collected or deposited in landfills. See "Description of USA Waste -- Competition."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BENEFITS OF COMBINED BUSINESS MAY NOT BE ACHIEVED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There can be no assurance that the expected benefits of the Merger relative to the combined business as described under "The Merger and Related Transactions -- USA Waste's Reasons for the Merger" will be achieved.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RATIO WILL NOT REFLECT ANY CHANGE IN STOCK PRICES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relative stock prices of the USA Waste Common Stock and the Chambers Common Stock and Chambers Class A Common Stock at the Effective Time may vary significantly from the prices as of the date of execution of the Merger Agreement or the date hereof or the date on which stockholders vote on the Merger due to, among other factors, changes in the business, operations and prospects of USA Waste or Chambers, market assessments of the likelihood that the Merger will be consummated and the timing thereof and general market and economic conditions. The Exchange Ratio is fixed and will not be adjusted based on changes in the relative stock prices of the USA Waste Common Stock and the Chambers Common Stock and Chambers Class A Common Stock.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EXISTING FINANCING REQUIREMENTS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Chambers' existing credit facilities require Chambers to reduce the amounts outstanding thereunder by December 31, 1995. However, Chambers must incur additional indebtedness in order to be able to pay the cost of the settlement of certain federal class and derivative actions. If the Merger becomes effective, Chambers anticipates that the combined company will be able to refinance the outstanding indebtedness and enable it to make the payments which are required. However, if the Merger does not become effective, there can be no assurance that Chambers will be able to refinance its outstanding indebtedness and make the payments which are required by the litigation settlement without significant dilution to the stockholders of Chambers. See "Management's Discussion and Analysis of Chambers' Financial Condition and Results of Operations -- Liquidity and Capital Resources -- Credit Facilities and Refinancing."</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MEETINGS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 OF THE MEETINGS</w:t>
      </w:r>
    </w:p>
    <w:p>
      <w:pPr>
        <w:spacing w:after="0" w:line="351"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The USA Waste Annual Meeting will be held at 2:00 p.m., Dallas, Texas time, on June 27, 1995, at The Grand Kempinski -- Dallas Hotel, 15201 Dallas Parkway, Dallas, Texas. The Chambers Special Meeting will be held at 10:00 a.m., Dallas, Texas time, on June 27, 1995, at The Grand Kempinski-Dallas Hotel, 15201 Dallas Parkway, Dallas, Texas.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MEETINGS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purposes of the USA Waste Annual Meeting are to consider and act upon the following proposals: (i) to approve and adopt the Merger Agreement, (ii) to elect nine members to the USA Waste Board of Directors, (iii) to approve the Reincorporation, (iv) to approve the Board Classification Proposals, (v) to approve an increase in authorized shares of USA Waste Common Stock from 50,000,000 shares to 150,000,000 shares or (vi) to increase the number of shares that may be issued under the USA Waste 1993 Stock Incentive Plan and (vii) to ratify the appointment of Coopers &amp; Lybrand L.L.P. as independent auditors of USA Waste for the year ending December 31, 1995. Any other proper business may be transacted at the USA Waste Annual Meeting or any adjournments thereof. USA Waste shareholder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182"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The sole purpose of the Chambers Special Meeting is to consider and act upon a proposal to approve and adopt the Merger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Only holders of record of USA Waste Common Stock, and holders of record of Chambers Common Stock and Chambers Class A Common Stock at the close of business on the Record Date are entitled to notice of, and to vote at, the USA Waste Annual Meeting and the Chambers Special Meeting, respectively.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the Record Date, there were 858 holders of record of USA Waste Common Stock with 22,967,256 shares of USA Waste Common Stock issued and outstanding. Each share of USA Waste Common Stock entitles the holder thereof to one vote on each matter submitted for shareholder approval. See "Principal Stockholders of USA Waste and Chambers" for information regarding persons known to management of USA Waste to be the beneficial owners of more than 5% of the outstanding USA Waste Common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the Record Date, there were 521 holders of record of Chambers Common Stock and 3,400 holders of record of Chambers Class A Common Stock with 15,592,068 shares and 51,197,059 shares, respectively, issued and outstanding. Each share of Chambers Common Stock entitles the holder thereof to ten votes on each matter submitted for stockholder approval and each share of Chambers Class A Common Stock entitles the holder to one vote on each matter submitted for stockholder approval. Shares of Chambers Common Stock and Chambers Class A Common Stock vote together as one class. See "Principal Stockholders of USA Waste and Chambers" for information regarding persons known to management of Chambers to be the beneficial owners of more than 5% of the outstanding Chambers Common Stock or Chambers Class A Common Stock.</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a share is represented for any purpose at a Meeting, it is deemed to be present for all other matters. Abstentions and shares held of record by a broker or its nominee ("Broker Shares") that are voted on any matter are included in determining the number of votes present. Broker Shares that are not voted on any matter will not be included in determining whether a quorum is present. In all cases, shares with respect to which authority to vote is withheld, abstentions, and Broker Shares, which are not voted, will not be included in determining the number of votes cast.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AND REVOCATION OF PROXIES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properly executed proxies that are not revoked will be voted at the USA Waste Annual Meeting and the Chambers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(ii) election of the USA Waste Board's nominees for directors, (iii) approval of the Reincorporation, (iv) approval of the Board Classification Proposals, (v) approval of an increase in the number of authorized shares of USA Waste Common Stock from 50,000,000 to 150,000,000, (vi) approval of an increase in the number of shares of USA Waste Common Stock that may be issued under the USA Waste 1993 Stock Incentive Plan from 1,000,000 to 4,000,000 and (vii) ratification of the appointment of Coopers &amp; Lybrand L.L.P. as USA Waste's independent auditors. If a holder of Chambers Common Stock or Chambers Class A Common Stock executes and returns a proxy and does not specify otherwise, the shares represented by such proxy will be voted FOR approval and adoption of the Merger Agreement in accordance with the recommendation of the Board of Directors of Chambers. A shareholder of USA Waste or a stockholder of Chambers who has executed and returned a proxy may revoke it at any time before it is voted at the respective meeting by (a) executing and returning a proxy bearing a later date, (b) filing a written notice of such revocation with the Secretary of USA Waste or Chambers, as appropriate, stating that the proxy is revoked, or (c) attending the meeting and voting in person. Neither Oklahoma law nor Delaware law requires that holders of USA Waste Common Stock or Chambers Common Stock or Chambers Class A Common Stock who object to the Merger and who vote against or abstain from voting in favor of the Merger be afforded any appraisal rights or the right to receive cash for their shares. Neither USA Waste nor Chambers intends to make available any such rights to its shareholders or stockholders.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FOR APPROVAL</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USA Waste's Bylaws provide that the presence at the USA Waste Annual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Annual Meeting provided that the total vote cast on the proposal represents over 50% in interest of all shares entitled to vote on the proposal. At the close of business on the Record Date, there were 22,967,256 shares of USA Waste Common Stock outstanding and entitled to vote at the USA Waste Annual Meeting. On the Record Date, the directors and officers of USA Waste and their affiliates held 2,958,558 shares of USA Waste Common Stock, representing approximately 12.9% of the outstanding shares. Such persons have indicated to USA Waste that they intend to vote their shares in favor of the Merger and the other proposals described under "-- Purpose of the Meetings" above. See "Election of USA Waste Directors -- Beneficial Ownership of USA Waste Common Stock."</w:t>
      </w:r>
    </w:p>
    <w:p>
      <w:pPr>
        <w:spacing w:after="0" w:line="184"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Under Oklahoma law, the Reincorporation (Proposal No. 3) and the amendments to USA Waste's Certificate of Incorporation (Proposal Nos. 4 and 5) require the affirmative vote of the holders of a majority of the shares of USA Waste Common Stock outstanding on the Record Date, or 11,483,629 votes.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With respect to the election of USA Waste directors (Proposal No. 2), assuming the Board Classification Proposals are approved, the three nominees in each class receiving the highest number of affirmative votes will be elected to the Board of Directors of USA Waste. If the Board Classification Proposals are not approved, the nine nominees receiving the highest number of affirmative votes will be elected to the Board. Proxies given to the persons named in the USA Waste form of proxy will be voted FOR the election of the nominees listed under Election of USA Waste Directors unless authority to vote is withheld. With respect to the election of directors, should any of the USA Waste nominees become unavailable, the proxies will be voted for the remainder of the listed USA Waste nominees and for such other USA Waste nominees as may be designated by the Board of Directors of USA Waste as replacements for those who become unavailable. Discretionary authority for such replacement is included in the proxy. This Joint Proxy Statement and Prospectus also constitutes the annual report to security holders of USA Waste.</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amendment of the USA Waste 1993 Stock Incentive Plan (Proposal No. 6) and the ratification of the appointment of Coopers &amp; Lybrand L.L.P. (Proposal No. 7) require the affirmative vote of the holders of a majority of the shares of USA Waste Common Stock present or represented by proxy and entitled to vote at the USA Waste Annual Meeting.</w:t>
      </w:r>
    </w:p>
    <w:p>
      <w:pPr>
        <w:spacing w:after="0" w:line="350"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Chambers. The presence at the Chambers Special Meeting, in person or by proxy, of holders of the issued and outstanding shares of Chambers Common Stock and Chambers Class A Common Stock entitled to vote and representing a majority for the voting power of Chambers will constitute a quorum for the transaction of business. At the close of business on the Record Date, there were 15,439,668 shares of Chambers Common Stock (each of which is entitled to ten votes per share) and 51,349,459 shares of Chambers Class A Common Stock (each of which is entitled to one vote per share), outstanding and entitled to vote at the Chambers Special Meeting. Pursuant to Delaware law and the provisions of the Certificate of Incorporation of Chambers, approval and adoption of the Merger Agreement requires the affirmative vote of the holders of a majority of the shares of Chambers Common Stock and Chambers Class A Common Stock outstanding on the Record Date, voting as a single class, or approximately 102,873,070 votes. On the Record Date, the directors and officers of Chambers and their affiliates held 13,478,850 shares of Chambers Common Stock and 11,706,980 shares of Class A Common Stock, representing approximately 71.2% of the outstanding voting power. Such persons have indicated to Chambers that they intend to vote their shares in favor of the Merger Agreement. The affirmative vote of such persons would be sufficient to approve the Merger Agreement. See "Principal Stockholders of USA Waste and Chambers." This Joint Proxy Statement and Prospectus also constitutes the annual report to security holders of Chambers.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351"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addition to solicitation by mail, the directors, officers, and employees of each of USA Waste and Chambers may solicit proxies from their respective stockholders by personal interview, telephone, telegram, facsimile, or otherwise. USA Waste and Chambers will each bear the costs of the solicitation of proxies from their respective stockholders, except that USA Waste and Chambers will share equally the cost of printing this Joint Proxy Statement and Prospectus. In addition, USA Waste has engaged Corporate Investor Communications, Inc., a proxy solicitation firm, to assist in the solicitation of proxies of USA Waste shareholders. USA Waste will pay for costs and expenses in connection with the solicitation by such firm which are anticipated to be $25,000. Arrangements will be made with brokerage firms and other custodians, nominees, and fiduciaries who hold the voting securities of record for the forwarding of solicitation materials to the beneficial owners thereof. USA Waste and Chambers will reimburse brokers, custodians, nominees, and fiduciaries for the reasonable out-of-pocket expenses incurred by them in connection therewith.</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the date of this Joint Proxy Statement and Prospectus, the Boards of Directors of USA Waste and Chambers do not know of any business to be presented at their respective meetings other than as set forth in the notices accompanying this Joint Proxy Statement and Prospectus. Under Delaware law, no other matters may come before the Chambers Special Meeting. If any other matter should properly come before the USA Waste Annual Meeting, it is intended that the shares represented by proxies will be voted with respect to such matters in accordance with the judgment of the persons voting such proxies.</w:t>
      </w:r>
    </w:p>
    <w:p>
      <w:pPr>
        <w:spacing w:after="0" w:line="178"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THE MERGER AND RELATED TRANSACTIONS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detailed terms and conditions to the consummation of the Merger are contained in the Merger Agreement, which is attached hereto as Appendix A and incorporated herein by reference. The following discussion sets forth a description of certain material terms and conditions of the Merger Agreement. The description in this Joint Proxy Statement and Prospectus of the terms and conditions to the consummation of the Merger is qualified in its entirety by reference to the Merger Agreement.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DESCRIPTION OF 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Merger Agreement provides that, at the Effective Time, Acquisition will merge with and into Chambers, whereupon Chambers will become a wholly owned subsidiary of USA Waste and each outstanding share of Chambers Common Stock and Chambers Class A Common Stock will be converted into .41667 of a share of USA Waste Common Stock.</w:t>
      </w:r>
    </w:p>
    <w:p>
      <w:pPr>
        <w:spacing w:after="0" w:line="350" w:lineRule="exact"/>
        <w:rPr>
          <w:sz w:val="20"/>
          <w:szCs w:val="20"/>
          <w:color w:val="auto"/>
        </w:rPr>
      </w:pPr>
    </w:p>
    <w:p>
      <w:pPr>
        <w:ind w:right="3379" w:firstLine="451"/>
        <w:spacing w:after="0" w:line="265" w:lineRule="auto"/>
        <w:rPr>
          <w:sz w:val="20"/>
          <w:szCs w:val="20"/>
          <w:color w:val="auto"/>
        </w:rPr>
      </w:pPr>
      <w:r>
        <w:rPr>
          <w:rFonts w:ascii="Courier New" w:cs="Courier New" w:eastAsia="Courier New" w:hAnsi="Courier New"/>
          <w:sz w:val="14"/>
          <w:szCs w:val="14"/>
          <w:color w:val="auto"/>
        </w:rPr>
        <w:t>Based upon the number of shares of USA Waste Common Stock and Chambers Common Stock and Chambers Class A Common Stock outstanding as of the Record Date, approximately 50.8 million shares of USA Waste Common Stock will be outstanding immediately following the Effective Time, of which approximately 27.8 million shares, representing 54.8% of the total, will be held by former holders of Chambers Common Stock and Chambers Class A Common Stock.</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An initial meeting between management of USA Waste and Chambers occurred in mid-1993. At that time, USA Waste was pursuing as a part of its strategy the expansion of its waste management services through selective acquisitions of waste management operations that complemented existing operations or otherwise contributed to USA Waste's participation in the consolidation trend within the solid waste management industry. Chambers, on the other hand, was implementing a strategic program to increase cash flow and asset utilization by maximizing waste flow volumes into its existing network of landfill operations and to divest operations that were geographically removed from its core operations in the Mid-Atlantic region. On September 30, 1993, following meetings taking place during the summer and early fall of 1993, USA Waste purchased Chambers hauling and landfill operations in Indiana. While in the process of completing this transaction, the principal officers of Chambers and USA Waste became familiar with the respective business philosophies and operational strategies of each company. In early 1994, officers of Chambers and USA Waste held additional discussions with respect to the potential purchase by USA Waste of other operations of Chambers targeted for divestiture. During these discussions, the trend toward consolidation of the solid waste industry and existing industry conditions were topics addressed, with the representatives of Chambers and USA Waste expressing similar views on the strategic direction of the industry. Throughout this period, USA Waste was also engaged in pursuing other acquisition opportunities and in January 1994 announced its acquisition of Envirofil. Upon this announcement, discussions between USA Waste and Chambers were discontinued.</w:t>
      </w:r>
    </w:p>
    <w:p>
      <w:pPr>
        <w:spacing w:after="0" w:line="33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connection with its strategic plan to increase utilization of existing landfills, Chambers held several discussions during 1993 with Attwoods, PLC ("Attwoods"). Attwoods maintained a major hauling presence in the Florida and Maryland regions, and these discussions focused on long-term agreements for waste disposal by Attwoods into Chambers' sites in Okeechobee County, Florida and Amelia and Charles City Counties, Virginia. In addition, the respective officers of Attwoods and Chambers discussed various strategic "fits" between Chambers and Attwoods. On September 18, 1994, Browning-Ferris Industries, Inc. ("BFI") announced a hostile tender offer for all of Attwoods issued and outstanding shares. Given the proximity of Chambers' disposal capacity to Attwoods' hauling operations, Chambers was approached by various solid waste industry participants, including USA Waste, during this period with respect to potential competing offers for Attwoods.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the time of the initial meeting between USA Waste and Chambers, Chambers had been engaged in shareholder class action litigation precipitated by the revision in March 1992 of Chambers' financial results for prior periods and the ensuing decline in market value of Chambers Common Stock and Chambers Class A Common Stock. The core strategic program being implemented by Chambers at that time was in accordance with a restructuring of Chambers' financing arrangements in 1992 following instigation of the class action litigation. The restructured financing agreements entered into in 1992 and the pendency of the class action litigation had the effect of substantially restricting Chambers' capital resources and its access to capital markets. Chambers sought further restructuring and extension of its financing agreements throughout 1994 with the objective of reaching agreement with its lenders during the third quarter of 1994. Efforts were also undertaken to resolve the litigation with the class action plaintiffs throughout 1994, and were intensified during</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33" w:name="page34"/>
    <w:bookmarkEnd w:id="33"/>
    <w:p>
      <w:pPr>
        <w:ind w:left="268"/>
        <w:spacing w:after="0"/>
        <w:rPr>
          <w:sz w:val="20"/>
          <w:szCs w:val="20"/>
          <w:color w:val="auto"/>
        </w:rPr>
      </w:pPr>
      <w:r>
        <w:rPr>
          <w:rFonts w:ascii="Courier New" w:cs="Courier New" w:eastAsia="Courier New" w:hAnsi="Courier New"/>
          <w:sz w:val="15"/>
          <w:szCs w:val="15"/>
          <w:color w:val="auto"/>
        </w:rPr>
        <w:t>33</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early September 1994. At that time Chambers believed that the direction of its divestiture program, coupled with operating cash flow improvements and refinancing alternatives, created the potential to fund an acceptable settlement.</w:t>
      </w:r>
    </w:p>
    <w:p>
      <w:pPr>
        <w:spacing w:after="0" w:line="176"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During October 1994, the negotiations for a restructuring and extension of Chambers' financing agreements resulted in the request by the lending groups for increased financing fees during 1995 and 1996 and for the grant, for nominal consideration, of options covering 4% of Chambers' issued and outstanding equity in each of October 1995 and April 1996, unless replacement financing had been obtained. Chambers' simultaneous discussions with new financing sources indicated that replacement financing would require the resolution of the litigation issues, the payment of high-yield interest rates upon replacement borrowings, and the issuance by Chambers of equity on a preferred basis to new financing sources which would be dilutive to Chambers' existing stockholders.</w:t>
      </w:r>
    </w:p>
    <w:p>
      <w:pPr>
        <w:spacing w:after="0" w:line="163"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On October 13, 1994, Alexander W. Rangos, President and Chief Operating Officer, and William Rodgers, Jr., Senior Vice President and Chief Financial Officer, as representatives of Chambers, met with John E. Drury, Chief Executive Officer, and David Sutherland-Yoest, President and Chief Operating Officer, as representatives of USA Waste. The meeting initially provided an opportunity for the respective executives to become acquainted and to discuss industry conditions and general business and operational philosophies. Chambers' interest in providing disposal capacity for the operations of Attwoods in the Florida and Maryland markets and the potential participation by Chambers in joint ventures or other arrangements with Attwoods were also discussed in conjunction with the status of the hostile tender offer made by BFI for the acquisition of Attwoods. The nature of the contingent liabilities of Chambers relating to shareholder litigation was also generally discussed. The meeting concluded with a general expression of interest from the respective companies in exploring the potential for a business combination or other affiliation.</w:t>
      </w:r>
    </w:p>
    <w:p>
      <w:pPr>
        <w:spacing w:after="0" w:line="167"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Following the October 13 meeting, Chambers and USA Waste entered into a confidentiality agreement, executed on October 18, 1994, with respect to the exchange of financial and operational information for purposes of evaluating a potential merger transaction. USA Waste made clear that a final settlement of the shareholder litigation would be necessary for it to consider seriously any kind of affiliation with Chambers. During these discussions, Chambers and USA Waste also explored a potential joint transaction with Attwoods. In early November 1994, Chambers and USA Waste recognized the need to accelerate discussions with respect to a business combination if the parties intended to consider a transaction with Attwoods, as the hostile tender offer made by BFI for Attwoods was scheduled to close on December 2, 1994.</w:t>
      </w:r>
    </w:p>
    <w:p>
      <w:pPr>
        <w:spacing w:after="0" w:line="354"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In November 1994, USA Waste engaged DLJ and Kidder, Peabody &amp; Co. Incorporated ("Kidder, Peabody") to act as its financial advisors with respect to the possible acquisition of Chambers and subsequently executed an engagement letter with DLJ and Kidder, Peabody on November 30, 1994. J.P. Morgan had initially been retained as a financial advisor to Chambers by retention agreement of August 6, 1992, and thereafter assisted Chambers in the divestiture of its security services business in December 1992. Subsequently, J.P. Morgan was retained to serve as Chambers' financial advisor under a letter agreement of March 10, 1993, with the scope of services to include assistance with respect to potential settlement of the shareholder litigation and advice with respect to any sale, merger, consolidation or similar transaction. By an engagement letter dated November 17, 1994, the prior retention agreement between J.P. Morgan and Chambers was modified to address the negotiation of a potential merger or similar transaction with USA Waste. Although DLJ and J.P. Morgan were present at numerous meetings that took place in November 1994 between USA Waste and Chambers, neither financial advisor was actively involved in the negotiations of the terms of the Merger or in the determination of the Exchange Ratio except with respect to the fairness opinions to be delivered by DLJ and J.P. Morgan. J.P. Morgan made a preliminary presentation to the Board of Directors of Chambers on November 26, 1994. At such meeting, representatives of J.P. Morgan presented to the Board of Directors their preliminary analysis with respect to the valuation of Chambers and their initial analysis of the Merger and other strategic alternatives. J.P. Morgan had performed the following analyses: (i) an analysis of the combined company, (ii) a contribution analysis, (iii) a comparison of historical stock price performance, (iv) a discounted cash flow valuation analysis, (v) a comparison with selected publicly traded companies and</w:t>
      </w:r>
    </w:p>
    <w:p>
      <w:pPr>
        <w:spacing w:after="0" w:line="163" w:lineRule="exact"/>
        <w:rPr>
          <w:sz w:val="20"/>
          <w:szCs w:val="20"/>
          <w:color w:val="auto"/>
        </w:rPr>
      </w:pPr>
    </w:p>
    <w:p>
      <w:pPr>
        <w:jc w:val="both"/>
        <w:ind w:left="8" w:right="3639" w:hanging="8"/>
        <w:spacing w:after="0" w:line="244" w:lineRule="auto"/>
        <w:tabs>
          <w:tab w:leader="none" w:pos="45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analysis of selected mergers and acquisitions, each as more fully described below under "-- Opinion of Financial Advisor to Chambers." J.P. Morgan's initial conclusion,</w:t>
      </w:r>
    </w:p>
    <w:p>
      <w:pPr>
        <w:sectPr>
          <w:pgSz w:w="11900" w:h="16838" w:orient="portrait"/>
          <w:cols w:equalWidth="0" w:num="1">
            <w:col w:w="10227"/>
          </w:cols>
          <w:pgMar w:left="232" w:top="291" w:right="1440" w:bottom="1440" w:gutter="0" w:footer="0" w:header="0"/>
        </w:sectPr>
      </w:pP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91"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subject to completion of due diligence, was that the combined value of a merger exceeded the stand alone value of Chambers. After completion of the due diligence and analyses described under "-- Opinion of Financial Advisor to Chambers," such initial conclusion was unchanged. In addition, DLJ and J.P. Morgan made presentations to the Board of Directors of USA Waste and Chambers, respectively, on December 19, 1994, as described below.</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Chambers achieved conceptual resolution on the settlement of the shareholder class action and related litigation on November 8, 1994, with the Board of Directors approving the terms and conditions, subject to final documentation, on November 9, 1994. Memoranda of Understanding with respect to the settlement of the class action and related litigation were ultimately executed on November 18, 1994.</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November 13, 1994, representatives of USA Waste and Chambers met in Austin, Texas to further discuss a merger transaction. This meeting included Alexander W. Rangos and Peter V. Morse, Senior Vice President of Marketing and Development of Chambers, and Donald F. Moorehead, Jr., John E. Drury and David Sutherland-Yoest of USA Waste. Discussions between these parties continued on November 14. A subsequent meeting was held on November 17 in Dallas which involved Messrs. Alexander W. Rangos and Rodgers, accompanied by representatives of Chambers' financial advisor, and Messrs. Moorehead, Drury and Earl E. DeFrates. On Monday, November 22, 1994, negotiations were continued in Pittsburgh, Pennsylvania with respect to various legal, accounting, structuring and valuation issues. Messrs. John G. Rangos, Sr., John G. Rangos, Jr., Alexander W. Rangos, Rodgers and Morse of Chambers were present at various times during the negotiations, together with Chambers' legal and financial advisors. Messrs. Moorehead and DeFrates of USA Waste attended these negotiations, together with USA Waste's legal and financial advisors. Thereafter, with the exception of Thanksgiving Day, discussions with respect to valuation and structuring of a merger of Chambers and USA Waste were held continuously through November 28, 1994.</w:t>
      </w:r>
    </w:p>
    <w:p>
      <w:pPr>
        <w:spacing w:after="0" w:line="18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During such discussions the Exchange Ratio was determined through arms' length negotiations which involved exchanges of views concerning the business, operations, financial position, strategic goals and future prospects of each of USA Waste and Chambers as well as the relative contribution of each company to the combined entity and the relative ownership of the combined entity by the current USA Waste shareholders and the Chambers stockholders, respectively. The Exchange Ratio was calculated based on agreed upon relative per share values of the USA Waste and Chambers common shares. Initially, the parties negotiated a "collar" such that the Exchange Ratio would be adjusted downward in the event that the average market price of USA Waste Common Stock over a certain ten-day period preceding the closing date of the Merger (the "Average Market Price") exceeded $18.00 per share or would be adjusted upward in the event that the Average Market Price was less than $10.80 per share. The parties also negotiated a provision permitting USA Waste to terminate the Merger Agreement in the event that the Average Market Price fell below $9.60 per share. As described below, the collar and the termination provision were subsequently eliminated.</w:t>
      </w:r>
    </w:p>
    <w:p>
      <w:pPr>
        <w:spacing w:after="0" w:line="16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November 28, 1994, the respective Boards of Directors of USA Waste and Chambers considered and approved the Merger Agreement and the Merger Agreement was executed on such date. Simultaneous discussions were held during this period among representatives of USA Waste, Chambers and Attwoods with respect to a possible affiliation in the event that BFI's hostile tender offer, which was to expire on December 2, 1994, was unsuccessful. In their negotiations, Chambers and USA Waste initially considered the effect of a combination of the two companies as well as a combination of both with Attwoods, concluding that a USA Waste and Chambers transaction was desirable irrespective of the Attwoods possibility. On December 2, 1994, BFI announced the successful completion of its tender offer for Attwoods.</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Simultaneously with the execution of the Merger Agreement, the members of the Rangos family (John G. Rangos, Sr., John G. Rangos, Jr. and Alexander W. Rangos), the controlling stockholders of Chambers who held stock representing approximately 70% of the outstanding voting rights, and certain stockholders of USA Waste (Donald F. Moorehead, Jr. and John E. Drury) who held approximately 11% of USA Waste's stock, gave proxies to the other company permitting it to vote the stock held and controlled by them in favor of the Merger Agreement in the event that a competing offer for either company was made. Each of the proxies subsequently expired and has not been renewed. As noted above in "The Meetings --</w:t>
      </w:r>
    </w:p>
    <w:p>
      <w:pPr>
        <w:sectPr>
          <w:pgSz w:w="11900" w:h="16838" w:orient="portrait"/>
          <w:cols w:equalWidth="0" w:num="1">
            <w:col w:w="10219"/>
          </w:cols>
          <w:pgMar w:left="240" w:top="291" w:right="1440" w:bottom="1440" w:gutter="0" w:footer="0" w:header="0"/>
        </w:sectPr>
      </w:pP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Vote Required for Approval," all of these stockholders have indicated their intention to vote in favor of the Merger Agreement.</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terms of the Merger Agreement each party had the right to terminate the Merger Agreement if, within 21 days after the date of the Merger Agreement, its Board of Directors (a) did not receive an opinion from its financial advisor that the Exchange Ratio or the consideration to be received by the Chambers stockholders was fair, from a financial point of view, to the party's shareholders or stockholders, (b) reasonably determined that the representations and warranties of the other party were not true and correct in any material respect, (c) reasonably determined, after consultation with its accountant, that the Merger would not qualify as a "pooling of interests" transaction, or (d) reasonably determined that all required governmental approvals could not be obtained prior to the closing date of the Merger, or if the parties were unable to reach a mutual agreement concerning the development of a financing plan for certain obligations of Chambers. During that 21-day period, USA Waste and Chambers each performed due diligence inquiries on the other.</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term sheet amending certain provisions of the Class Action Memorandum of Understanding was circulated by letter dated December 16, 1994 (the "December 16 Amendment"). The December 16 Amendment provided that payment to the class members would be increased by $5 million plus an amount consisting of $16,000 for each penny above $4.50 of Merger consideration received by Chambers' stockholders per share of Chambers Common Stock or Chambers Class A Common Stock, payable only in the event that the Merger or a comparable transaction is consummated. The December 16 Amendment also contained provisions relating to, among other things, the dates of payments to the class members and period of notice to the class members. The terms of the December 16 Amendment, with subsequent modifications and clarifications, were incorporated in the final settlement agreements relating to the class action litigation. See "Description of Chambers -- Legal Proceedings."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December 19, 1994, the Board of Directors of Chambers met to consider the Merger Agreement. At that meeting, Chambers' management, legal counsel and independent accountants presented to the Board the results of their respective due diligence inquiries of USA Waste and its affiliates. In addition, representatives of J.P. Morgan presented to the Board the results of its due diligence inquiry of USA Waste and its affiliates as well as its forecast and valuation of Chambers and its analysis of the Merger. Also, Chambers' management and representatives of USA Waste presented a summary of a proposed financing plan with respect to the funding of certain obligations of Chambers.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During the December 19 meeting, in connection with the evaluation by USA Waste of the December 16 Amendment to the terms of the proposed settlement of the shareholder litigation, USA Waste's representatives presented a proposed amendment to the Merger Agreement to either reduce the Exchange Ratio or adjust or eliminate the "collar" on the Exchange Ratio. After lengthy discussions and negotiations, the parties agreed to amend the Merger Agreement by deleting the "collar" on the Exchange Ratio and the termination provision in favor of USA Waste, and accepted the amendments to the terms of the proposed settlement of the shareholder litigation. The Exchange Ratio was not adjusted.</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At the December 19 meeting, J.P. Morgan delivered its written opinion that the consideration to be received in the Merger is fair, from a financial point of view, to the stockholders of Chambers. Based upon the receipt of J.P. Morgan's fairness opinion, the review of the financing plan, and after hearing the results of the due diligence inquiries, the Board of Directors of Chambers determined not to exercise its right to terminate the Merger Agreement.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December 19, 1994, USA Waste's management presented the Merger Agreement and the terms of the Merger to the USA Waste Board of Directors, including the amendment to the Merger Agreement that was agreed to by the Chambers Board, as well as a potential increase in the payments that would be made by Chambers pursuant to the litigation settlement. USA Waste's management reviewed with the Board the results of its due diligence inquiries of Chambers and the results of the due diligence inquiries of USA Waste's counsel and accountants. Representatives of DLJ then reviewed with the USA Waste Board of Directors certain financial and operating data relating to Chambers and other publicly held solid waste companies, as well as certain pro forma financial information reflecting the Merger. After making this presentation and</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responding to questions, the DLJ representatives advised the Board that, in DLJ's opinion, the Exchange Ratio was fair, from a financial point of view, to the holders of USA Waste Common Stock. Following such review and discussion, the USA Waste Board of Directors reaffirmed the Merger Agreement and voted to recommend to USA Waste's shareholders the approval of the Merger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WASTE'S REASONS FOR THE MERGER</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evaluating the Merger, the management and the Board of Directors of USA Waste considered a variety of factors in the context of USA Waste's strategic objectives. A key element of USA Waste's strategy is to expand solid waste management services through the acquisition of additional solid waste collection operations, landfills, and collection, transfer and recycling operations, with the objective of becoming a national integrated solid waste management company with a broad geographic base of operations. USA Waste anticipates that added service requirements, increased regulation and heightened public concern over the environment, all of which have contributed to dramatically higher costs associated with providing waste management services generally, will cause continued industry consolidation as well as increased privatization of municipal services, affording attractive future opportunities for growth. In evaluating the Merger, USA Waste's Board considered the desirability of adding the significant airspace capacity offered by Chambers' landfills to USA Waste's existing base of operations, the large capital investment made by Chambers to construct its new landfills in compliance with strict regulatory requirements and the ability of USA Waste to increase utilization of Chambers' landfills by focusing on additional waste flows and improving economic efficiencies of Chambers' collection and landfill operations. USA Waste's Board concluded that by combining operations of USA Waste and Chambers, USA Waste would further its strategic objectives and that the combined entity could participate more effectively in the ongoing consolidation of the solid waste services industry. In addition, the USA Waste Board of Directors and management concluded that a larger asset and revenue base resulting from the Merger would provide USA Waste better access to capital to pursue its strategic objectives and achieve economies of scale associated with a larger base of operations, with an ultimate goal of increasing shareholder value.</w:t>
      </w:r>
    </w:p>
    <w:p>
      <w:pPr>
        <w:spacing w:after="0" w:line="200" w:lineRule="exact"/>
        <w:rPr>
          <w:sz w:val="20"/>
          <w:szCs w:val="20"/>
          <w:color w:val="auto"/>
        </w:rPr>
      </w:pPr>
    </w:p>
    <w:p>
      <w:pPr>
        <w:spacing w:after="0" w:line="31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management considered the impact of certain general and administrative cost savings that could be realized following the Merger and evaluated the pro forma financial impact of the Merger, giving effect to certain adjustments for nonrecurring items that appear in the historical and combined pro forma financial information. For a description of such adjustments, and the impact of such adjustments on the pro forma financial information, see "Supplemental Information Relating to Pro Forma Statement of Operations for the Year Ended December 31, 1994."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the December 19, 1994 meeting, the USA Waste Board of Directors received an oral opinion from DLJ that the Exchange Ratio was fair, from a financial point of view, to the holders of USA Waste Common Stock. The USA Waste Board received a written opinion to such effect dated the date hereof. See "-- Opinion of Financial Advisor to USA Waste."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USA WASTE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the reasons set forth under "USA Waste's Reasons for the Merger," the Board of Directors of USA Waste believes that the terms of the Merger Agreement and the Merger are fair to, and in the best interests of, USA Waste and the holders of USA Waste Common Stock. All members of the Board of Directors present at the meetings held on November 28, 1994 and December 19, 1994, approved the Merger Agreement and the Merger and recommend that the holders of USA Waste Common Stock vote FOR adoption and approval of the Merger Agreement and the Merger. In considering the recommendation of the USA Waste Board of Directors with respect to the Merger, USA Waste shareholders should be aware that certain officers and directors of USA Waste have employment agreements that may require severance payments in the event of a change of control such as the Merger. See "The Merger and Related Transactions -- Conflicts of Interest."</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REASONS FOR 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matters considered by management and the Board of Directors of Chambers in evaluating the Merger included the primary concern that Chambers is in need of significant capital in order to refinance its existing debt and in order to fund a settlement with respect to the shareholder litigation. Chambers' management believes that such capital would not be available to Chambers on a stand-alone basis without significant dilution to the equity stockholders of Chambers. In addition, due to the restricted liquidity of Chambers in the near term, it is believed that Chambers alone is not able to take advantage of the trend toward consolidation in the waste management industry and thus cannot participate in any upside potential inherent in such consolidation trend. Chambers' management believes that the Merger will provide the combined entities with access to capital sufficient both to meet Chambers' existing obligations and to permit participation in the industry consolidation.</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Chambers' management believes, based on the market price of USA Waste Common Stock immediately prior to announcement of the Merger ($14.00 per share on November 25, 1994), that the Merger will result in a premium to the stockholders of Chambers over the market price of Chambers' stock immediately prior to announcement of the Merger ($3.13 per share of Chambers Common Stock and $3.00 per share of Chambers Class A Common Stock on November 25, 1994) and permitting Chambers stockholders who become shareholders of USA Waste the opportunity to participate in any potential future appreciation in value of USA Waste Common Stock. The equivalent per share price of Chambers Common Stock and Chambers Class A Common Stock on November 25, 1994, calculated by multiplying the closing price of USA Waste Common Stock on the same date by the Exchange Ratio, was $5.83. There is no guarantee that the stockholders of Chambers will receive a premium if the Merger is approved.</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management considered the impact of certain general and administrative cost savings that could be realized following the Merger and evaluated the pro forma financial impact of the Merger, giving effect to certain adjustments for nonrecurring items that appear in the historical and combined pro forma financial information. For a description of such adjustments, and the impact of such adjustments on the pro forma financial information, see "Supplemental Information Relating to Pro Forma Statement of Operations for the Year Ended December 31, 1994."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the December 19, 1994 meeting, the Board of Directors of Chambers received a written opinion from J.P. Morgan stating that the consideration to be received by the stockholders of Chambers pursuant to the Merger was fair, from a financial point of view, to the holders of Chambers Common Stock and Chambers Class A Common Stock. J.P. Morgan confirmed such opinion as of the date hereof. See " -- Opinion of Financial Advisor to Chambers."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CHAMBERS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the reasons set forth under "Background of the Merger" and "Chambers' Reasons for the Merger," the Board of Directors of Chambers believes that the Merger Agreement is fair to, and in the best interests of, Chambers and the holders of Chambers Common Stock and Chambers Class A Common Stock. All members of the Board of Directors approved the Merger Agreement and recommended that the holders of Chambers Common Stock and Chambers Class A Common Stock vote FOR adoption and approval of the Merger Agreement. In considering the recommendation of the Chambers Board of Directors with respect to the Merger, Chambers stockholders should be aware that certain officers and directors of Chambers have direct and indirect interests in the consummation of the Merger, apart from their interests as stockholders of Chambers, which are not identical to those of unaffiliated stockholders of Chambers. See "The Merger and Related Transactions -- Conflicts of Interest."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 TO USA WASTE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its role as financial advisor to USA Waste, DLJ was asked by USA Waste to render an opinion (the "DLJ Opinion") to the Board of Directors of USA Waste as to the fairness to the shareholders of USA Waste, from a financial point of view, of the Exchange Ratio pursuant to the Merger Agreement. On December 19, 1994, DLJ orally advised the USA Waste Board of Directors that DLJ would be prepared to</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1"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deliver a written opinion to the USA Waste Board of Directors that the Exchange Ratio was fair to the shareholders of USA Waste from a financial point of view as of that date, subject to DLJ's review of the final terms and conditions of the Merger Agreement. On the date hereof, DLJ issued to the USA Waste Board of Directors its written opinion that, based upon and subject to the provisions set forth in such opinion, the Exchange Ratio is fair to the shareholders of USA Waste from a financial point of view.</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FULL TEXT OF THE WRITTEN OPINION OF DLJ, DATED THE DATE HEREOF, IS ATTACHED HERETO AS APPENDIX B. USA WASTE SHAREHOLDERS ARE URGED TO READ THE DLJ OPINION CAREFULLY IN ITS ENTIRETY FOR ASSUMPTIONS MADE, MATTERS CONSIDERED, SCOPE AND LIMITS OF THE REVIEW AND PROCEDURES FOLLOWED BY DLJ IN CONNECTION WITH SUCH OPINION.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USA Waste Board of Directors selected DLJ as its financial advisor because it is a nationally recognized investment banking firm and the principals of DLJ have substantial experience in the solid waste industry and are familiar with USA Waste and its businesses. As part of its investment banking business, DLJ is regularly engaged in the valuation of businesses and their securities in connection with mergers and acquisitions.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DLJ Opinion does not constitute a recommendation to any shareholder as to how such shareholder should vote at either the USA Waste Annual Meeting or the Chambers Special Meeting. DLJ did not, and was not requested by the USA Waste Board to, make any recommendation as to the form or amount of consideration to be paid to holders of Chambers Common Stock and Chambers Class A Common Stock in the Merger, which issues were resolved in arm's-length negotiations between USA Waste and Chambers, in which negotiations DLJ advised USA Waste. DLJ's opinion does not constitute an opinion as to the price at which the USA Waste Common Stock will actually trade at any time. See "Market Price Data." No restrictions or limitations were imposed by USA Waste upon DLJ with respect to the investigations made or the procedures followed by DLJ in rendering its opinion. USA Waste did not authorize DLJ to solicit, and DLJ did not solicit, any third party indications of interest in a purchase of, or business combination with, USA Waste or Chambers (other than the discussions regarding a possible business combination with Attwoods). See " -- Background of the Merger."</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arriving at its opinion, DLJ reviewed the Merger Agreement. DLJ also reviewed financial and other information that was publicly available or furnished to it by or on behalf of USA Waste and Chambers including information provided during discussions with their respective managements, including consolidated financial statements and other information of USA Waste and Chambers for the fiscal years 1991 through 1993 and for the interim periods for the fiscal years 1993 and 1994. Included in the information provided were certain financial projections for USA Waste and Chambers for the fiscal years 1994 to 1999 prepared by the managements of USA Waste and Chambers, respectively. In addition, DLJ examined the impact of the Merger on earnings per share of USA Waste given certain cost reductions contemplated to result from the Merger and the applicability of a net operating loss carryforward of Chambers, each as reflected in the financial projections prepared by the respective managements of USA Waste and Chambers; compared the relative contribution of both USA Waste's and Chambers' revenues, gross profit, operating profit, operating cash flow and other measures to USA Waste's and Chambers' relative ownership of the combined companies upon giving effect to the Merger; compared certain financial and securities data of USA Waste and Chambers with selected companies whose securities are traded in public markets; reviewed the historical stock prices and trading volumes of USA Waste Common Stock and Chambers Common Stock and Chambers Class A Common Stock; reviewed prices and premiums paid in certain other selected business combinations and performed a discounted cash flow analysis of Chambers. DLJ also discussed the past and current operations, financial condition and prospects of USA Waste and Chambers with the respective managements of USA Waste and Chambers and conducted such other financial studies, analyses and investigations as DLJ deemed appropriate for purposes of rendering its opinion.</w:t>
      </w:r>
    </w:p>
    <w:p>
      <w:pPr>
        <w:spacing w:after="0" w:line="19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rendering its opinion, DLJ relied upon and assumed, without independent verification, the accuracy, completeness and fairness of all of the financial and other information that was available to it from public sources, that was provided to it by USA Waste and Chambers or their representatives, or that was otherwise reviewed by it. DLJ also assumed that the financial projections supplied to it were reasonably prepared on</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1"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bases reflecting the best currently available estimates and judgments of the respective managements of USA Waste and Chambers as to the future operating and financial performance of USA Waste and Chambers, respectively. DLJ relied, without independent investigation, upon the respective estimates of USA Waste and Chambers of certain cost reductions contemplated to result from the Merger and upon its discussion of such cost reductions with the respective managements of USA Waste and Chambers. DLJ did not make any independent evaluation of the assets, liabilities or operations of USA Waste or Chambers, nor did DLJ verify the information reviewed by it. DLJ made no independent investigation of any legal matters affecting USA Waste or Chambers and assumed the correctness of all legal advice given to the Board of Directors of USA Waste by its counsel.</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DLJ Opinion is necessarily based on economic, market, financial and other conditions as they existed on, and on the information made available to it as of, the date of the DLJ Opinion. It should be understood that, although subsequent developments may affect its opinion, DLJ does not have any obligation to update, revise or reaffirm the DLJ Opinion.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is a summary of the material factors considered and principal financial analyses performed by DLJ in connection with the DLJ Opinion. DLJ performed certain procedures, including each of the financial analyses described below, and reviewed with the managements of USA Waste and Chambers the assumptions on which such analyses were based and other factors, including the current and projected financial results of such companies.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Pro Forma Merger Analysis. DLJ analyzed certain pro forma effects resulting from the Merger. DLJ reviewed, without independent verification, certain cost reductions contemplated to result from the Merger in 1995 and 1996 by combining the operations of Chambers and USA Waste as projected by the managements of Chambers and USA Waste. DLJ analyzed the pro forma effect of such cost reductions on net income and earnings per share for USA Waste. The analysis indicated that the pro forma earnings per share of USA Waste, assuming the annual cost reductions contemplated to result from the Merger and assuming utilization of the Chambers net operating loss carryforward (subject to the net operating loss carryforward limitation set forth in Section 382 of the Internal Revenue Code of 1986, as amended (the "Code")), would be 21% higher in the fiscal year ending 1995 and 20% higher in the fiscal year ending 1996 than comparable projections for USA Waste as a stand-alone company during the same periods. The analysis also indicated that the pro forma earnings per share of USA Waste, assuming the annual cost reductions contemplated to result from the Merger and assuming full utilization of the Chambers net operating loss carryforward (not subject to the net operating loss carryforward limitation set forth in Section 382 of the Code), would be 64% higher in the fiscal year ending 1995 and 23% higher in the fiscal year 1996 than comparable projections for USA Waste as a stand-alone company during the same periods. The analysis also indicated that the pro forma earnings per share of USA Waste, assuming the annual cost reductions contemplated to result from the Merger, but assuming no utilization of the Chambers net operating loss carryforward, would be 1% higher in the fiscal year ending 1995 and 3% higher in the fiscal year ending 1996 than comparable projections for USA Waste as a stand-alone company during the same periods. The results of the pro forma combination analysis are not necessarily indicative of future operating results or financial position.</w:t>
      </w:r>
    </w:p>
    <w:p>
      <w:pPr>
        <w:spacing w:after="0" w:line="19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Contribution Analysis. DLJ analyzed USA Waste's and Chambers' relative contribution to the combined company with respect to revenues; gross profit; earnings before interest, taxes, depreciation and amortization ("EBITDA"); and earnings before interest and taxes ("EBIT"). Such analysis was considered in both absolute dollar terms and on a percentage basis and was made, for the year ended December 31, 1994, based on actual results for the first three quarters of 1994 and the projected results (projections by the respective managements of USA Waste and Chambers) for the fourth quarter of 1994. As a result of the Merger, shareholders of USA Waste will own 49.0% of the combined companies, assuming conversion of USA Waste's 8.5% convertible subordinated debentures, due 2002. This compares with USA Waste's contribution to the combined company's pro forma results for the period ended December 31, 1994 (prior to taking into account any operating synergies which may result from the Merger) of 41% of revenues, 48% of gross profit, 47% of EBITDA and 60% of EBIT.</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1"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Analysis of Certain Other Publicly Traded Companies. To provide contextual data and comparative market information, DLJ compared selected historical share price, earnings, and operating and financial ratios for Chambers to the corresponding data and ratios of certain other companies whose securities are publicly traded (collectively, the "Public Companies"). The Public Companies were chosen because they possess general business, operating and financial characteristics representative of companies in the industry in which USA Waste and Chambers operate. The Public Companies selected consisted of: Attwoods; BFI; Laidlaw Inc.; MidAmerican Waste Systems, Inc.; Sanifill, Inc.; United Waste Systems, Inc.; Western Waste Industries, Inc.; and WMX Technologies, Inc. Such data and ratios included Enterprise Value ("Enterprise Value" is defined as the product of the stock price and total shares outstanding plus Net Debt (i.e. debt and preferred stock less cash and cash equivalents)) as a multiple of revenues, EBITDA and EBIT for the latest reported twelve months and the growth rates of each of such items for the three most recent fiscal years. To establish a relationship between the Adjusted Purchase Price (as hereinafter defined) for Chambers and certain other publicly traded companies' market multiples, a 40% control premium was applied to the market multiples for certain other publicly traded companies. The average multiple of Enterprise Value to revenues for the companies reviewed was 2.7 times, with a high of 4.2 times and a low of 1.5 times. The average multiple of revenues was then multiplied by Chambers' fiscal 1994 estimated revenues to arrive at an implied total Enterprise Value for Chambers of $705.0 million. The implied Enterprise Value for Chambers was then adjusted for Net Debt of $275.0 million to yield an implied equity value, which was then divided by Chambers shares and stock options outstanding on December 13, 1994 to arrive at an implied price of $6.44 per fully diluted share. The average multiple of Enterprise Value to EBITDA for the companies reviewed was</w:t>
      </w:r>
    </w:p>
    <w:p>
      <w:pPr>
        <w:spacing w:after="0" w:line="16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9.4 times, with a high of 11.2 times, and a low of 7.2 times. The average EBITDA multiple was then multiplied by Chambers' fiscal 1994 estimated EBITDA to arrive at an implied total Enterprise Value for Chambers of $568.7 million. The implied Enterprise Value for Chambers was then adjusted for Net Debt of $275.0 million to yield an implied equity value, which was then divided by Chambers shares and stock options outstanding on December 13, 1994 to arrive at an implied price of $4.40 per fully diluted share. The average EBITDA multiple of 9.4 times was also applied to: (i) Chambers' fiscal 1994 pro forma EBITDA to arrive at an implied total Enterprise Value for Chambers of $658.0 million and an implied price of $5.73 per fully diluted share; and (ii) Chambers' fiscal 1994 pro forma EBITDA with expected cost reductions to arrive at an implied total Enterprise Value for Chambers of $990.8 million and an implied price of $10.72 per fully diluted share. The average multiple of Enterprise Value to EBIT for the companies reviewed was 16.5 times, with a high of 20.9 times and a low of 11.5 times. The average EBIT multiple was then multiplied by Chambers fiscal 1994 estimated EBIT to arrive at an implied total Enterprise Value for Chambers of $374.6 million. The implied Enterprise Value for Chambers was then adjusted for Net Debt of $275.0 million to yield an implied equity value, which was then divided by Chambers shares outstanding on December 13, 1994 to arrive at an implied price of $1.49 per fully diluted share. The average EBIT multiple of 16.5 times was also applied to Chambers' fiscal 1994 EBIT with cost reductions contemplated to result from the Merger to arrive at an implied total Enterprise Value for Chambers of $958.7 million and an implied price of $10.24 per fully diluted share.</w:t>
      </w:r>
    </w:p>
    <w:p>
      <w:pPr>
        <w:spacing w:after="0" w:line="18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DLJ examined the ratios of current stock prices to earnings per share ("EPS") for the latest twelve-month period ended September 30, 1994, estimated fiscal year 1994 EPS (as estimated by Institutional Brokers Estimate System, "IBES"), and estimated fiscal year 1995 EPS (as estimated by IBES), and current stock prices to book value for these companies and compared such ratios with those of Chambers. To establish a relationship between the Equity Purchase Price (as hereinafter defined) for Chambers and certain other publicly traded companies' market multiples, a 40% control premium was applied to the market multiples for certain other publicly traded companies. The average multiple of stock price to latest twelve-month EPS for the certain other publicly traded companies was 28.3 times, with a high of 39.6 times and a low of 13.7 times. The multiple for Chambers was not meaningful due to negative earnings of Chambers during this period. The average multiple of stock price to estimated 1994 EPS for the certain other publicly traded companies was 24.7 times with a high of 28.2 times and a low of 21.0 times, which compares to a 66.8 times multiple for Chambers. The certain other publicly traded companies average multiple was then applied to the Chambers fiscal 1994 estimated EPS (as estimated by IBES) to arrive at an implied price of $1.97 per fully diluted share. The average multiple of stock price to estimated 1995 EPS for the certain other publicly traded companies was 20.9 times with a high of 23.4 times and a low of 17.6 times, which compares to a 31.4 times</w:t>
      </w:r>
    </w:p>
    <w:p>
      <w:pPr>
        <w:sectPr>
          <w:pgSz w:w="11900" w:h="16838" w:orient="portrait"/>
          <w:cols w:equalWidth="0" w:num="1">
            <w:col w:w="10219"/>
          </w:cols>
          <w:pgMar w:left="240" w:top="291" w:right="1440" w:bottom="1440" w:gutter="0" w:footer="0" w:header="0"/>
        </w:sectPr>
      </w:pP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1"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multiple for Chambers. The average multiple was then applied to Chambers' fiscal 1995 EPS (as estimated by IBES) to arrive at an implied price of $3.55 per fully diluted share. The average multiple of stock price to Book Value for the certain other publicly traded companies was 2.8 times with a high of 4.0 times and a low of 0.9 times. The average multiple was then applied to Chambers' book value as of September 30, 1994 to arrive at an implied price of $3.37 per fully diluted share. This compares to an implied Equity Purchase Price of the Merger of $4.79 on December 13, 1994.</w:t>
      </w:r>
    </w:p>
    <w:p>
      <w:pPr>
        <w:spacing w:after="0" w:line="178"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Transaction Analysis. DLJ reviewed publicly available information for four selected transactions involving the combination of selected solid waste management companies. The four transactions reviewed (the "Comparative Transactions") included: (i) BFI/Attwoods; (ii) USA Waste/Envirofil; (iii) Envirofil/Environmental Waste of America; and (iv) WMX Technologies, Inc./Wheelabrator Technologies, Inc. The four transactions selected are not intended to represent the complete list of solid waste management transactions which have occurred during the last five years; rather, they include only transactions involving combinations of companies with operating characteristics, size or financial performance characteristics believed to be comparable to such characteristics of Chambers and USA Waste. DLJ reviewed the consideration paid in such transactions in terms of the Equity Purchase Price plus total debt less cash and cash equivalents ("Adjusted Purchase Price") as a multiple of revenues, EBITDA and EBIT for the latest reported twelve months prior to the announcement of such transaction. The Adjusted Purchase Price for the Merger was computed by taking the product of the USA Waste Common Stock price at December 13, 1994 and the Exchange Ratio multiplied by Chambers shares outstanding at December 13, 1994 plus total debt less cash and cash equivalents. The ratio of Adjusted Purchase Price to revenues, computed for the selected transactions announced since September 1990, averaged 1.6 times and ranged from 1.2 times to 2.0 times compared to 2.4 times revenues for the Merger based on Chambers operating performance for 1994 estimated fiscal year results. The multiple of Adjusted Purchase Price to EBITDA, computed based on the Comparative Transactions announced since September 1990, averaged 12.9 times and ranged from 8.0 times to 17.1 times compared to 10.2 times EBITDA and 8.8 times Pro Forma EBITDA ("Pro Forma EBITDA" assumes all acquisitions/divestitures made during 1994 occurred on January 1, 1994) for the Merger based on the operating performance of Chambers for 1994 estimated fiscal year results. The multiple of Adjusted Purchase Price to EBIT, computed for the Comparative Transactions announced since September 1990, averaged 21.8 times and ranged from 13.7 times to 35.2 times compared to 27.2 times EBIT for the Merger, based on the operating performance of Chambers for 1994 estimated fiscal year results.</w:t>
      </w:r>
    </w:p>
    <w:p>
      <w:pPr>
        <w:spacing w:after="0" w:line="200" w:lineRule="exact"/>
        <w:rPr>
          <w:sz w:val="20"/>
          <w:szCs w:val="20"/>
          <w:color w:val="auto"/>
        </w:rPr>
      </w:pPr>
    </w:p>
    <w:p>
      <w:pPr>
        <w:spacing w:after="0" w:line="32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DLJ also reviewed the consideration paid in such transactions in terms of equity cost (offer price per share multiplied by total common shares outstanding; the "Equity Purchase Price") as a multiple of the book value at the close of the last fiscal quarter prior to the date of announcement of the transaction. The Equity Purchase Price of the Merger was computed by taking the product of the USA Waste Common Stock price at December 13, 1994 and the Exchange Ratio multiplied by Chambers shares outstanding at December 13, 1994. The ratio of Equity Purchase Price to book value, computed for the selected Comparative Transactions announced since September 1990, averaged 3.7 times and ranged from 2.4 times to 5.0 times. This compares to the 3.9 times book value attributable to Chambers based upon a book value for Chambers at September 30, 1994.</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DLJ's analysis also determined the percentage increase of the offer prices (represented by the purchase price per share in cash transactions and the stock price of the constituent securities times the exchange ratio in the case of stock-for-stock mergers) over the trading prices one day, one week and one month prior to the announcement date of transactions in two general categories, (i) selected merger and acquisition transactions since January 1, 1993 with a transaction value in excess of $100 million, and (ii) 110 stock for stock transactions completed since January 1, 1993. The percentage amount by which offer prices exceeded the closing stock prices one day, one week and one month prior to the announcement date of all completed merger and acquisition transactions since January 1, 1993 with a transaction value in excess of $100 million averaged 36.1%, 38.6% and 41.9%, respectively. The percentage amount by which offer prices exceeded the closing stock prices one day, one week and one month prior to the announcement date of stock for stock transactions completed since January 1, 1993 averaged 31.4%, 33.8% and 38.0%, respectively, compared to a premium of 53.0%, 130.0% and 130.0%, respectively, over the Chambers Common Stock and Chambers Class A Common</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Stock prices one day, one week and one month prior to December 13, 1994 based on the price of the USA Waste Common Stock at December 13, 1994.</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Stock Trading History. To provide perspective on current public market valuations and stock price performance of USA Waste, Chambers and the Public Companies relative to selected market indices, DLJ examined the history of the trading prices and their relative relationships for both USA Waste Common Stock and Chambers Common Stock and Chambers Class A Common Stock for the latest 12 month period ended December 2, 1994. DLJ also reviewed the daily closing prices of USA Waste Common Stock and Chambers Common Stock and Chambers Class A Common Stock and compared the Chambers closing stock prices with the Public Companies and selected market indices. In addition, DLJ reviewed and analyzed the historical changes in the ratio of the stock price of USA Waste Common Stock to the stock price of Chambers Common Stock and Chambers Class A Common Stock for the twelve months ended December 2, 1994. The ratio of the stock price of Chambers Common Stock and Chambers Class A Common Stock to the stock price of USA Waste Common Stock ranged from 0.45 times to 0.14 times for the twelve months ended December 2, 1994. This compares to the Exchange Ratio of 0.41667 times.</w:t>
      </w:r>
    </w:p>
    <w:p>
      <w:pPr>
        <w:spacing w:after="0" w:line="183"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Discounted Cash Flow Analysis. DLJ also performed a discounted cash flow analysis to evaluate the consideration to be paid in the Merger. In conducting its analysis, DLJ relied on certain assumptions, financial forecasts and other information provided by Chambers and USA Waste management. Using the information set forth in the Chambers forecast, DLJ calculated the estimated "Free Cash Flow" based on projected unleveraged operating income adjusted for: (i) taxes, which in this analysis assumed no limitation on utilization of net operating loss carryforwards; (ii) certain projected non-cash items (i.e., depreciation and amortization); (iii) projected changes in non-cash working capital; and (iv) projected capital expenditures. DLJ analyzed the Chambers forecast and discounted the stream of free cash flows from fiscal 1995 to fiscal 1999 provided in such projections back to December 31, 1994 using discount rates ranging from 10% to 18%. To estimate the residual value of Chambers at the end of the forecast period, DLJ applied terminal multiples ranging from 5.0 times to 9.0 times to the projected fiscal 1999 EBITDA and discounted such value estimates back to December 31, 1994 using discount rates ranging from 10% to 18%. DLJ then summed the present values of the free cash flows and the present values of the residual values to derive a range of implied enterprise values for Chambers. The range of implied enterprise values of Chambers was then adjusted for non-operating assets and liabilities including: (i) estimated debt of $231.2 million; (ii) cash and cash equivalents of $26.2 million on December 31, 1994; and (iii) a litigation settlement of $70.0 million, to yield implied equity values of Chambers ranging from $78.2 million to $448.6 million. The range of implied equity values of Chambers was then divided by 66.8 million shares of Chambers stock outstanding as of December 13, 1994 to yield implied values ranging from $1.17 to $6.72 per fully diluted share. This compares to an implied Equity Purchase Price of the Merger of $4.79 on December 13, 1994.</w:t>
      </w:r>
    </w:p>
    <w:p>
      <w:pPr>
        <w:spacing w:after="0" w:line="33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 that selecting portions of its analysis and the factors considered by it, without considering all analyses and factors, could create an incomplete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182"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Pursuant to the terms of an engagement letter dated November 20, 1994 among USA Waste, DLJ and Kidder, Peabody, DLJ and Kidder, Peabody agreed to provide certain financial advisory services to USA Waste and USA Waste agreed to pay a retainer fee of $100,000 (divided equally between DLJ and Kidder, Peabody). USA Waste also agreed to pay an additional $1,000,000 to DLJ upon mailing of the Joint Proxy Statement and Prospectus. Under the engagement letter, an additional fee of $2,900,000 will be payable by USA Waste upon consummation of the Merger, of which DLJ will be entitled to 80% and Kidder, Peabody</w:t>
      </w:r>
    </w:p>
    <w:p>
      <w:pPr>
        <w:spacing w:after="0" w:line="1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1"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will be entitled to 20%. USA Waste also agreed to reimburse DLJ and Kidder, Peabody for their out-of-pocket expenses and to indemnify them against certain liabilities and expenses.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ordinary course of business, DLJ actively trades the securities of both USA Waste and Chambers for its own account and for the accounts of its customers and, accordingly, may at any time hold a long or short position in such securities.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 TO CHAMBERS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the Merger, Chambers engaged J.P. Morgan to render its opinion to the Board of Directors as to the fairness, from a financial point of view, of the consideration to be received by the holders of Chambers Common Stock and Chambers Class A Common Stock, based on the Exchange Ratio, as set forth in the Merger Agreement. No limitations were imposed on J.P. Morgan by the Board of Directors or management of Chambers with respect to the investigations made or procedures followed by J.P. Morgan in preparing and rendering its opinion, and Chambers and its management cooperated fully with J.P. Morgan in connection therewith. J.P. Morgan rendered to the Board of Directors of Chambers on December 19, 1994, and confirmed on the date hereof, its opinion that such consideration is fair, from a financial point of view, to the holders of the Chambers Common Stock and Chambers Class A Common Stock.</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copy of J.P. Morgan's opinion, dated December 19, 1994, which sets forth the assumptions made, factors considered and limitations on the review undertaken by J.P. Morgan, is attached hereto as Appendix C. Holders of Chambers Common Stock and Chambers Class A Common Stock should read carefully the attached J.P. Morgan written opinion in its entirety and the discussion set forth herein concerning the scope and limitations of J.P. Morgan's review. J.P. Morgan's opinion is directed only to the consideration payable to holders of Chambers Common Stock and Chambers Class A Common Stock under the Merger Agreement and does not constitute a recommendation to any holder of Chambers Common Stock or Chambers Class A Common Stock as to how such holder should vote at the Chambers Special Meeting.</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its opinion, J.P. Morgan reviewed certain publicly available information concerning Chambers and USA Waste and certain internal financial analyses and other information furnished to it by the companies. J.P. Morgan also held discussions with members of the senior managements of Chambers and USA Waste regarding the business and prospects of both companies and of the combined company. In addition, J.P. Morgan: (i) reviewed historical prices and trading activity for the common stock of Chambers and USA Waste; (ii) compared certain financial and stock market information for Chambers and USA Waste with similar information for certain selected companies within the solid waste industry whose securities are publicly traded; (iii) reviewed the financial terms of certain recent business combinations which were deemed comparable in whole or in part; and (iv) performed such other studies and analyses and considered such other factors as were deemed appropriate (all such material studies and analyses are summarized below). J.P. Morgan also reviewed the Merger Agreement.</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described in its opinion, J.P. Morgan relied upon and assumed, without independent verification, the accuracy and completeness of the information that was publicly available or was furnished by Chambers or otherwise reviewed by J.P. Morgan for purposes of rendering its opinion, and J.P. Morgan has not assumed any responsibility or liability therefor. J.P. Morgan assumed that the information relating to the prospects of Chambers and USA Waste reflects the best currently available estimates and judgments of the managements of the respective companies as to the likely future financial performance of Chambers and USA Waste. In addition, J.P. Morgan has not made an independent evaluation or appraisal of the assets of Chambers or USA Waste, nor has it been furnished with any evaluation or appraisal. J.P. Morgan's opinion states that it was based on market, economic, and other conditions as they existed and could be evaluated as of the date of the opinion. Subsequent developments may affect its opinion, and J.P. Morgan does not have any obligation to update, revise or reaffirm the opinion.</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1" w:right="1440" w:bottom="1440" w:gutter="0" w:footer="0" w:header="0"/>
        </w:sectPr>
      </w:pPr>
    </w:p>
    <w:bookmarkStart w:id="44" w:name="page45"/>
    <w:bookmarkEnd w:id="44"/>
    <w:p>
      <w:pPr>
        <w:ind w:left="268"/>
        <w:spacing w:after="0"/>
        <w:rPr>
          <w:sz w:val="20"/>
          <w:szCs w:val="20"/>
          <w:color w:val="auto"/>
        </w:rPr>
      </w:pPr>
      <w:r>
        <w:rPr>
          <w:rFonts w:ascii="Courier New" w:cs="Courier New" w:eastAsia="Courier New" w:hAnsi="Courier New"/>
          <w:sz w:val="15"/>
          <w:szCs w:val="15"/>
          <w:color w:val="auto"/>
        </w:rPr>
        <w:t>44</w:t>
      </w:r>
    </w:p>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The following is a brief summary of all material analyses that J.P. Morgan used in arriving at its opinion.</w:t>
      </w:r>
    </w:p>
    <w:p>
      <w:pPr>
        <w:spacing w:after="0" w:line="176"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Analysis of the Combined Company. J.P. Morgan analyzed certain pro forma effects resulting from the Merger, assuming the Exchange Ratio, for the fiscal years 1995, 1996 and 1997. This analysis was based on the respective projections of the managements of Chambers and USA Waste, and suggested that the Merger would be highly accretive to Chambers stockholders. The analysis indicated that pro forma earnings per share of Chambers would be significantly higher in 1995, 1996 and 1997 than comparable projections for Chambers as a stand-alone company during the same period. J.P. Morgan also analyzed the implied credit ratings for Chambers on a stand-alone basis versus those of the combined company, based on financial factors, including (i) revenues, (ii) EBIT divided by interest expense, (iii) net income plus non-cash charges divided by total borrowed funds,</w:t>
      </w:r>
    </w:p>
    <w:p>
      <w:pPr>
        <w:spacing w:after="0" w:line="3" w:lineRule="exact"/>
        <w:rPr>
          <w:sz w:val="20"/>
          <w:szCs w:val="20"/>
          <w:color w:val="auto"/>
        </w:rPr>
      </w:pPr>
    </w:p>
    <w:p>
      <w:pPr>
        <w:ind w:left="8" w:right="3019" w:hanging="8"/>
        <w:spacing w:after="0" w:line="244" w:lineRule="auto"/>
        <w:tabs>
          <w:tab w:leader="none" w:pos="45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borrowed funds less cash ("Net Debt") divided by market value of debt plus equity, and (v) Net Debt divided by book value of equity. J.P. Morgan concluded that the Merger could well result in a higher credit rating for the combined company than for Chambers on a stand-alone basis.</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Contribution Analysis. J.P. Morgan compared the post-Merger percentage ownership of the combined company by the Chambers stockholders with the expected financial contribution percentage of Chambers to the pro forma results of the combined company using various measures of financial performance and condition, including revenues, EBIT, EBITDA, net income, total assets, and book equity. The income statement analysis was performed on the basis of management's projected results for year end 1994 and 1995. The balance sheet analysis was also performed on the basis of management's projections. Such analysis was considered in both absolute dollar terms and on a percentage basis for the year ended December 31, 1994. As a result of the Merger, Chambers stockholders will own approximately 55% of the combined company. The analysis indicated that Chambers' contribution to the combined company's pro forma results for the period ended December 31, 1994 (prior to taking into account operating synergies that may result from the Merger) would have been 55% of sales, 51% EBITDA, 39% EBIT and 24% Net Income.</w:t>
      </w:r>
    </w:p>
    <w:p>
      <w:pPr>
        <w:spacing w:after="0" w:line="183"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Comparison of Historical Stock Price Performance. To provide perspective on current public market valuations and stock price performance of USA Waste and Chambers relative to selected market indices, J.P. Morgan examined the history of the trading prices and their relative relationships for Chambers Common Stock and Chambers Class A Common Stock and USA Waste Common Stock for the latest 12 month period ended December 10, 1994. J.P. Morgan also reviewed the daily closing prices of Chambers Common Stock, Chambers Class A Common Stock and USA Waste Common Stock and compared these closing stock prices with selected market indices. During this twelve month period, Chambers Common Stock price ranged from a high of $5.375 per share to a low of $2.00 per share. Chambers Class A Common Stock price ranged from a high of $5.375 per share to a low of $1.875 per share. During this twelve month period, USA Waste Common Stock price ranged from a high of $15.00 per share to a low of $10.75 per share. By applying an Exchange Ratio of 0.41667 to the USA Waste historical trading range, J.P. Morgan arrived at an implied value per Chambers share ranging from $4.48 to $6.25.</w:t>
      </w:r>
    </w:p>
    <w:p>
      <w:pPr>
        <w:spacing w:after="0" w:line="16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Discounted Cash Flow Valuation Analysis. J.P. Morgan analyzed the projected cash flows of Chambers and the combined company based on the management's forecasts and actual financial results. Using the information provided, J.P. Morgan calculated estimates of base case, upside and downside case "Free Cash Flows" based on projected unlevered operating income, adjusted for: (i) taxes, which in this analysis assumed no limitation on utilization of net operating loss carryforwards; (ii) certain projected non-cash items (i.e., depreciation and amortization); (iii) projected changes in non-cash working capital; and (iv) projected capital expenditures. J.P. Morgan analyzed the Chambers forecast and discounted the streams of cash flows from fiscal 1995 to 1999 provided in such projections back to December 31, 1994 using a discount rate of 11.02%. To estimate the residual value at the end of the forecast period, J.P. Morgan applied similar discount rates to the terminal period values, calculated by growing terminal year free cash flows in perpetuity at growth rates ranging from 2.5% to 4.5%. J.P. Morgan then summed the present values of the free cash flows and the present value of the residual values to derive a range of implied Enterprise Values ("Enterprise Value" is defined as the product of the stock price and total shares outstanding plus Net Debt (i.e., debt and preferred stock less cash and cash equivalents)) for Chambers. The Enterprise Value was then adjusted for nonoperating assets and liabilities including (i) debt of $198 million for Chambers; (ii) cash and cash equivalents of $48 million for Chambers; and (iii) a litigation settlement of $76 million to yield implied equity values of Chambers</w:t>
      </w:r>
    </w:p>
    <w:p>
      <w:pPr>
        <w:sectPr>
          <w:pgSz w:w="11900" w:h="16838" w:orient="portrait"/>
          <w:cols w:equalWidth="0" w:num="1">
            <w:col w:w="10227"/>
          </w:cols>
          <w:pgMar w:left="232" w:top="291" w:right="1440" w:bottom="1440" w:gutter="0" w:footer="0" w:header="0"/>
        </w:sectPr>
      </w:pPr>
    </w:p>
    <w:p>
      <w:pPr>
        <w:spacing w:after="0" w:line="18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291" w:right="1440" w:bottom="1440" w:gutter="0" w:footer="0" w:header="0"/>
          <w:type w:val="continuous"/>
        </w:sectPr>
      </w:pPr>
    </w:p>
    <w:bookmarkStart w:id="45" w:name="page46"/>
    <w:bookmarkEnd w:id="45"/>
    <w:p>
      <w:pPr>
        <w:ind w:left="268"/>
        <w:spacing w:after="0"/>
        <w:rPr>
          <w:sz w:val="20"/>
          <w:szCs w:val="20"/>
          <w:color w:val="auto"/>
        </w:rPr>
      </w:pPr>
      <w:r>
        <w:rPr>
          <w:rFonts w:ascii="Courier New" w:cs="Courier New" w:eastAsia="Courier New" w:hAnsi="Courier New"/>
          <w:sz w:val="15"/>
          <w:szCs w:val="15"/>
          <w:color w:val="auto"/>
        </w:rPr>
        <w:t>45</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ranging from $126 million to $509 million. The range of implied equity values of Chambers was then divided by 66.788 million shares of Chambers stock outstanding as of December 18, 1994 to yield implied values ranging from $1.45 to $5.87 per fully diluted share. J.P. Morgan noted that, based on the Exchange Ratio, the Merger results in a discounted cash flow ("DCF") value for the combined company which exceeded the base case DCF for Chambers. The Discounted Cash Flow analysis of the combined company yielded implied values of $4.77 to $10.11 per Chambers share.</w:t>
      </w:r>
    </w:p>
    <w:p>
      <w:pPr>
        <w:spacing w:after="0" w:line="178"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Comparison With Selected Publicly Traded Companies. J.P. Morgan compared selected financial data of Chambers and USA Waste with certain data from publicly traded companies engaged in business considered by J.P. Morgan to be comparable to Chambers and USA Waste. Specifically, J.P. Morgan included in its review Allied Waste Industries, Inc., BFI, Integrated Waste Systems, Inc., Laidlaw, Inc., Mid-American Waste Systems, Inc., Republic Waste Industries, Inc., Sanifill, Inc., Western Waste Industries, Inc. and WMX Technologies, Inc. Such financial information included market valuation, the implied multiples based on the ratio of firm value to EBIT, EBITDA and projected EBITDA, and the implied multiples based on the ratio of current stock price to earnings per share and 1995 and 1996 projected earnings per share. The median multiple of firm value to EBIT for the companies was 11.62 times, with a high of 15.13 times, and a low of 9.87 times. The median EBIT multiple of 11.62 times was applied to Chambers' fiscal 1994 pro forma EBIT to arrive at an implied firm value for Chambers of $289.3 million and an implied price of $0.73 per fully diluted share. The median multiple of firm value to EBITDA for the companies reviewed was 6.97 times, with a high of 12.8 times and a low of 6.07 times. The median EBITDA multiple of 6.97 times was applied to Chambers' fiscal 1994 pro forma EBITDA to arrive at an implied firm value for Chambers of $437.5 million and an implied price of $2.44 per fully diluted share. The median EBITDA multiple of 6.97 times was also applied to Chambers' fiscal 1995 pro forma EBITDA and discounted to present value using a weighted average cost of capital of 11.02% to arrive at an implied firm value for Chambers of $443.7 million and an implied price of $2.51 per fully diluted share. The median multiple of market value to net income was 15.77 times, with a high of 18.65 times and a low of</w:t>
      </w:r>
    </w:p>
    <w:p>
      <w:pPr>
        <w:spacing w:after="0" w:line="163"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13.23 times. The median multiple of market value of net income of 15.77 times was applied to Chambers' fiscal 1994 pro forma net income to arrive at an implied market value of $199 million and an implied share price of $2.29. The median multiple of market value to projected fiscal year ended 1995 net income was 15.77 times, with a high of 18.65 times and a low of 13.23 times. The median multiple of market value to net income of 15.77 times was applied to Chambers' fiscal 1995 pro forma net income to arrive at an implied market value of $108 million and an implied share price of $1.25. The median multiple of market value to net income of 15.77 times was also applied to Chambers' fiscal 1997 pro forma net income and discounted to present value using a cost of equity of 14.09% to arrive at an implied market value of $186.5 million and an implied share price of $2.15.</w:t>
      </w:r>
    </w:p>
    <w:p>
      <w:pPr>
        <w:spacing w:after="0" w:line="181"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Analysis of Selected Mergers and Acquisitions. J.P. Morgan also reviewed selected recent mergers and acquisitions. The twelve transactions reviewed included: (i) WMX/SCA; (ii) Leigh/HT Hughes; (iii) Attwoods/Ebeneezer Mears;</w:t>
      </w:r>
    </w:p>
    <w:p>
      <w:pPr>
        <w:spacing w:after="0" w:line="1" w:lineRule="exact"/>
        <w:rPr>
          <w:sz w:val="20"/>
          <w:szCs w:val="20"/>
          <w:color w:val="auto"/>
        </w:rPr>
      </w:pPr>
    </w:p>
    <w:p>
      <w:pPr>
        <w:ind w:left="448" w:hanging="448"/>
        <w:spacing w:after="0"/>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Severn Trent/Biffa Holdings; (v) Wessex Waste/Wimpey Waste; (vi) WMX/SPAT;</w:t>
      </w:r>
    </w:p>
    <w:p>
      <w:pPr>
        <w:spacing w:after="0" w:line="4" w:lineRule="exact"/>
        <w:rPr>
          <w:rFonts w:ascii="Courier New" w:cs="Courier New" w:eastAsia="Courier New" w:hAnsi="Courier New"/>
          <w:sz w:val="15"/>
          <w:szCs w:val="15"/>
          <w:color w:val="auto"/>
        </w:rPr>
      </w:pPr>
    </w:p>
    <w:p>
      <w:pPr>
        <w:ind w:left="8" w:right="3019" w:hanging="8"/>
        <w:spacing w:after="0" w:line="263" w:lineRule="auto"/>
        <w:tabs>
          <w:tab w:leader="none" w:pos="54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Wessex Waste/WMX; (viii) South West Waste/HaulWaste; (ix) Hanson/ Econowaste; (x) BFI/Otto Waste; (xi) USA Waste/Envirofil; and (xii) BFI/Attwoods. In performing its analysis, J.P. Morgan compared selected financial data, including equity purchase price as a multiple of latest twelve months ("LTM") net income and book value, and aggregate purchase price (equity purchase price adjusted for long-term debt and cash) as a multiple of LTM revenues; EBIT; EBITDA; and operating income for 12 selected transactions in the solid waste industry. The median multiple of equity purchase price to net income was 30.05 times, with a high of 38.9 times and a low of 22.5 times, compared to 31.91 times net income for the Merger based on Chambers' operating performance for 1994 estimated fiscal year results and an Exchange Ratio of .41667. The median multiple of aggregate purchase price to LTM revenues was 1.98 times, with a high of 2.99 times and a low of 1.35 times, compared to 2.41 times net income for the Merger based on Chambers' operating performance for 1994 estimated fiscal year results and an Exchange Ratio of .41667. The median multiple of aggregate purchase price to LTM EBIT was 21.1 times, with a high of 37.07 times and a low of 16.29 times, compared to 25.24 times net income for the Merger based on Chambers' operating performance for 1994 estimated fiscal year results and an Exchange Ratio of .41667. The median multiple of aggregate purchase price to LTM EBITDA was 8.02 times, with a high of 8.7 times and a low of 7.34 times, compared to 10 times net income for the Merger based on Chambers' operating</w:t>
      </w:r>
    </w:p>
    <w:p>
      <w:pPr>
        <w:spacing w:after="0" w:line="33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291" w:right="1440" w:bottom="1440" w:gutter="0" w:footer="0" w:header="0"/>
        </w:sectPr>
      </w:pPr>
    </w:p>
    <w:bookmarkStart w:id="46" w:name="page47"/>
    <w:bookmarkEnd w:id="46"/>
    <w:p>
      <w:pPr>
        <w:ind w:left="268"/>
        <w:spacing w:after="0"/>
        <w:rPr>
          <w:sz w:val="20"/>
          <w:szCs w:val="20"/>
          <w:color w:val="auto"/>
        </w:rPr>
      </w:pPr>
      <w:r>
        <w:rPr>
          <w:rFonts w:ascii="Courier New" w:cs="Courier New" w:eastAsia="Courier New" w:hAnsi="Courier New"/>
          <w:sz w:val="15"/>
          <w:szCs w:val="15"/>
          <w:color w:val="auto"/>
        </w:rPr>
        <w:t>46</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performance for 1994 estimated fiscal year results and an Exchange Ratio of .41667. J.P. Morgan noted that, based on the Exchange Ratio, the Merger results in multiples to LTM revenues, EBIT, EBITDA and operating income that are within the range of multiples for the 12 selected transactions, which are based on LTM financial performance. The transaction multiples were compared with those resulting from the Merger, which were found on an overall basis to be within the range of multiples for the comparable transactions. In addition, J.P. Morgan analyzed the premiums paid one day prior to announcement of 116 stock-for-stock merger transactions from 1991 through 1994, and concluded that the Chambers' implied premium compares favorably to other public mergers.</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summary set forth above does not purport to be a complete description of the analyses of data presented by J.P. Morgan. The preparation of a fairness opinion is a complex process and is not necessarily susceptible to partial analysis or summary description. J.P. Morgan believes that the summary set forth above and their analyses must be considered as a whole and that selecting portions thereof, without considering all of their analyses, could create an incomplete view of the processes underlying its analyses and opinion. J.P. Morgan based its analyses on assumptions that it deemed reasonable, including assumptions concerning general business and economic conditions and industry-specific factors. The other principal assumptions upon which J.P. Morgan based its analyses are set forth above under the description of each such analysis. J.P. Morgan's analyses are not necessarily indicative of actual values or actual future results that might be achieved, which values may be higher or lower than those indicated. Moreover, J.P. Morgan's analyses are not and do not purport to be appraisals or otherwise reflective of the prices at which businesses actually could be bought or sold.</w:t>
      </w:r>
    </w:p>
    <w:p>
      <w:pPr>
        <w:spacing w:after="0" w:line="183"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As part of its investment banking business, J.P. Morgan and its affiliates are continually engaged in valuation of businesses and their securities in connection with mergers and acquisitions, investments for passive and control purposes, negotiated underwritings, secondary distributions of listed and unlisted securities, private placements, and valuation for estate, corporate, and other purposes.</w:t>
      </w:r>
    </w:p>
    <w:p>
      <w:pPr>
        <w:spacing w:after="0" w:line="177"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In connection with the Merger, Chambers entered into an engagement letter with J.P. Morgan, pursuant to which Chambers retained J.P. Morgan to provide a fairness opinion in connection with the Merger. Pursuant to the engagement letter, Chambers agreed to pay J.P. Morgan $100,000 upon execution thereof and agreed to pay J.P. Morgan an additional fee upon the closing of the Merger equal to: (A) the product of (i) .0075, (ii) the last sales price of USA Waste's Common Stock on the last trading day prior to the closing date of the Merger that USA Waste's Common Stock is traded on the NYSE, (iii) 0.41667, and (iv) the total number of shares of Chambers Common Stock and Chambers Class A Common Stock outstanding on the closing date of the Merger; plus (B) the product of .0075 and all outstanding indebtedness of Chambers as of the closing date; less</w:t>
      </w:r>
    </w:p>
    <w:p>
      <w:pPr>
        <w:spacing w:after="0" w:line="3" w:lineRule="exact"/>
        <w:rPr>
          <w:sz w:val="20"/>
          <w:szCs w:val="20"/>
          <w:color w:val="auto"/>
        </w:rPr>
      </w:pPr>
    </w:p>
    <w:p>
      <w:pPr>
        <w:ind w:left="8" w:right="3199" w:hanging="8"/>
        <w:spacing w:after="0" w:line="270" w:lineRule="auto"/>
        <w:tabs>
          <w:tab w:leader="none" w:pos="36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$600,000. Chambers has also agreed to reimburse J.P. Morgan for reasonable expenses incurred by J.P. Morgan and to indemnify J.P. Morgan against certain liabilities, including liabilities under the federal securities laws.</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CONFLICTS OF INTERESTS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considering the recommendation of the Boards of Directors of USA Waste and Chambers with respect to the Merger, holders of common stock of USA Waste and Chambers should be aware that certain members of the Boards of Directors and management have certain interests separate from their interests as stockholders, including those referred to below.</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After the Merger is consummated, John G. Rangos, Sr., Chairman and Chief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 of Chambers, will become a Director and a non-executive Vice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Chairman of USA Waste. Alexander W. Rangos, President and Chief Operating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Officer of Chambers, will become a Director and Executive Vice President for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Landfill Development of USA Waste for a five-year term at a base salary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$275,000 per year. In addition, at the Effective Time, USA Waste will enter into</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 consulting and non-compete agreement with each of John G. Rangos, Sr. and John</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 Rangos, Jr., Vice Chairman and Secretary of Chambers, providing for annual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compensation of $450,000 and $250,000, respectively, for a term of five years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each.</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February 1993, Chambers entered into employment agreements with certain of its key executives that provide such executives with rights to severance benefits if employment with Chambers ceases under specified</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291"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circumstances in connection with a "change of control" of Chambers such as the Merger. Such agreements were replaced effective as of February 1995 with agreements substantially similar to the prior agreements except with respect to certain termination provisions unrelated to the change of control termination provisions. If such severance payments were triggered, Chambers would be obligated to pay a total of approximately $7,600,000 to such executives. The term of each of these agreements ends on February 2, 1996. Discussions are ongoing with respect to continuing service to the combined company by certain executive officers of Chambers under either continuing employment agreements or consulting agreements.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USA Waste has entered into employment agreements with certain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 The agreements contain non-compete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confidentiality clauses which are generally effective for a period of five years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termination of the executive's employment. In consideration for these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clauses, USA Waste has agreed to pay an amount equal to a multiple of defined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upon the occurrence of a change in control of USA Waste if,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such change in control, USA Waste seeks to terminate such officers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cause or takes any action adverse to such officers without their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In the event of termination of all executives and directors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upon a change in control, USA Waste would be required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make payments of approximately $3,484,000. See "Election of USA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 Executive Compensation." The employment agreements entered into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Messrs. Drury, Moorehead, Sutherland-Yoest and Wilcox specifically exclude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change in control transaction a transaction approved by 75% of the USA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July 8, 1993, Chambers entered into a purchase option with John G. Rangos, Sr., to acquire approximately 68.45 acres of land which are contiguous to Chambers' Monroeville landfill in Pennsylvania. The option, which extends through December 31, 1996, and for which Mr. Rangos was paid $87,000, grants to Chambers the right to purchase the property for $2,982,000, which is the fair market value indicated by an independent appraisal of the property in June 1993. Mr. Rangos currently owns an undivided 70% interest in the property and holds an option to acquire the remaining 30% undivided interest from, among others, Michael J. Peretto, a director of Chambers, for $894,600. USA Waste has agreed that at the Effective Time it will cause Chambers to exercise its right to acquire such property pursuant to the option agreement.</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November 14, 1985, John G. Rangos, Sr., John G. Rangos, Jr. and Alexander W. Rangos, doing business as Synergy Associates, completed the private placement of a $3,000,000 Allegheny County Industrial Development Variable Rate Demand Note, initially bearing interest at a floating rate equal to 63% of the prime interest rate of PNC Bank, to finance the conversion of existing property into the current headquarters of Chambers. The outstanding principal balance of such note as of December 31, 1994 was $1,945,000. The lender has agreed not to exercise its rights to demand payment before November 1, 1995. Synergy Associates is directly liable on the instrument, which is secured by the property, but Chambers, as the tenant of the facility, was required by the lender to guarantee the financing. Under the lease, which was entered into in December 1986, Synergy Associates passed through to Chambers certain federal income tax credits. Through March 1987, it was determined that the amount of such tax credits passed through to Chambers exceeded $500,000. Because the amount of these tax credits substantially exceeded the expectations of the parties at the time the lease was entered into, Chambers agreed to modify the lease to provide to Synergy Associates the option, exercisable at any time, to have Chambers prepay the twentieth year's rent in an amount equal to the rent that is due in the year in which the option is exercised. This option was exercised in April 1988, and Chambers made the aforementioned prepayment in an amount of approximately $752,000. The lease provides for a renewal term of ten years following the expiration of the initial twenty-year term. This long-term leasing arrangement and guarantee by Chambers of the financing discussed above were approved by a majority of the disinterested directors of Chambers on November 1, 1985. The cost to Chambers as lessee, including the cost of construction paid for by Chambers, is approximately $19.47 per square foot per year, based upon 57,238 square feet of rented space. Aggregate payments under the lease during 1994 were approximately $1,018,000. The lease provides for annual rent increases based upon inflation, increases in insurance costs and real estate taxes, and changes in the debt service costs to Synergy Associates. Pursuant to the terms of the settlement agreement executed by counsel to the certain derivative litigation affecting Chambers (see "The Merger and Related Transactions -- Financing Arrangements" and "Description of Chambers -- Legal Proceedings"), the Rangos family has agreed to cause Synergy Associates to contribute the building, subject to the existing</w:t>
      </w:r>
    </w:p>
    <w:p>
      <w:pPr>
        <w:sectPr>
          <w:pgSz w:w="11900" w:h="16838" w:orient="portrait"/>
          <w:cols w:equalWidth="0" w:num="1">
            <w:col w:w="10219"/>
          </w:cols>
          <w:pgMar w:left="240" w:top="291" w:right="1440" w:bottom="1440" w:gutter="0" w:footer="0" w:header="0"/>
        </w:sectPr>
      </w:pPr>
    </w:p>
    <w:p>
      <w:pPr>
        <w:spacing w:after="0" w:line="1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1"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mortgage, to Chambers, which will result in the extinguishment of future lease obligations which, as of December 31, 1994, totaled approximately $11,140,000. A third party independent appraiser has assigned such future lease obligations a present value of approximately $7,380,000. In anticipation of the transfer of the building, Synergy Associates and Chambers intend to address certain claims made by Synergy Associates for rental adjustments of approximately $300,000.</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has also agreed to use its reasonable efforts to have John G. Rangos, Sr. removed, as promptly as possible after the Effective Time, as a guarantor of certain performance bonds (in a face amount of approximately $14.7 million) naming Chambers as an insured. USA Waste has agreed that, until Mr. Rangos is relieved from all liability under such performance bonds, it will indemnify and hold Mr. Rangos harmless against any costs or expenses incurred by Mr. Rangos in connection with such bonds.</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Ten of the executive officers of Chambers hold options to acquire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of 860,600 shares of Chambers Class A Common Stock pursuant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certain stock option agreements, at exercise prices ranging from $2.25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$17.44. Of such options, 418,550 are currently exercisable and 442,050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become fully vested and exercisable immediately upon a "change in control"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the Merger. Included in the options which will become fully vested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 immediately upon a "change in control" are options held by Alexander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Rangos and John G. Rangos, Jr., each to acquire 38,700 shares at an exercise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$2.25 per share. At the Effective Time, all of these options will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automatically converted into options to purchase a number of shares of USA Waste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equal to the number of Chambers shares underlying such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multiplied by the Exchange Ratio, at an exercise price equal to the exercise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the Chambers Option divided by the Exchange Ratio. All other terms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of the options will be the same as before the Effective Time. As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the options exercisable by the executive officers of Chambers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860,600 shares of Chambers Class A Common Stock will be converted into options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acquire 358,856 shares of USA Waste Common Stock. The price will be converted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$2.25 to $17.44 per share of Chambers Class A Common Stock to $5.40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$41.86 per share of USA Waste Common Stock. Each of Alexander W. Rangos and John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Rangos, Jr. will have their options converted into options to acquire 16,125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USA Waste Common Stock at $5.40 per share. Based upon the closing sale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$15.10 per share of USA Waste Common Stock on the Record Date,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value based upon the excess of the market price of the stock over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 of the options that would become exercisable upon consummation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is $1,294,486, with approximately $156,413 attributable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held by each of Alexander W. Rangos and John G. Rangos, Jr. See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of Merger and Terms of the Merger -- Chambers Options."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Merger Agreement provides for indemnification of the officers and directors of Chambers against all costs or expenses (including reasonable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acts or omissions in connection with such persons serving as an officer, director, or other fiduciary in any entity if such service was at the request of Chambers) or arising out of or pertaining to the transactions contemplated by the Merger Agreement. See "The Plan of Merger and Terms of the Merger -- Indemnification."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AGREEMENT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the Effective Time of the Merger, USA Waste, Donald F. Moorehead, Jr., and John E. Drury will enter into the Shareholders Agreement with John G. Rangos, Sr., John G. Rangos, Jr., Alexander W. Rangos and John Rangos Development Corporation, Inc. (who comprise the Rangos Shareholders) that, among other things, will provide certain rights to the Rangos Shareholders to name or participate in the naming of certain members to the Board of Directors of USA Waste and to name certain members of the Executive Committee of the Board of Directors of USA Waste. In addition, the Shareholders Agreement will require the affirmative vote of at least two-thirds of the members of the USA Waste Board of Directors to take certain actions. The Shareholders Agreement will remain in effect until the aggregate number of shares of USA Waste Common Stock beneficially held by the Rangos Shareholders and their affiliates is less than five percent of the outstanding shares of USA Waste Common Stock. Immediately after the Effective Time, the Rangos</w:t>
      </w:r>
    </w:p>
    <w:p>
      <w:pPr>
        <w:sectPr>
          <w:pgSz w:w="11900" w:h="16838" w:orient="portrait"/>
          <w:cols w:equalWidth="0" w:num="1">
            <w:col w:w="10219"/>
          </w:cols>
          <w:pgMar w:left="240" w:top="291" w:right="1440" w:bottom="1440" w:gutter="0" w:footer="0" w:header="0"/>
        </w:sectPr>
      </w:pP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1"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35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Shareholders will control approximately 21% of the voting stock of USA Waste, and Donald F. Moorehead, Jr. and John E. Drury will collectively control approximately 5.0% of such stock.</w:t>
      </w:r>
    </w:p>
    <w:p>
      <w:pPr>
        <w:spacing w:after="0" w:line="34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Shareholders Agreement, USA Waste and Messrs. Moorehead and Drury will be obligated, immediately after the Effective Time, to use their best efforts to cause John G. Rangos, Sr. and Alexander W. Rangos to be appointed as directors of USA Waste. In addition, during the term of the Shareholders Agreement, USA Waste, Messrs. Moorehead and Drury, and the Rangos Shareholders will use their best efforts to cause the Board of Directors to include at all times (in addition to the two directors designated by the Rangos Shareholders) four persons who are approved by at least four members of an Executive Committee of the Board of Directors and none of whom is an officer or employee of USA Waste or Chambers. The Shareholders Agreement also provides that USA Waste and Messrs. Moorehead and Drury will use their best efforts to establish and maintain an Executive Committee of the Board of Directors consisting of five directors and to cause the Executive Committee to include the two directors designated by the Rangos Shareholders.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ARRANGEMENTS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Pursuant to requirements negotiated in connection with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USA Waste and Chambers developed a plan for the financing of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Chambers' obligations, including a $6,800,000 obligation that was due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1995 and $70,000,000 in payments required pursuant to the settlement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with respect to the shareholder litigation (the "Settlement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See "Description of Chambers -- Legal Proceedings." The purpose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financing plan, the requirements for which were imposed by Chambers as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 to proceeding with the negotiation and execution of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was to provide Chambers with the ability to fund these payment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pending the Merger and in the event that the parties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subsequently unable or unwilling to proceed with the Merger. The financing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set forth in a letter agreement executed on December 19, 1994. To provide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payment of the $6,800,000 obligation, USA Waste agreed (i) to accelerate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January 30, 1995 the payment of $2,500,000 on certain promissory notes owing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USA Waste to Chambers with respect to a previous transaction and (ii)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 into a letter of intent pursuant to which USA Waste would agree to acquire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assets from Chambers and make a deposit of $4,300,000 to be applied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 the purchase price for such assets. These payments were made and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of intent was executed providing for the purchase of certain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a hauling company in Charlotte, North Carolina and a landfill and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collection facility in Lake, Mississippi, for a total purchase price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$7,600,000. The letter of intent will expire upon the Merger. In the event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Agreement is terminated, the closing of the asset purchase will occur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within 75 days after such termination. To provide for the funding of the initial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$25,000,000 settlement payment due upon final approval of the settlement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litigation, USA Waste agreed to make an advance purchase of airspace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at certain of Chambers' landfills in the aggregate amount of $25,000,000.</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payment would be made within 30 days after final approval of the Settlement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and expiration of the applicable appeal period. To provide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the $45,000,000 settlement payment on the shareholder litigation, USA</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and Chambers have agreed to negotiate an agreement for the purchase by USA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from Chambers of an asset or group of assets or airspace rights mutually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by USA Waste and Chambers and having a fair market value of not less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$45,000,000. Payment of such amount is required not later than one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date of final approval of the Settlement Agreements and expiration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applicable appeal period. In the event Chambers completes a refinancing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current indebtedness, including amounts due with respect to the shareholder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USA Waste's obligation to finance the $45,000,000 payment will lapse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USA Waste will have an option to require Chambers to repurchase,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will have an option to require USA Waste to sell, any unused airspace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in advance by USA Waste.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discussion summarizes certain material Federal income tax consequences of the Merger to holders of Chambers Common Stock under the Code, but does not deal with all tax consequences of the Merger that may be relevant to Chambers stockholders in light of their particular circumstances, such as the tax consequences to Chambers stockholders who do not hold their Chambers Common Stock or Chambers</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1"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50</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Class A Common Stock as a capital asset, foreign persons, or persons who acquired their shares in compensatory transactions. Furthermore, no foreign, state, or local tax considerations are addressed herein.</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THIS SUMMARY SHOULD NOT BE REGARDED AS A SUBSTITUTE FOR AN INDIVIDUAL ANALYSIS OF THE TAX CONSEQUENCES OF THE MERGER TO A CHAMBERS STOCKHOLDER. EACH CHAMBERS STOCKHOLDER SHOULD CONSULT A TAX ADVISOR REGARDING THE PARTICULAR FEDERAL, STATE, LOCAL, AND FOREIGN TAX CONSEQUENCES OF THE MERGER TO SUCH STOCKHOLDER'S OWN SITUATION.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has received from its counsel, Thorp, Reed &amp; Armstrong, an opinion (the "Opinion") to the effect that neither Chambers nor its stockholders will recognize any gain or loss for federal income tax purposes as a result of consummation of the Merger, except to the extent that such stockholders receive cash in lieu of a fractional share of USA Waste Common Stock. In addition, Thorp, Reed &amp; Armstrong has opined, based upon representations from USA Waste, that implementation of the Reincorporation will not alter its Opinion. Thorp, Reed &amp; Armstrong shall confirm the Opinion as of the Effective Time. The Opinion is subject to certain qualifications and assumptions as noted therein and is based on certain representations of USA Waste, Acquisition, Chambers, and affiliates of Chambers. Included among these representations is a representation by Chambers that following the Merger it will hold at least 90% of the fair market value of its net assets, at least 70% of the fair market value of its gross assets, at least 90% of the fair market value of Acquisition's net assets and at least 70% of the fair market value of Acquisition's gross assets held immediately prior to the Merger. Chambers stockholders should be aware that this discussion and the Opinion is based upon counsel's interpretation of the Code, applicable Treasury regulations, judicial authority, and administrative rulings and practice, all as of the date hereof. There can be no assurance that future legislative, judicial, or administrative changes or interpretations will not adversely affect the accuracy of the statements and conclusions set forth herein. Any such changes or interpretations could be applied retroactively and could affect the tax consequences of the Merger. Chambers stockholders should be aware that the Opinions will not be binding upon the Internal Revenue Service (the "Service") and the Service will not be precluded from adopting a contrary position.</w:t>
      </w:r>
    </w:p>
    <w:p>
      <w:pPr>
        <w:spacing w:after="0" w:line="190"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Assuming the Merger qualifies as a reorganization under Section 368(a) of the Code, the following Federal income tax consequences will occur:</w:t>
      </w:r>
    </w:p>
    <w:p>
      <w:pPr>
        <w:spacing w:after="0" w:line="176" w:lineRule="exact"/>
        <w:rPr>
          <w:sz w:val="20"/>
          <w:szCs w:val="20"/>
          <w:color w:val="auto"/>
        </w:rPr>
      </w:pPr>
    </w:p>
    <w:p>
      <w:pPr>
        <w:ind w:left="440" w:right="3279" w:firstLine="454"/>
        <w:spacing w:after="0" w:line="243" w:lineRule="auto"/>
        <w:tabs>
          <w:tab w:leader="none" w:pos="125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USA Waste, Acquisition or Chambers in connection with the Merger;</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a holder of Chambers Common Stock or Chambers Class A Common Stock who exchanges all of his shares of Chambers Common Stock or Chambers Class A Common Stock solely for shares of USA Waste Common Stock in the Merger;</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shares of USA Waste Common Stock received by a Chambers stockholder in the Merger (including any fractional share not actually received) will be the same as the aggregate tax basis of the Chambers Common Stock or Chambers Class A Common Stock surrendered in exchange therefor;</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shares of USA Waste Common Stock received by a Chambers stockholder in the Merger will include the holding period of the shares of Chambers Common Stock or Chambers Class A Common Stock surrendered in exchange therefor, provided that such shares of Chambers Common Stock or Chambers Class A Common Stock are held as capital assets at the Effective Time; and</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Chambers stockholder receiving cash in lieu of a fractional share will recognize gain or loss upon such payment equal to the difference, if any, between such stockholder's basis in the fractional share (as described in paragraph (c) above) and the amount of cash received. Such gain or loss will be a capital gain or loss if the Chambers Common Stock or Chambers Class A Common Stock is held as a capital asset at the Effective Time.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Even if the Merger qualifies as a tax-free reorganization, a recipient of USA Waste Common Stock could recognize gain to the extent that such shares were considered by the Service to be received in exchange for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1"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consideration other than Chambers Common Stock or Chambers Class A Common Stock. All or a portion of such gain may be taxable as ordinary income. Gain would be recognized to the extent that a Chambers stockholder was treated by the Service as receiving (directly or indirectly) consideration other than USA Waste Common Stock in exchange for his or her Chambers Common Stock or Chambers Class A Common Stock.</w:t>
      </w:r>
    </w:p>
    <w:p>
      <w:pPr>
        <w:spacing w:after="0" w:line="177"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A successful challenge by the Service to the tax-free reorganization status of the Merger would result in a Chambers stockholder recognizing taxable gain or loss with respect to the difference between the stockholder's basis in his or her shares and the fair market value, as of the Effective Date, of the USA Waste Common Stock received in exchange therefor. In such event, a stockholder's basis in the USA Waste Common Stock so received would equal its fair market value and the holding period for such stock would begin on the Effective Date.</w:t>
      </w:r>
    </w:p>
    <w:p>
      <w:pPr>
        <w:spacing w:after="0" w:line="16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Federal income tax consequences summarized above are for general information only. Each Chambers stockholder should consult a tax advisor as to the particular consequences of the Merger that may apply to such stockholder, including the application of the state inheritance and gift tax laws and of state, local, and foreign laws.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LOSS CARRYFORWARDS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Chambers' federal income tax returns for 1988 through 1992 are currently under examination by the Service. Chambers has reached tentative agreement with the Service regarding the tax treatment of certain costs and expenses deducted for financial statement purposes in these open tax years. That agreement is subject to the approval of the Joint Committee on Taxation. Based on this tentative agreement, Chambers estimates its consolidated tax net operating loss carryforwards to be approximately $232 million at December 31, 1994, the majority of which expire in 2007.</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net operating loss carryforwards will be adjusted for the effect of the proposed settlement of the Chambers' shareholder litigation. The amount of the net operating loss will be subject to adjustment as actual shareholder claims are paid in accordance with the proposed settlement. For a description of the shareholder litigation and the proposed settlement, see "Description of Chambers -- Legal Proceedings."</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Section 382 of the Code generally provides that following an "ownership change," a corporation's (the "Loss Corporation") ability to utilize net operating loss carryforwards will be subject to an annual limitation ("the Section 382 Limitation") equal to the product of (i) the fair market value of the Loss Corporation's stock at the time of the ownership change and (ii) the long-term tax-exempt rate published by the Service at the time of the ownership change (currently 6.21%). In determining the fair market value of a Loss Corporation's stock, any capital contributions received by the Loss Corporation as part of a plan a principal purpose of which is to avoid or increase the Section 382 Limitation is disregarded. Any capital contribution made to the Loss Corporation within the two years preceding the ownership change is generally treated as part of a plan to avoid or reduce the Section 382 Limitation.</w:t>
      </w:r>
    </w:p>
    <w:p>
      <w:pPr>
        <w:spacing w:after="0" w:line="33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Section 382 the determination of whether an "ownership change" has occurred is based on ownership shifts involving persons or groups that are or are deemed to be "5-percent shareholders" of a Loss Corporation as defined in Section 382 and the regulations thereunder that have occurred during the three years preceding any ownership shift. While the Merger represents an ownership shift under Section 382 and although a complete analysis has not been made, Chambers does not expect to experience an ownership change as defined in Section 382 as a result of the Merger after considering other ownership shifts involving 5-percent shareholders of Chambers that have occurred during the three years prior to the Effective Time.</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While Chambers does not expect to experience an ownership change as a result of the Merger, certain future ownership shifts involving persons or groups that are or are deemed to be 5-percent shareholders of Chambers that occur during the three years subsequent to the Effective Time (the "NOL Testing Period") may result in an ownership change under Section 382 and limit USA Waste's ability on an annual basis to utilize Chambers' net operating loss carryforwards after the date of such ownership change. Ownership shifts that may, individually or collectively, result in an ownership change include, but are not limited to: (i) the acquisition by a person or group of 5% or more of the outstanding shares of USA Waste Common Stock,</w:t>
      </w:r>
    </w:p>
    <w:p>
      <w:pPr>
        <w:sectPr>
          <w:pgSz w:w="11900" w:h="16838" w:orient="portrait"/>
          <w:cols w:equalWidth="0" w:num="1">
            <w:col w:w="10219"/>
          </w:cols>
          <w:pgMar w:left="240" w:top="291" w:right="1440" w:bottom="1440" w:gutter="0" w:footer="0" w:header="0"/>
        </w:sectPr>
      </w:pP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1" w:right="1440" w:bottom="1440" w:gutter="0" w:footer="0" w:header="0"/>
          <w:type w:val="continuous"/>
        </w:sectPr>
      </w:pPr>
    </w:p>
    <w:bookmarkStart w:id="52" w:name="page53"/>
    <w:bookmarkEnd w:id="52"/>
    <w:p>
      <w:pPr>
        <w:ind w:left="268"/>
        <w:spacing w:after="0"/>
        <w:rPr>
          <w:sz w:val="20"/>
          <w:szCs w:val="20"/>
          <w:color w:val="auto"/>
        </w:rPr>
      </w:pPr>
      <w:r>
        <w:rPr>
          <w:rFonts w:ascii="Courier New" w:cs="Courier New" w:eastAsia="Courier New" w:hAnsi="Courier New"/>
          <w:sz w:val="15"/>
          <w:szCs w:val="15"/>
          <w:color w:val="auto"/>
        </w:rPr>
        <w:t>52</w:t>
      </w:r>
    </w:p>
    <w:p>
      <w:pPr>
        <w:spacing w:after="0" w:line="178" w:lineRule="exact"/>
        <w:rPr>
          <w:sz w:val="20"/>
          <w:szCs w:val="20"/>
          <w:color w:val="auto"/>
        </w:rPr>
      </w:pPr>
    </w:p>
    <w:p>
      <w:pPr>
        <w:ind w:left="8" w:right="3019" w:hanging="8"/>
        <w:spacing w:after="0" w:line="262" w:lineRule="auto"/>
        <w:tabs>
          <w:tab w:leader="none" w:pos="45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dispositions by John G. Rangos, Sr., a 5-percent shareholder of Chambers within the meaning of Section 382, of shares of USA Waste Common Stock,</w:t>
      </w:r>
    </w:p>
    <w:p>
      <w:pPr>
        <w:ind w:left="8" w:right="3019" w:hanging="8"/>
        <w:spacing w:after="0" w:line="244" w:lineRule="auto"/>
        <w:tabs>
          <w:tab w:leader="none" w:pos="5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acquisitions by John G. Rangos, Sr. or Robert F. Smith, who would become a 5-percent shareholder of Chambers within the meaning of Section 382, of shares of USA Waste Common Stock, or (iv) the issuance by USA Waste of a relatively small number of shares of USA Waste Common Stock (including upon exercise of currently outstanding warrants or conversion of currently outstanding warrants or conversion of currently outstanding convertible debentures) in any taxable year.</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Since USA Waste can control neither the ownership shifts identified in clauses (i), (ii), and (iii) of the preceding sentence nor certain transactions that fall within clause (iv), no assurance can be given that an ownership change will not occur during the NOL Testing Period. Because of the number of ownership shifts that will have occurred relating to Chambers as of the Effective Time, the amount of collective ownership shifts that must occur during the NOL Testing Period in order to trigger an ownership change could involve as little as approximately two percent of the outstanding shares of USA Waste Common Stock. In addition, USA Waste may decide that it is advisable to undertake an equity offering during the NOL Testing Period of a number of shares that individually, or collectively with other ownership shifts that have occurred subsequent to the Effective Time, results in an ownership change.</w:t>
      </w:r>
    </w:p>
    <w:p>
      <w:pPr>
        <w:spacing w:after="0" w:line="354"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actual Section 382 Limitation will depend on the fair market value of USA Waste Common Stock and the applicable long-term tax-exempt rate at the time of the ownership change. Assuming a market value of $15.38 per share, which was the closing price of USA Waste Common Stock on May 15, 1995, and applying the current long-term tax-exempt rate published by the Service of 6.21%, the Section 382 Limitation (assuming no adjustment for any built-in-gain) for any taxable year ending after the ownership change would be approximately $26.6 million. Any unused net operating loss carryforwards may be carried forward on a cumulative basis for up to 15 years from the year in which the loss was generated. In addition, if Chambers has a net built-in-gain as defined in Section 382 of the Code and if built-in-gains are recognized for tax purposes over the next five years, the Section 382 Limitation may be increased by the amount of recognized built-in-gain. On the other hand, if Chambers has a net built-in-loss, then certain items which would otherwise be deductible for tax purposes over the next five years would not be deductible to the extent they exceed the Section 382 Limitation. Chambers cannot definitively determine if a built-in-gain or built-in-loss exists subject to the final settlement of the audit by the Service.</w:t>
      </w:r>
    </w:p>
    <w:p>
      <w:pPr>
        <w:spacing w:after="0" w:line="35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Regulations governing the filing of consolidated returns by affiliated groups of corporations also may limit the use of net operating loss carryforwards of a corporation. Subject to certain regulations discussed below, if an acquired company is a member of an affiliated group filing consolidated returns, any of the acquired corporation's pre-acquisition net operating loss carryforwards which continue to be usable by the acquired corporation will become "separate return limitation year" ("SRLY") net operating losses and hence will be usable only against the acquired corporation's profits, not against the acquiring corporation's profits or the profits of other members of the acquiring corporation's consolidated group. If, however, the shareholders of the acquired corporation receive in the acquisition more than 50% of the fair market value of the stock of the acquiring corporation (as a result of owning stock in the acquired corporation) and a consolidated return is filed for the first year ending after the acquisition, then the transaction is a reverse acquisition under the consolidated return rules. Proposed regulations would clarify the application of the reverse acquisition rules to certain transactions (such as a reorganization described in Section 368(a)(2)(E)). Under such regulations, the acquired corporation's consolidated group is treated as remaining in existence (with the acquiring company as the new parent) and the acquiring corporation's consolidated group is treated as terminating for purposes of the consolidated return regulations. Chambers has advised that its pre-acquisition stockholders will receive more than 50 percent of the fair market value of USA Waste's stock in the acquisition as a result of owning Chambers' stock. Thus, assuming that the former stockholders of Chambers receive more than 50 percent of the fair market value of the stock of USA Waste in the exchange, there should be a reverse acquisition and pursuant to such regulations, the Chambers consolidated group would remain in existence. If the Merger is treated as a reverse acquisition, Chambers' net operating loss carryforwards would not be SRLY net operating losses and hence would generally be usable (subject to any other limitation, including the</w:t>
      </w:r>
    </w:p>
    <w:p>
      <w:pPr>
        <w:sectPr>
          <w:pgSz w:w="11900" w:h="16838" w:orient="portrait"/>
          <w:cols w:equalWidth="0" w:num="1">
            <w:col w:w="10227"/>
          </w:cols>
          <w:pgMar w:left="232" w:top="291" w:right="1440" w:bottom="1440" w:gutter="0" w:footer="0" w:header="0"/>
        </w:sectPr>
      </w:pPr>
    </w:p>
    <w:p>
      <w:pPr>
        <w:spacing w:after="0" w:line="19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291"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Section 382 Limitation discussed above) against the profits of USA Waste or any other member of the Chambers-USA Waste consolidated group.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have been combined from inception.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One of the conditions to the Merger is the receipt by USA Waste of a letter from its independent accountants, Coopers &amp; Lybrand L.L.P., that the Merger will qualify as a "pooling of interests" for accounting and financial reporting purposes.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AND REGULATORY APPROVALS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Transactions such as the Merger are reviewed by the Antitrust Division of the Department of Justice (the "Department of Justice") and the Federal Trade Commission (the "FTC") to determine whether they comply with applicable antitrust laws. Under the provisions of the HSR Act, the Merger may not be consummated until such time as the specified waiting period requirements of the HSR Act have been satisfied. USA Waste and Chambers filed notification reports with the Department of Justice and FTC under the HSR Act on March 1, 1995, and March 10, 1995, respectively, and the waiting period expired on April 9, 1995.</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any time before or after the Effective Time, the Department of Justice and FTC or a private person or entity could seek under the antitrust laws, among other things, to enjoin the Merger or to cause USA Waste to divest itself, in whole or in part, of Chambers or of other businesses conducted by USA Waste. There can be no assurance that a challenge to the Merger will not be made or that, if such a challenge is made, USA Waste and Chambers will prevail.</w:t>
      </w:r>
    </w:p>
    <w:p>
      <w:pPr>
        <w:spacing w:after="0" w:line="177" w:lineRule="exact"/>
        <w:rPr>
          <w:sz w:val="20"/>
          <w:szCs w:val="20"/>
          <w:color w:val="auto"/>
        </w:rPr>
      </w:pPr>
    </w:p>
    <w:p>
      <w:pPr>
        <w:ind w:right="3739" w:firstLine="451"/>
        <w:spacing w:after="0" w:line="244" w:lineRule="auto"/>
        <w:rPr>
          <w:sz w:val="20"/>
          <w:szCs w:val="20"/>
          <w:color w:val="auto"/>
        </w:rPr>
      </w:pPr>
      <w:r>
        <w:rPr>
          <w:rFonts w:ascii="Courier New" w:cs="Courier New" w:eastAsia="Courier New" w:hAnsi="Courier New"/>
          <w:sz w:val="15"/>
          <w:szCs w:val="15"/>
          <w:color w:val="auto"/>
        </w:rPr>
        <w:t>USA Waste and Chambers are not aware of any other governmental or regulatory approvals required for consummation of the Merger, other than compliance with applicable federal and state securities laws.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SETTLEMENT OF CERTAIN CHAMBERS LITIGATION</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and its affiliates became defendants in a number of federal and state lawsuits arising from an announcement of a change in Chambers' accounting method in March 1992 and a subsequent $362 million reduction in retained earnings as of December 31, 1991. In addition, in 1992, the Commission initiated an investigation with respect to Chambers' accounting method and the accuracy of its financial statements and into the possibility that persons or entities had traded in Chambers' securities on the basis of inside information prior to the announcement of the change in accounting method. On February 24, 1995, Chambers and shareholder representatives executed definitive agreements providing for the settlement and dismissal of the shareholder litigation and the payment of approximately $80,000,000 by Chambers. Such payment may be increased upon consummation of the Merger or a comparable transaction, with the size of such increase depending upon the amount of consideration received by the Chambers stockholders. On March 22, 1995, the court granted preliminary approval of the settlements and the distribution of notices to Chambers' stockholders and the plaintiff class members regarding the settlements. A hearing upon the fairness, reasonableness and adequacy of the proposed settlements has been scheduled for May 19, 1995. Certain members of the class have requested exclusion from the settlements. See "Description of Chambers -- Legal Proceedings." In connection with the Commission investigation, on May 9, 1995, the Commission announced the filing of a complaint against Chambers alleging that Chambers violated the antifraud provisions of the Securities Act and the antifraud, reporting, internal controls and recordkeeping provisions of the Exchange Act. Chambers simultaneously consented, without admitting or denying the allegations, to the entry of an order enjoining it from violating certain provisions of the Securities Act and the Exchange Act and requiring Chambers to pay a civil penalty of $500,000. For a description of the lawsuits, the settlement agreements and the Commission</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1"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54</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investigation, see "Description of Chambers -- Legal Proceedings." Consummation of the Merger is conditioned upon the shareholder litigation having been fully and irrevocably settled and upon agreement of the Commission to a consent order with respect to the Commission's investigation as to Chambers accounting method and the accuracy of its financial statements upon terms and conditions satisfactory to USA Waste.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RESALES BY AFFILIATES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shares of USA Waste Common Stock received by Chambers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Chambers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Chambers and USA Waste will use their best efforts to cause each of their principal executive officers, directors, and affiliates to deliver to USA Waste and/or Chambers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Chambers have been filed with the Commission, sent to shareholders of USA Waste, or otherwise publicly issued.</w:t>
      </w:r>
    </w:p>
    <w:p>
      <w:pPr>
        <w:spacing w:after="0" w:line="18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Under Commission guidelines interpreting generally accepted accounting principles, the sale of USA Waste Common Stock or Chambers Common Stock and Chambers Class A Common Stock by an affiliate of either USA Waste or Chambers generally within 30 days prior to the Effective Time or thereafter prior to the publication of financial statements that include a minimum of at least 30 days of combined operations of USA Waste and Chambers after the Effective Time could preclude "pooling of interests" accounting treatment for the Merger.</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ELECTION OF USA WASTE DIRECTORS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ELECTION AS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nine current directors of USA Waste have been nominated for election as directors at the USA Waste Annual Meeting: Donald F. Moorehead, Jr., John E. Drury, David Sutherland-Yoest, Earl E. DeFrates, George L. Ball, Robert A. Mosley, John D. Spellman, Gene A. Meredith, and Richard J. Heckmann.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the Board Classification Proposals are approved, (i) Messrs. Sutherland-Yoest, Mosley, and Heckmann will be designated Class I directors and elected for a term of one year expiring at the 1996 annual meeting of shareholders and until their successors are elected and qualified, (ii) Messrs. Moorehead, Spellman, and Meredith will be designated Class II directors and elected for a term of two years expiring at the 1997 annual meeting of shareholders and until their successors are elected and qualified, and (iii) Messrs. Drury, DeFrates, and Ball will be designated Class III directors and elected for a term of three years expiring at the 1998 annual meeting of shareholders and until their successors are elected and qualified. If the Board Classification Proposals are not approved, the nine directors elected will serve as Directors until the next annual meeting and until their successors are elected and qualified.</w:t>
      </w:r>
    </w:p>
    <w:p>
      <w:pPr>
        <w:spacing w:after="0" w:line="182"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At the Effective Time, USA Waste, Donald F. Moorehead, Jr. and John E. Drury will enter into the Shareholders Agreement with the Rangos Shareholders that, among other things, will provide certain rights to the Rangos Shareholders to name or participate in the naming of members to the Board of Directors of USA Waste and to name certain members of the Executive Committee of the Board of Directors of USA Waste. See "The Merger and Related Transactions -- Shareholders Agreement." Accordingly, at the Effective Time, Messrs. DeFrates, Spellman, Mosley, and Meredith have indicated that they would resign</w:t>
      </w:r>
    </w:p>
    <w:p>
      <w:pPr>
        <w:spacing w:after="0" w:line="1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1" w:right="1440" w:bottom="1440" w:gutter="0" w:footer="0" w:header="0"/>
        </w:sectPr>
      </w:pPr>
    </w:p>
    <w:bookmarkStart w:id="55" w:name="page56"/>
    <w:bookmarkEnd w:id="55"/>
    <w:p>
      <w:pPr>
        <w:ind w:left="268"/>
        <w:spacing w:after="0"/>
        <w:rPr>
          <w:sz w:val="20"/>
          <w:szCs w:val="20"/>
          <w:color w:val="auto"/>
        </w:rPr>
      </w:pPr>
      <w:r>
        <w:rPr>
          <w:rFonts w:ascii="Courier New" w:cs="Courier New" w:eastAsia="Courier New" w:hAnsi="Courier New"/>
          <w:sz w:val="15"/>
          <w:szCs w:val="15"/>
          <w:color w:val="auto"/>
        </w:rPr>
        <w:t>55</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from their respective seats on the USA Waste Board of Directors and the resulting vacancies would be filled by John G. Rangos, Sr. and Alexander W. Rangos, the two directors designated by the Rangos Shareholders, and William E. Moffett and Peter J. Gibbons, who would be approved by the Executive Committee of the Board of Directors. Mr. Gibbons would become a Class I director, John G. Rangos, Sr. and Mr. Moffett would become Class II directors, and Alexander W. Rangos would become a Class III director. The Shareholders Agreement will remain in effect until the aggregate number of shares of USA Waste Common Stock beneficially held by the Rangos Shareholders and their affiliates is less than five percent of the outstanding shares of USA Waste Common Stock. Immediately after the Effective Time, the Rangos Shareholders will control approximately 20.8% of the voting stock of USA Waste, and Donald F. Moorehead, Jr. and John 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Drury will collectively control approximately 5.0% of such stock.</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Unless a shareholder requests that voting of his proxy be withheld for any one or more of the nominees for directors by so directing on the proxy card, the shares represented by the proxy will be voted FOR election of the nine nominees described below. If any nominee becomes unavailable for any reason, then the shares represented by proxy will be voted FOR the remainder of the listed nominees and for such other nominees as may be designated by the Board of Directors of USA Waste as replacements for those who become unavailable. The three nominees in each class receiving the highest number of affirmative votes will be elected to the Board of Directors of USA Waste.</w:t>
      </w:r>
    </w:p>
    <w:p>
      <w:pPr>
        <w:spacing w:after="0" w:line="179"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certain information concerning the persons who have been nominated for election to the Board of Directors of USA Waste and the executive officers of USA Waste.</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3320" w:type="dxa"/>
            <w:vAlign w:val="bottom"/>
          </w:tcPr>
          <w:p>
            <w:pPr>
              <w:ind w:left="1340"/>
              <w:spacing w:after="0"/>
              <w:rPr>
                <w:sz w:val="20"/>
                <w:szCs w:val="20"/>
                <w:color w:val="auto"/>
              </w:rPr>
            </w:pPr>
            <w:r>
              <w:rPr>
                <w:rFonts w:ascii="Courier New" w:cs="Courier New" w:eastAsia="Courier New" w:hAnsi="Courier New"/>
                <w:sz w:val="15"/>
                <w:szCs w:val="15"/>
                <w:color w:val="auto"/>
              </w:rPr>
              <w:t>NAME</w:t>
            </w:r>
          </w:p>
        </w:tc>
        <w:tc>
          <w:tcPr>
            <w:tcW w:w="33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POSITION WITH USA WASTE</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AGE</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rPr>
              <w:t>SINCE</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CLASS(5)</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3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320" w:type="dxa"/>
            <w:vAlign w:val="bottom"/>
          </w:tcPr>
          <w:p>
            <w:pPr>
              <w:spacing w:after="0"/>
              <w:rPr>
                <w:sz w:val="20"/>
                <w:szCs w:val="20"/>
                <w:color w:val="auto"/>
              </w:rPr>
            </w:pPr>
            <w:r>
              <w:rPr>
                <w:rFonts w:ascii="Courier New" w:cs="Courier New" w:eastAsia="Courier New" w:hAnsi="Courier New"/>
                <w:sz w:val="15"/>
                <w:szCs w:val="15"/>
                <w:color w:val="auto"/>
              </w:rPr>
              <w:t>Donald F. Moorehead, Jr.(1)(2).....</w:t>
            </w: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Chairman of the Board, Chief</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1990</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II</w:t>
            </w:r>
          </w:p>
        </w:tc>
      </w:tr>
      <w:tr>
        <w:trPr>
          <w:trHeight w:val="173"/>
        </w:trPr>
        <w:tc>
          <w:tcPr>
            <w:tcW w:w="3320" w:type="dxa"/>
            <w:vAlign w:val="bottom"/>
          </w:tcPr>
          <w:p>
            <w:pPr>
              <w:spacing w:after="0"/>
              <w:rPr>
                <w:sz w:val="15"/>
                <w:szCs w:val="15"/>
                <w:color w:val="auto"/>
              </w:rPr>
            </w:pPr>
          </w:p>
        </w:tc>
        <w:tc>
          <w:tcPr>
            <w:tcW w:w="3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Development Officer and Director</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John E. Drury(1)...................</w:t>
            </w: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Chief Executive Officer and</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III</w:t>
            </w:r>
          </w:p>
        </w:tc>
      </w:tr>
      <w:tr>
        <w:trPr>
          <w:trHeight w:val="173"/>
        </w:trPr>
        <w:tc>
          <w:tcPr>
            <w:tcW w:w="3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2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David Sutherland-Yoest(1)..........</w:t>
            </w: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President, Chief Operating Officer</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w:t>
            </w:r>
          </w:p>
        </w:tc>
      </w:tr>
      <w:tr>
        <w:trPr>
          <w:trHeight w:val="173"/>
        </w:trPr>
        <w:tc>
          <w:tcPr>
            <w:tcW w:w="3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and Director</w:t>
            </w:r>
          </w:p>
        </w:tc>
        <w:tc>
          <w:tcPr>
            <w:tcW w:w="2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Earl E. DeFrates(1)(6).............</w:t>
            </w: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Executive Vice President, Chief</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1990</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III</w:t>
            </w:r>
          </w:p>
        </w:tc>
      </w:tr>
      <w:tr>
        <w:trPr>
          <w:trHeight w:val="173"/>
        </w:trPr>
        <w:tc>
          <w:tcPr>
            <w:tcW w:w="3320" w:type="dxa"/>
            <w:vAlign w:val="bottom"/>
          </w:tcPr>
          <w:p>
            <w:pPr>
              <w:spacing w:after="0"/>
              <w:rPr>
                <w:sz w:val="15"/>
                <w:szCs w:val="15"/>
                <w:color w:val="auto"/>
              </w:rPr>
            </w:pPr>
          </w:p>
        </w:tc>
        <w:tc>
          <w:tcPr>
            <w:tcW w:w="3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Financial Officer, Treasurer and</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15"/>
                <w:szCs w:val="15"/>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2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George L. Ball(2)(3)(4)............</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220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1991</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III</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Robert A. Mosley(2)(3)(4)(6).......</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220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60</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1987</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John D. Spellman(3)(4)(6)..........</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220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68</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II</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Gene A. Meredith(6)................</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220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53</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II</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Richard J. Heckmann................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220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Charles A. Wilcox..................</w:t>
            </w: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Executive Vice</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President --</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Gregory T. Sangalis................</w:t>
            </w: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 General Counsel and</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39</w:t>
            </w: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15"/>
                <w:szCs w:val="15"/>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Secretary</w:t>
            </w:r>
          </w:p>
        </w:tc>
        <w:tc>
          <w:tcPr>
            <w:tcW w:w="2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Bruce E. Snyder....................</w:t>
            </w: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 Corporate</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39</w:t>
            </w: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Controller, and Chief Accounting</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15"/>
                <w:szCs w:val="15"/>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2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Hubert J. Bourque..................</w:t>
            </w: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 -- Environmental</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Affairs and Chief Compliance</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15"/>
                <w:szCs w:val="15"/>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2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James R. Jones.....................</w:t>
            </w:r>
          </w:p>
        </w:tc>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 -- Engineering</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3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2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368" w:hanging="368"/>
        <w:spacing w:after="0"/>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1993 Stock Incentive Plan Committee.</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the Board Classification Proposals are approved.</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291" w:right="1440" w:bottom="1440" w:gutter="0" w:footer="0" w:header="0"/>
        </w:sectPr>
      </w:pPr>
    </w:p>
    <w:bookmarkStart w:id="56" w:name="page57"/>
    <w:bookmarkEnd w:id="56"/>
    <w:p>
      <w:pPr>
        <w:ind w:left="268"/>
        <w:spacing w:after="0"/>
        <w:rPr>
          <w:sz w:val="20"/>
          <w:szCs w:val="20"/>
          <w:color w:val="auto"/>
        </w:rPr>
      </w:pPr>
      <w:r>
        <w:rPr>
          <w:rFonts w:ascii="Courier New" w:cs="Courier New" w:eastAsia="Courier New" w:hAnsi="Courier New"/>
          <w:sz w:val="15"/>
          <w:szCs w:val="15"/>
          <w:color w:val="auto"/>
        </w:rPr>
        <w:t>56</w:t>
      </w:r>
    </w:p>
    <w:p>
      <w:pPr>
        <w:spacing w:after="0" w:line="178" w:lineRule="exact"/>
        <w:rPr>
          <w:sz w:val="20"/>
          <w:szCs w:val="20"/>
          <w:color w:val="auto"/>
        </w:rPr>
      </w:pPr>
    </w:p>
    <w:p>
      <w:pPr>
        <w:ind w:left="448" w:right="3019" w:hanging="448"/>
        <w:spacing w:after="0" w:line="243" w:lineRule="auto"/>
        <w:tabs>
          <w:tab w:leader="none" w:pos="35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DeFrates, Mosley, Spellman and Meredith will resign as directors and committee members at the Effective Time.</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Donald F. Moorehead, Jr. has been Chairman of the Board since October 1, 1990 and Chief Development Officer since May 27,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John E. Drury has been Chief Executive Officer since May 27, 1994. From 1992 to May 1994, Mr. Drury served as a Managing Director of Sanders Morris Mundy Inc. ("SMMI"), a Houston based investment banking firm. Mr. Drury served as President and Chief Operating Officer of BFI from 1982 to 1991, during which time he had chief responsibility for worldwide operations.</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David Sutherland-Yoest has been President, Chief Operating Officer since May 27, 1994. Prior to joining USA Waste, he was President, Chief Executive Officer and a director of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Vice-President, Corporate Development,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Earl E. DeFrates has been Chief Financial Officer and Treasurer since October 1990. Mr. DeFrates joined USA Waste as Vice President Finance in October 1990 and was elected Executive Vice President in May 1994. Prior thereto, Mr. DeFrates was employed by Acadiana Energy Inc. (formerly Tatham Oil &amp; Gas, Inc.), serving in various officer capacities including the company's Chief Financial Officer, since 1980.</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George L. Ball has been nonexecutive Chairman of the Board and a director of SMMI since May 1992. From September 1992 to January 1994, Mr. Ball was a Senior Executive Vice President of Smith Barney Shearson Inc. From September 1991 to September 1992, Mr. Ball was a consultant to J. &amp; W. Seligman &amp; Co. Incorporated. In 1982, Mr. Ball was elected President and Chief Executive Officer of Prudential-Bache Securities, Inc. and in 1986 was elected Chairman of the Board, serving in such position until his resignation in 1991. He also served as a member of the Executive Office of Prudential Insurance Company of America. Prior to joining Prudential, Mr. Ball served as President of E.F. Hutton Group, Inc. Mr. Ball is also a director of American Ecology Corporation, Leviathan Gas Pipeline Company, L.P., and BioMedical Waste Systems, Inc. Mr. Ball is a trustee emeritus of Brown University, a director of the National Symphony Orchestra, a trustee of the Joint Council on Economic Education, and a director of the Jefferson Awards.</w:t>
      </w:r>
    </w:p>
    <w:p>
      <w:pPr>
        <w:spacing w:after="0" w:line="18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Robert A. Mosley has been a certified public accountant in Moore, Oklahoma, since 1960, currently owns Trailers, Unlimited in Moore, Oklahoma, and serves as President and a director of West Avionics, Inc., Moore, Oklahoma, a company overseeing bids on government contracts. Mr. Mosley has also served as a director of First National Bank of Bethany, Bethany, Oklahoma, since 1971.</w:t>
      </w:r>
    </w:p>
    <w:p>
      <w:pPr>
        <w:spacing w:after="0" w:line="177" w:lineRule="exact"/>
        <w:rPr>
          <w:sz w:val="20"/>
          <w:szCs w:val="20"/>
          <w:color w:val="auto"/>
        </w:rPr>
      </w:pPr>
    </w:p>
    <w:p>
      <w:pPr>
        <w:ind w:left="8" w:right="3019" w:firstLine="451"/>
        <w:spacing w:after="0" w:line="266" w:lineRule="auto"/>
        <w:rPr>
          <w:sz w:val="20"/>
          <w:szCs w:val="20"/>
          <w:color w:val="auto"/>
        </w:rPr>
      </w:pPr>
      <w:r>
        <w:rPr>
          <w:rFonts w:ascii="Courier New" w:cs="Courier New" w:eastAsia="Courier New" w:hAnsi="Courier New"/>
          <w:sz w:val="14"/>
          <w:szCs w:val="14"/>
          <w:color w:val="auto"/>
        </w:rPr>
        <w:t>John D. Spellman has been Of Counsel to the firm of Carney, Badley, Smith &amp; Spellman, A Professional Corporation, and an Adjunct Professor in Administrative Law at the Institute of Public Service at Seattle University since 1985. From 1981 to 1985, Mr. Spellman was Governor of the State of Washington. From 1969 to 1981, he served as Executive of King County (Seattle), Washington.</w:t>
      </w:r>
    </w:p>
    <w:p>
      <w:pPr>
        <w:spacing w:after="0" w:line="16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Gene A. Meredith was a Director of Envirofil from March 1993 to May 1994. From 1989 to the present, he has been active as an investor, as well as a co-founder, officer and director of two floor trading member firms of the AMEX. From 1974 to 1989, Mr. Meredith served as BFI's Regional Vice President for the Pacific Region.</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291"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57</w:t>
      </w:r>
    </w:p>
    <w:p>
      <w:pPr>
        <w:spacing w:after="0" w:line="178" w:lineRule="exact"/>
        <w:rPr>
          <w:sz w:val="20"/>
          <w:szCs w:val="20"/>
          <w:color w:val="auto"/>
        </w:rPr>
      </w:pPr>
    </w:p>
    <w:p>
      <w:pPr>
        <w:jc w:val="both"/>
        <w:ind w:right="3099" w:firstLine="451"/>
        <w:spacing w:after="0" w:line="244" w:lineRule="auto"/>
        <w:rPr>
          <w:sz w:val="20"/>
          <w:szCs w:val="20"/>
          <w:color w:val="auto"/>
        </w:rPr>
      </w:pPr>
      <w:r>
        <w:rPr>
          <w:rFonts w:ascii="Courier New" w:cs="Courier New" w:eastAsia="Courier New" w:hAnsi="Courier New"/>
          <w:sz w:val="15"/>
          <w:szCs w:val="15"/>
          <w:color w:val="auto"/>
        </w:rPr>
        <w:t>Richard J. Heckmann is Chairman, President, and Chief Executive Officer of United States Filter Corporation ("U.S. Filter"), a position he assumed in July 1990. Prior to joining U.S. Filter, Mr. Heckmann was a Senior Vice</w:t>
      </w:r>
    </w:p>
    <w:p>
      <w:pPr>
        <w:spacing w:after="0" w:line="2"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President -- Investments and Branch Manager of Prudential-Bache Securities in Rancho Mirage, California. Mr. Heckmann is also a director of The Earth Technology Corporation and Air Cure, Inc.</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Charles A. Wilcox has been Executive Vice President -- Operations of USA Waste since December 1994. From April 1981 until November 1994, Mr. Wilcox held positions with BFI including Managing Director of B.F.S.A. LTD (October 1984 to December 1987) and Regional Vice President, Pacific Region (October 1988 to June 1993). Other assignments with BFI included District Manager, New Orleans; President -- Special Services, Corporate; and Division Vice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 Northern Florida.</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Gregory T. Sangalis has been Vice President, General Counsel and Secretary since April 4, 1995. Prior to joining USA Waste, Mr. Sangalis was employed by the solid waste subsidiary of WMX Technologies, Inc. serving in various legal capacities since 1986 and including Group Vice President and General Counsel from August 1992 to April 1995. Prior to joining WMX, he was general counsel for Peavey Company.</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Bruce E. Snyder has been Vice President, Corporate Controller, and Chief Accounting Officer since July 1, 1992. Prior to joining USA Waste, Mr. Snyder was employed by the international accounting firm of Coopers &amp; Lybrand L.L.P., serving since 1989 as an audit manager. From 1985 to 1989, Mr. Snyder held various financial positions with a privately held real estate development and management company in Oklahoma City, Oklahoma, and its affiliated companies, ultimately serving as Senior Vice President. Mr. Snyder is a certified public accountant in the State of Oklahoma.</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Hubert J. Bourque has been Vice President -- Environmental Affairs and Chief Compliance Officer since May 1994. From January 1993 to May 1994, Mr. Bourque was Chief Compliance Officer and Senior Vice President of Environmental Affairs for Envirofil. From June 1990 to December 1992, Mr. Bourque was Divisional Vice President -- Environmental Affairs for BFI Ltd. From 1984 to 1990, Mr. Bourque was responsible for the direction of a technical group of 15 consulting professionals whose work involved solid waste planning, landfill and transfer station design, and hazardous waste management for clients in North America, the Middle East, the Caribbean and Southeast Asia.</w:t>
      </w:r>
    </w:p>
    <w:p>
      <w:pPr>
        <w:spacing w:after="0" w:line="179"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James R. Jones has been Vice President -- Engineering Services since August 1994. From September 1992 through May 1994, Mr. Jones served as Vice President, Operations Manager for the Kansas City area of Woodward-Clyde Consultants. He joined Woodward-Clyde in January 1992 as Vice President, National Practice Manager -- Solid Waste. From 1990 to August 1991, Mr. Jones participated in the start-up of Equivest Waste Solutions, Inc., which merged with Geowaste, Inc. in August 1991. From January 1974 to February 1990, he served in various positions with BFI, including Divisional Vice President, Engineering from 1980 to 1990.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AFTER 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the Effective Time, Messrs. DeFrates, Spellman, Mosley and Meredith will resign as directors of USA Waste. At such time, Mr. Drury will become Chairman of the Board, Mr. Moorehead and John G. Rangos, Sr. will become Vice Chairmen of the Board, Alexander W. Rangos will become a director and Executive Vice President for Landfill Development of USA Waste, and Mr. Moffett and Mr. Gibbons will become directors.</w:t>
      </w:r>
    </w:p>
    <w:p>
      <w:pPr>
        <w:spacing w:after="0" w:line="177"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A brief biographical summary of the proposed new directors is presented below.</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John G. Rangos, Sr., age 65, has served as Chairman and Chief Executive Officer of Chambers since January 1994. Prior thereto, he served as President and Chief Executive Officer of Chambers from 1973 to January 1994. Mr. Rangos has been a director of Chambers since 1973, and is the father of John G. Rangos, Jr., Vice Chairman -- Administration and Technology and Secretary of Chambers, and Alexander W. Rangos, President and Chief Operating Officer of Chambers. In connection with the settlement of the Commission's investigation with respect to Chambers' accounting method and the accuracy of its financial statements, on May 9, 1995, the Commission instituted administrative proceedings against John G. Rangos, Sr. and three other present and former officers of Chambers. The Commission found, inter alia, that</w:t>
      </w:r>
    </w:p>
    <w:p>
      <w:pPr>
        <w:sectPr>
          <w:pgSz w:w="11900" w:h="16838" w:orient="portrait"/>
          <w:cols w:equalWidth="0" w:num="1">
            <w:col w:w="10219"/>
          </w:cols>
          <w:pgMar w:left="240" w:top="291" w:right="1440" w:bottom="1440" w:gutter="0" w:footer="0" w:header="0"/>
        </w:sectPr>
      </w:pP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1"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58</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Mr. Rangos was a cause of Chambers' violations of the reporting, internal controls and recordkeeping provisions of the Exchange Act. Mr. Rangos consented to the issuance of a cease and desist order without admitting or denying the Commission's findings.</w:t>
      </w:r>
    </w:p>
    <w:p>
      <w:pPr>
        <w:spacing w:after="0" w:line="349"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Alexander W. Rangos, age 35, has served as President and Chief Operating Officer of Chambers since January 1994. Prior thereto, he served with Chambers as Executive Vice President -- Operations and Corporate Development from 1990 to 1994, as Executive Vice President -- Corporate Development from 1985 to 1990, and as Manager of the Southern Region from 1984 to 1985. Mr. Rangos has been a director of Chambers since 1985, and is a son of John G. Rangos, Sr., Chairman and Chief Executive Officer of Chambers, and the brother of John G. Rangos, Jr., Vice Chairman -- Administration and Technology, and Secretary of Chambers.</w:t>
      </w:r>
    </w:p>
    <w:p>
      <w:pPr>
        <w:spacing w:after="0" w:line="33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William E. Moffett, age 64, has served as a director of Chambers since January 1987. In 1992, Mr. Moffett retired as Chairman of the Board and Chief Executive Officer of Chatham Enterprises, Inc. (real estate development) and Hazmed, Inc. (environmental services). In May 1985, he retired as President of Gulf Oil Foundation and as Vice President -- Public Affairs of Gulf Oil Corporation, having joined Gulf Oil Corporation in 1969 and served in a number of managerial assignments for that company and its subsidiaries. Mr. Moffett also serves as a director of Calvin Exploration Company, Inc.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Peter J. Gibbons, age 59, has served as a director of Chambers since August 1993. Prior thereto, he was affiliated with the accounting firm of Price Waterhouse from 1961 until his retirement in July 1993.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COMMITTEES AND COMPENSATION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USA Waste Board of Directors held six meetings in 1994. None of the directors attended fewer than 75% of the Board of Directors' meetings in 1994. During 1994, USA Waste paid directors who are not employed by USA Waste an annual fee of $6,000, payable in equal monthly installments. In addition, USA Waste reimburses directors for their travel and out-of-pocket expenses incurred in attending Board or committee meetings. Non-employee directors are also entitled to receive an automatic stock grant each year. See "Executive Compensation -- Stock Incentive Plans."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USA Waste Board of Directors has four committees: an Audit Committee, a Compensation Committee, a Stock Incentive Plan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during 1994. The Compensation Committee reviews and recommends compensation for USA Waste officers and employees and recommends to the Board of Directors changes in USA Waste's incentive compensation plans. The Compensation Committee met once in 1994. The Stock Incentive Plan Committee administers the 1990 Stock Option Plan and the 1993 Stock Incentive Plan. The Stock Incentive Plan Committee met once in 1994. The Executive Committee may act for the Board of Directors when action is required between Board meetings. The Executive Committee may act on behalf of the Board on all but major corporate matters. All actions taken by the Executive Committee must be reported at the Board's next meeting. All of the directors attended all committee meetings of the committees of which they are members.</w:t>
      </w:r>
    </w:p>
    <w:p>
      <w:pPr>
        <w:spacing w:after="0" w:line="1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terms of the Shareholders Agreement to be entered into between USA Waste and the Rangos Shareholders upon consummation of the Merger, USA Waste and Messrs. Moorehead and Drury are required to use their best efforts after the Effective Time to establish and maintain an Executive Committee consisting of five directors and to cause the Executive Committee to include two directors designated by the Rangos Shareholders. Upon consummation of the Merger, the Executive Committee will be comprised of Messrs. Moorehead, Drury, Sutherland-Yoest, John G. Rangos, Sr., and Alexander W. Rangos.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1" w:right="1440" w:bottom="1440" w:gutter="0" w:footer="0" w:header="0"/>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59</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BENEFICIAL OWNERSHIP OF USA WASTE COMMON STOCK</w:t>
      </w:r>
    </w:p>
    <w:p>
      <w:pPr>
        <w:spacing w:after="0" w:line="35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information as of the Record Date with respect to the beneficial ownership of USA Waste Common Stock as of the Record Date by (1) each owner of more than 5% of USA Waste Common Stock, (2) each director of USA Waste, (3) certain executive officers of USA Waste, including the Chief Executive Officer and USA Waste's four most highly compensated officers other than the Chief Executive Officer who were serving as officers at December 31, 1994, and (4) all executive officers and directors of USA Waste as a group. Except as otherwise indicated below, each of the entities and persons named in the table has sole voting and investment power with respect to all shares of Common Stock beneficially owned.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45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AMOUNT AND NATURE OF BENEFICIAL OWNERSHIP</w:t>
            </w:r>
          </w:p>
        </w:tc>
        <w:tc>
          <w:tcPr>
            <w:tcW w:w="1000" w:type="dxa"/>
            <w:vAlign w:val="bottom"/>
          </w:tcPr>
          <w:p>
            <w:pPr>
              <w:spacing w:after="0"/>
              <w:rPr>
                <w:sz w:val="14"/>
                <w:szCs w:val="14"/>
                <w:color w:val="auto"/>
              </w:rPr>
            </w:pPr>
          </w:p>
        </w:tc>
      </w:tr>
      <w:tr>
        <w:trPr>
          <w:trHeight w:val="173"/>
        </w:trPr>
        <w:tc>
          <w:tcPr>
            <w:tcW w:w="4140" w:type="dxa"/>
            <w:vAlign w:val="bottom"/>
          </w:tcPr>
          <w:p>
            <w:pPr>
              <w:spacing w:after="0"/>
              <w:rPr>
                <w:sz w:val="15"/>
                <w:szCs w:val="15"/>
                <w:color w:val="auto"/>
              </w:rPr>
            </w:pPr>
          </w:p>
        </w:tc>
        <w:tc>
          <w:tcPr>
            <w:tcW w:w="45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OPTIONS OR</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WARRANTS</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EXERCISABLE</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SOLE VOTING AND</w:t>
            </w:r>
          </w:p>
        </w:tc>
        <w:tc>
          <w:tcPr>
            <w:tcW w:w="14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WITHIN</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BENEFICIAL</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PERCENT</w:t>
            </w:r>
          </w:p>
        </w:tc>
      </w:tr>
      <w:tr>
        <w:trPr>
          <w:trHeight w:val="173"/>
        </w:trPr>
        <w:tc>
          <w:tcPr>
            <w:tcW w:w="4140" w:type="dxa"/>
            <w:vAlign w:val="bottom"/>
          </w:tcPr>
          <w:p>
            <w:pPr>
              <w:ind w:left="1260"/>
              <w:spacing w:after="0"/>
              <w:rPr>
                <w:sz w:val="20"/>
                <w:szCs w:val="20"/>
                <w:color w:val="auto"/>
              </w:rPr>
            </w:pPr>
            <w:r>
              <w:rPr>
                <w:rFonts w:ascii="Courier New" w:cs="Courier New" w:eastAsia="Courier New" w:hAnsi="Courier New"/>
                <w:sz w:val="15"/>
                <w:szCs w:val="15"/>
                <w:color w:val="auto"/>
              </w:rPr>
              <w:t>NAME AND ADDRESS</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INVESTMENT POWER</w:t>
            </w:r>
          </w:p>
        </w:tc>
        <w:tc>
          <w:tcPr>
            <w:tcW w:w="144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60 DAYS(1)</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OWNERSHIP</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OF CLASS</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Robert F. Smith.............................</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2,506,607</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338,500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12.2%</w:t>
            </w:r>
          </w:p>
        </w:tc>
      </w:tr>
      <w:tr>
        <w:trPr>
          <w:trHeight w:val="173"/>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31725 North Route 83</w:t>
            </w: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Grayslake, Illinois 62030</w:t>
            </w: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Donald F. Moorehead, Jr.....................</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1,497,658</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505,000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126,369(2)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9.1%</w:t>
            </w:r>
          </w:p>
        </w:tc>
      </w:tr>
      <w:tr>
        <w:trPr>
          <w:trHeight w:val="173"/>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5000 Quorum Dr., Suite 300</w:t>
            </w: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Dallas, Texas 75240</w:t>
            </w: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1,054,938</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241,500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5,176(3)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David Sutherland-Yoest......................</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312,984</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115,352</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Earl E. DeFrates............................</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7,000</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754(5)</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Bruce E. Snyder.............................</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500</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8,000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George L. Ball..............................</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27,196</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36,000(6)</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Robert A. Mosley............................</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21,076</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John D. Spellman............................</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8,593</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Richard J. Heckmann.........................</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5,439</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Gene A. Meredith............................</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23,174</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All directors and officers</w:t>
            </w: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as a group (13 persons)...................</w:t>
            </w:r>
          </w:p>
        </w:tc>
        <w:tc>
          <w:tcPr>
            <w:tcW w:w="17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2,958,558</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984,892</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170,299</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17.2%</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 Less than 1%.</w:t>
      </w:r>
    </w:p>
    <w:p>
      <w:pPr>
        <w:spacing w:after="0" w:line="4" w:lineRule="exact"/>
        <w:rPr>
          <w:sz w:val="20"/>
          <w:szCs w:val="20"/>
          <w:color w:val="auto"/>
        </w:rPr>
      </w:pPr>
    </w:p>
    <w:p>
      <w:pPr>
        <w:ind w:left="368" w:right="3279" w:hanging="368"/>
        <w:spacing w:after="0" w:line="244" w:lineRule="auto"/>
        <w:tabs>
          <w:tab w:leader="none" w:pos="36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issuable to a shareholder upon the exercise of options or warrants exercisable within 60 days are considered to be outstanding for purposes of calculating beneficial ownership and the percentage of class owned by such shareholder and, to the extent such holder is a director or officer, the percentage of class owned by the directors and officers as a group.</w:t>
      </w:r>
    </w:p>
    <w:p>
      <w:pPr>
        <w:spacing w:after="0" w:line="3"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aggregate of 122,974 shares owned by Shelley Moorehead, Mr. Moorehead's spouse, and Mr. Moorehead's children, and an aggregate of 3,394 shares issuable upon conversion of convertible subordinated debentures owned by Mrs. Moorehead and Mr. Moorehead's children.</w:t>
      </w:r>
    </w:p>
    <w:p>
      <w:pPr>
        <w:spacing w:after="0" w:line="1"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5,176 shares owned by Tanya Drury, Mr. Drury's spouse.</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owned by Mr. Sutherland-Yoest's daughter.</w:t>
      </w:r>
    </w:p>
    <w:p>
      <w:pPr>
        <w:spacing w:after="0" w:line="4" w:lineRule="exact"/>
        <w:rPr>
          <w:rFonts w:ascii="Courier New" w:cs="Courier New" w:eastAsia="Courier New" w:hAnsi="Courier New"/>
          <w:sz w:val="15"/>
          <w:szCs w:val="15"/>
          <w:color w:val="auto"/>
        </w:rPr>
      </w:pPr>
    </w:p>
    <w:p>
      <w:pPr>
        <w:ind w:left="368" w:right="3379" w:hanging="368"/>
        <w:spacing w:after="0" w:line="243" w:lineRule="auto"/>
        <w:tabs>
          <w:tab w:leader="none" w:pos="36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754 shares issuable upon conversion of convertible subordinated debentures.</w:t>
      </w:r>
    </w:p>
    <w:p>
      <w:pPr>
        <w:spacing w:after="0" w:line="2" w:lineRule="exact"/>
        <w:rPr>
          <w:rFonts w:ascii="Courier New" w:cs="Courier New" w:eastAsia="Courier New" w:hAnsi="Courier New"/>
          <w:sz w:val="15"/>
          <w:szCs w:val="15"/>
          <w:color w:val="auto"/>
        </w:rPr>
      </w:pPr>
    </w:p>
    <w:p>
      <w:pPr>
        <w:ind w:left="368" w:right="3379" w:hanging="368"/>
        <w:spacing w:after="0" w:line="244" w:lineRule="auto"/>
        <w:tabs>
          <w:tab w:leader="none" w:pos="36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32,400 shares owned by Susan H. Ball, Mr. Ball's spouse, and an investment partnership for her children and 3,600 shares owned by Mr. Ball's stepdaughter.</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291"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Compensation Committee Report on Executive Compensation. The following is a report from the Compensation Committee of USA Waste describing the policies pursuant to which compensation was paid to executive officers of USA Waste during 1994.</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Compensation Policies Applicable to Executive Officers. It is USA Waste's mission to steadfastly raise USA Waste to a leading position in the solid waste management industry, with a strong focus on steadily improving earnings and increasing shareholder value. The Compensation Committee believes USA Waste's compensation policies should support USA Waste's mission. As outlined below, USA Waste's executive compensation programs are designed to enable USA Waste to attract, retain, and motivate the high caliber of executives required in order to achieve its objective.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this respect, USA Waste has entered into employment agreements with Messrs. Moorehead, Drury, Sutherland-Yoest, DeFrates, and Wilcox, pursuant to which each executive agreed to serve as a full-time employee of USA Waste for continuous terms of three to five years. A high level of individual and cooperative performance is encouraged for these and other senior executives who have contributed to the attainment of the goals of USA Waste by the granting of annual awards comprised of bonuses, salary adjustments, and the issuance of stock options under the 1993 Stock Incentive Plan ("Annual Awards").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granting of Annual Awards, the Compensation Committee considers the financial performance and growth of USA Waste, USA Waste's performance relative to others in its industry, as well as the long-term soundness and financial integrity of USA Waste. In reviewing USA Waste's financial performance, the Compensation Committee considers such items as return on equity, earnings per share improvements, results compared to competitors, business acquisitions and new markets entered, the assimilation of new acquisitions into USA Waste, and progress made in projects that will benefit USA Waste in the future. To date, such Annual Awards for USA Waste's senior executives have been granted on a discretionary basis.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1992, USA Waste commissioned a compensation plan study that remains under review and consideration by the Compensation Committee. The study's basic proposal encompasses the concept of an "Annual Award Pool" for senior executives based on a formula, the key ingredient of which adjusts net income for the implicit cost of equity capital to arrive at "economic net income." This is an approximation of the value added, by the senior management, relative to the risk inherent in the business. Although not a precise measure, it is believed this guideline correctly aligns the interests of USA Waste's shareholders and management. A percentage of the calculated economic net income would then be available for awards to senior executives. Although the granting of Annual Awards has been discretionary up to now, all previous grants would have been within the parameters of the compensation plan study had the proposals from such study been in effect.</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Compensation Policy Applicable to the Chief Executive Officer. The compensation policies applicable to Mr. Drury, Chief Executive Officer of USA Waste, are the same as noted for other executive officers. The Compensation Committee considers Mr. Drury's experience and knowledge of the solid waste management industry to be important to USA Waste's continued growth and prosperity. Mr. Drury became associated with USA Waste in May 1994 following the acquisition of Envirofil. At the time of his employment with USA Waste, Mr. Drury's annual base salary was set at $500,000 following negotiations between Mr. Moorehead, on behalf of the USA Waste Board of Directors, and Mr. Drury. No change in Mr. Drury's annual base salary was made in 1994. As part of his compensation package Mr. Drury was granted a warrant to purchase 850,000 shares of USA Waste Common Stock at $11.375 per share, the market price of USA Waste Common Stock at the time of his employment. Such warrant vests 25% a year commencing on June 1, 1995. Through his investment in Envirofil and previous investments in USA Waste, Mr. Drury has acquired a significant investment in USA Waste Common Stock. Although the Compensation Committee believes that Mr. Drury is compensated fairly, it recognizes that, in addition to his compensation, Mr. Drury has great incentive for the</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1"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61</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continued prosperity of USA Waste by reason of his substantial personal investment in USA Waste Common Stock and the warrant issued to Mr. Drury upon his employment with USA Waste.</w:t>
      </w:r>
    </w:p>
    <w:p>
      <w:pPr>
        <w:spacing w:after="0" w:line="175" w:lineRule="exact"/>
        <w:rPr>
          <w:sz w:val="20"/>
          <w:szCs w:val="20"/>
          <w:color w:val="auto"/>
        </w:rPr>
      </w:pPr>
    </w:p>
    <w:tbl>
      <w:tblPr>
        <w:tblLayout w:type="fixed"/>
        <w:tblInd w:w="4780" w:type="dxa"/>
        <w:tblCellMar>
          <w:top w:w="0" w:type="dxa"/>
          <w:left w:w="0" w:type="dxa"/>
          <w:bottom w:w="0" w:type="dxa"/>
          <w:right w:w="0" w:type="dxa"/>
        </w:tblCellMar>
      </w:tblPr>
      <w:tr>
        <w:trPr>
          <w:trHeight w:val="170"/>
        </w:trPr>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Compensation</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Committee</w:t>
            </w:r>
          </w:p>
        </w:tc>
      </w:tr>
      <w:tr>
        <w:trPr>
          <w:trHeight w:val="347"/>
        </w:trPr>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George L.</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Ball</w:t>
            </w:r>
          </w:p>
        </w:tc>
      </w:tr>
      <w:tr>
        <w:trPr>
          <w:trHeight w:val="173"/>
        </w:trPr>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Donald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F.</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w w:val="98"/>
              </w:rPr>
              <w:t>Moorehead, Jr.</w:t>
            </w:r>
          </w:p>
        </w:tc>
      </w:tr>
      <w:tr>
        <w:trPr>
          <w:trHeight w:val="173"/>
        </w:trPr>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Robert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Mosley</w:t>
            </w:r>
          </w:p>
        </w:tc>
      </w:tr>
    </w:tbl>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Performance Graph. The following performance graph compares the performance of USA Waste Common Stock to the New York Stock Exchange Composite Index and to the Smith Barney Shearson Solid Waste Index ("Peer Group Index") for the period of five years commencing December 31, 1989, and ending December 31, 1994. The graph assumes that $100 was invested on December 31, 1989, in USA Waste Common Stock and each index and that all dividends were reinvested.</w:t>
      </w:r>
    </w:p>
    <w:p>
      <w:pPr>
        <w:spacing w:after="0" w:line="17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COMPARISON OF FIVE-YEAR CUMULATIVE RETURN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MEASUREMENT PERIOD</w:t>
            </w:r>
          </w:p>
        </w:tc>
        <w:tc>
          <w:tcPr>
            <w:tcW w:w="1520" w:type="dxa"/>
            <w:vAlign w:val="bottom"/>
          </w:tcPr>
          <w:p>
            <w:pPr>
              <w:spacing w:after="0"/>
              <w:rPr>
                <w:sz w:val="14"/>
                <w:szCs w:val="14"/>
                <w:color w:val="auto"/>
              </w:rPr>
            </w:pP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SBS SOLID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NYSE</w:t>
            </w:r>
          </w:p>
        </w:tc>
      </w:tr>
      <w:tr>
        <w:trPr>
          <w:trHeight w:val="173"/>
        </w:trPr>
        <w:tc>
          <w:tcPr>
            <w:tcW w:w="2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(FISCAL YEAR COVERED)</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USA WASTE</w:t>
            </w:r>
          </w:p>
        </w:tc>
        <w:tc>
          <w:tcPr>
            <w:tcW w:w="1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WASTE INDEX</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COMPOSITE</w:t>
            </w:r>
          </w:p>
        </w:tc>
      </w:tr>
      <w:tr>
        <w:trPr>
          <w:trHeight w:val="173"/>
        </w:trPr>
        <w:tc>
          <w:tcPr>
            <w:tcW w:w="27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700" w:type="dxa"/>
            <w:vAlign w:val="bottom"/>
          </w:tcPr>
          <w:p>
            <w:pPr>
              <w:jc w:val="right"/>
              <w:ind w:right="2265"/>
              <w:spacing w:after="0"/>
              <w:rPr>
                <w:sz w:val="20"/>
                <w:szCs w:val="20"/>
                <w:color w:val="auto"/>
              </w:rPr>
            </w:pPr>
            <w:r>
              <w:rPr>
                <w:rFonts w:ascii="Courier New" w:cs="Courier New" w:eastAsia="Courier New" w:hAnsi="Courier New"/>
                <w:sz w:val="15"/>
                <w:szCs w:val="15"/>
                <w:color w:val="auto"/>
                <w:w w:val="94"/>
              </w:rPr>
              <w:t>1989</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2700" w:type="dxa"/>
            <w:vAlign w:val="bottom"/>
          </w:tcPr>
          <w:p>
            <w:pPr>
              <w:jc w:val="right"/>
              <w:ind w:right="2265"/>
              <w:spacing w:after="0"/>
              <w:rPr>
                <w:sz w:val="20"/>
                <w:szCs w:val="20"/>
                <w:color w:val="auto"/>
              </w:rPr>
            </w:pPr>
            <w:r>
              <w:rPr>
                <w:rFonts w:ascii="Courier New" w:cs="Courier New" w:eastAsia="Courier New" w:hAnsi="Courier New"/>
                <w:sz w:val="15"/>
                <w:szCs w:val="15"/>
                <w:color w:val="auto"/>
                <w:w w:val="94"/>
              </w:rPr>
              <w:t>1990</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260</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90</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w:t>
            </w:r>
          </w:p>
        </w:tc>
      </w:tr>
      <w:tr>
        <w:trPr>
          <w:trHeight w:val="173"/>
        </w:trPr>
        <w:tc>
          <w:tcPr>
            <w:tcW w:w="2700" w:type="dxa"/>
            <w:vAlign w:val="bottom"/>
          </w:tcPr>
          <w:p>
            <w:pPr>
              <w:jc w:val="right"/>
              <w:ind w:right="2265"/>
              <w:spacing w:after="0"/>
              <w:rPr>
                <w:sz w:val="20"/>
                <w:szCs w:val="20"/>
                <w:color w:val="auto"/>
              </w:rPr>
            </w:pPr>
            <w:r>
              <w:rPr>
                <w:rFonts w:ascii="Courier New" w:cs="Courier New" w:eastAsia="Courier New" w:hAnsi="Courier New"/>
                <w:sz w:val="15"/>
                <w:szCs w:val="15"/>
                <w:color w:val="auto"/>
                <w:w w:val="94"/>
              </w:rPr>
              <w:t>1991</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1007</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96</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w:t>
            </w:r>
          </w:p>
        </w:tc>
      </w:tr>
      <w:tr>
        <w:trPr>
          <w:trHeight w:val="173"/>
        </w:trPr>
        <w:tc>
          <w:tcPr>
            <w:tcW w:w="2700" w:type="dxa"/>
            <w:vAlign w:val="bottom"/>
          </w:tcPr>
          <w:p>
            <w:pPr>
              <w:jc w:val="right"/>
              <w:ind w:right="2265"/>
              <w:spacing w:after="0"/>
              <w:rPr>
                <w:sz w:val="20"/>
                <w:szCs w:val="20"/>
                <w:color w:val="auto"/>
              </w:rPr>
            </w:pPr>
            <w:r>
              <w:rPr>
                <w:rFonts w:ascii="Courier New" w:cs="Courier New" w:eastAsia="Courier New" w:hAnsi="Courier New"/>
                <w:sz w:val="15"/>
                <w:szCs w:val="15"/>
                <w:color w:val="auto"/>
                <w:w w:val="94"/>
              </w:rPr>
              <w:t>1992</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828</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88</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123</w:t>
            </w:r>
          </w:p>
        </w:tc>
      </w:tr>
      <w:tr>
        <w:trPr>
          <w:trHeight w:val="173"/>
        </w:trPr>
        <w:tc>
          <w:tcPr>
            <w:tcW w:w="2700" w:type="dxa"/>
            <w:vAlign w:val="bottom"/>
          </w:tcPr>
          <w:p>
            <w:pPr>
              <w:jc w:val="right"/>
              <w:ind w:right="2265"/>
              <w:spacing w:after="0"/>
              <w:rPr>
                <w:sz w:val="20"/>
                <w:szCs w:val="20"/>
                <w:color w:val="auto"/>
              </w:rPr>
            </w:pPr>
            <w:r>
              <w:rPr>
                <w:rFonts w:ascii="Courier New" w:cs="Courier New" w:eastAsia="Courier New" w:hAnsi="Courier New"/>
                <w:sz w:val="15"/>
                <w:szCs w:val="15"/>
                <w:color w:val="auto"/>
                <w:w w:val="94"/>
              </w:rPr>
              <w:t>1993</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628</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67</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w:t>
            </w:r>
          </w:p>
        </w:tc>
      </w:tr>
      <w:tr>
        <w:trPr>
          <w:trHeight w:val="173"/>
        </w:trPr>
        <w:tc>
          <w:tcPr>
            <w:tcW w:w="2700" w:type="dxa"/>
            <w:vAlign w:val="bottom"/>
          </w:tcPr>
          <w:p>
            <w:pPr>
              <w:jc w:val="right"/>
              <w:ind w:right="2265"/>
              <w:spacing w:after="0"/>
              <w:rPr>
                <w:sz w:val="20"/>
                <w:szCs w:val="20"/>
                <w:color w:val="auto"/>
              </w:rPr>
            </w:pPr>
            <w:r>
              <w:rPr>
                <w:rFonts w:ascii="Courier New" w:cs="Courier New" w:eastAsia="Courier New" w:hAnsi="Courier New"/>
                <w:sz w:val="15"/>
                <w:szCs w:val="15"/>
                <w:color w:val="auto"/>
                <w:w w:val="94"/>
              </w:rPr>
              <w:t>1994</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628</w:t>
            </w:r>
          </w:p>
        </w:tc>
        <w:tc>
          <w:tcPr>
            <w:tcW w:w="15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69</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w:t>
            </w:r>
          </w:p>
        </w:tc>
      </w:tr>
      <w:tr>
        <w:trPr>
          <w:trHeight w:val="520"/>
        </w:trPr>
        <w:tc>
          <w:tcPr>
            <w:tcW w:w="2700" w:type="dxa"/>
            <w:vAlign w:val="bottom"/>
          </w:tcPr>
          <w:p>
            <w:pPr>
              <w:spacing w:after="0"/>
              <w:rPr>
                <w:sz w:val="24"/>
                <w:szCs w:val="2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62</w:t>
      </w:r>
    </w:p>
    <w:p>
      <w:pPr>
        <w:spacing w:after="0" w:line="178" w:lineRule="exact"/>
        <w:rPr>
          <w:sz w:val="20"/>
          <w:szCs w:val="20"/>
          <w:color w:val="auto"/>
        </w:rPr>
      </w:pPr>
    </w:p>
    <w:p>
      <w:pPr>
        <w:ind w:left="8" w:right="440" w:firstLine="451"/>
        <w:spacing w:after="0" w:line="244" w:lineRule="auto"/>
        <w:rPr>
          <w:sz w:val="20"/>
          <w:szCs w:val="20"/>
          <w:color w:val="auto"/>
        </w:rPr>
      </w:pPr>
      <w:r>
        <w:rPr>
          <w:rFonts w:ascii="Courier New" w:cs="Courier New" w:eastAsia="Courier New" w:hAnsi="Courier New"/>
          <w:sz w:val="15"/>
          <w:szCs w:val="15"/>
          <w:color w:val="auto"/>
        </w:rPr>
        <w:t>Summary Compensation Table. The following table sets forth information with respect to persons serving as USA Waste's Chief Executive Officer during 1994 and the four most highly compensated executive officers other than the Chief Executive Officer whose total annual salary and bonus for 1994 exceeded $100,000 ("named executive officers").</w:t>
      </w:r>
    </w:p>
    <w:p>
      <w:pPr>
        <w:spacing w:after="0" w:line="176"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ANNUAL COMPENSATION</w:t>
            </w:r>
          </w:p>
        </w:tc>
        <w:tc>
          <w:tcPr>
            <w:tcW w:w="1160" w:type="dxa"/>
            <w:vAlign w:val="bottom"/>
          </w:tcPr>
          <w:p>
            <w:pPr>
              <w:spacing w:after="0"/>
              <w:rPr>
                <w:sz w:val="14"/>
                <w:szCs w:val="14"/>
                <w:color w:val="auto"/>
              </w:rPr>
            </w:pPr>
          </w:p>
        </w:tc>
      </w:tr>
      <w:tr>
        <w:trPr>
          <w:trHeight w:val="173"/>
        </w:trPr>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20" w:type="dxa"/>
            <w:vAlign w:val="bottom"/>
            <w:gridSpan w:val="5"/>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OTHER</w:t>
            </w:r>
          </w:p>
        </w:tc>
      </w:tr>
      <w:tr>
        <w:trPr>
          <w:trHeight w:val="173"/>
        </w:trPr>
        <w:tc>
          <w:tcPr>
            <w:tcW w:w="1800" w:type="dxa"/>
            <w:vAlign w:val="bottom"/>
          </w:tcPr>
          <w:p>
            <w:pPr>
              <w:ind w:left="980"/>
              <w:spacing w:after="0"/>
              <w:rPr>
                <w:sz w:val="20"/>
                <w:szCs w:val="20"/>
                <w:color w:val="auto"/>
              </w:rPr>
            </w:pPr>
            <w:r>
              <w:rPr>
                <w:rFonts w:ascii="Courier New" w:cs="Courier New" w:eastAsia="Courier New" w:hAnsi="Courier New"/>
                <w:sz w:val="15"/>
                <w:szCs w:val="15"/>
                <w:color w:val="auto"/>
              </w:rPr>
              <w:t>NAME AND</w:t>
            </w: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ANNUAL</w:t>
            </w:r>
          </w:p>
        </w:tc>
      </w:tr>
      <w:tr>
        <w:trPr>
          <w:trHeight w:val="173"/>
        </w:trPr>
        <w:tc>
          <w:tcPr>
            <w:tcW w:w="28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PRINCIPAL POSITION</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YEAR</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SALARY</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7"/>
              </w:rPr>
              <w:t>BONUS</w:t>
            </w:r>
          </w:p>
        </w:tc>
        <w:tc>
          <w:tcPr>
            <w:tcW w:w="16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COMPENSATION(1)</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w w:val="94"/>
              </w:rPr>
              <w:t>- -------------------------------</w:t>
            </w:r>
          </w:p>
        </w:tc>
        <w:tc>
          <w:tcPr>
            <w:tcW w:w="7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80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Chief Executive Officer(2)</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$290,217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Donald F. Moorehead, Jr.</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260,000</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110,000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of the Board and</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220,000</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100,000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Chief Development Officer(4)</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1992</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175,000</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75,000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David Sutherland-Yoest</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251,597</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125,000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106,154</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100,000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 Officer(5)</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Earl E. DeFrates</w:t>
            </w:r>
          </w:p>
        </w:tc>
        <w:tc>
          <w:tcPr>
            <w:tcW w:w="1040" w:type="dxa"/>
            <w:vAlign w:val="bottom"/>
          </w:tcPr>
          <w:p>
            <w:pPr>
              <w:spacing w:after="0"/>
              <w:rPr>
                <w:sz w:val="15"/>
                <w:szCs w:val="15"/>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155,000</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70,000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135,000</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72,500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Chief Financial Officer,</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1992</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120,000</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45,000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Secretary and Treasurer</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Hubert Bourque</w:t>
            </w:r>
          </w:p>
        </w:tc>
        <w:tc>
          <w:tcPr>
            <w:tcW w:w="1040" w:type="dxa"/>
            <w:vAlign w:val="bottom"/>
          </w:tcPr>
          <w:p>
            <w:pPr>
              <w:spacing w:after="0"/>
              <w:rPr>
                <w:sz w:val="15"/>
                <w:szCs w:val="15"/>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125,000</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50,000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Chief</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66,346</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35,000</w:t>
            </w: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Compliance Officer(7)</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Norman E. Shepard</w:t>
            </w:r>
          </w:p>
        </w:tc>
        <w:tc>
          <w:tcPr>
            <w:tcW w:w="1040" w:type="dxa"/>
            <w:vAlign w:val="bottom"/>
          </w:tcPr>
          <w:p>
            <w:pPr>
              <w:spacing w:after="0"/>
              <w:rPr>
                <w:sz w:val="15"/>
                <w:szCs w:val="15"/>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320,000(10)</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72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150,000</w:t>
            </w: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 Officer(9)</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pacing w:after="0" w:line="350" w:lineRule="exact"/>
        <w:rPr>
          <w:sz w:val="20"/>
          <w:szCs w:val="20"/>
          <w:color w:val="auto"/>
        </w:rPr>
      </w:pPr>
    </w:p>
    <w:p>
      <w:pPr>
        <w:ind w:left="188" w:hanging="188"/>
        <w:spacing w:after="0"/>
        <w:tabs>
          <w:tab w:leader="none" w:pos="18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rFonts w:ascii="Courier New" w:cs="Courier New" w:eastAsia="Courier New" w:hAnsi="Courier New"/>
          <w:sz w:val="15"/>
          <w:szCs w:val="15"/>
          <w:color w:val="auto"/>
        </w:rPr>
      </w:pPr>
    </w:p>
    <w:p>
      <w:pPr>
        <w:ind w:left="448" w:right="180" w:hanging="357"/>
        <w:spacing w:after="0" w:line="244" w:lineRule="auto"/>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other annual compensation not properly characterized as salary or bonus, and excludes the cost to USA Waste of perquisites and other personal benefits, securities or property the aggregate amount of which, with respect to any named individual, does not exceed 10% of their total annual salary and bonus.</w:t>
      </w:r>
    </w:p>
    <w:p>
      <w:pPr>
        <w:spacing w:after="0" w:line="2" w:lineRule="exact"/>
        <w:rPr>
          <w:rFonts w:ascii="Courier New" w:cs="Courier New" w:eastAsia="Courier New" w:hAnsi="Courier New"/>
          <w:sz w:val="15"/>
          <w:szCs w:val="15"/>
          <w:color w:val="auto"/>
        </w:rPr>
      </w:pPr>
    </w:p>
    <w:p>
      <w:pPr>
        <w:ind w:left="448" w:hanging="357"/>
        <w:spacing w:after="0"/>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Drury joined USA Waste on May 27, 1994.</w:t>
      </w:r>
    </w:p>
    <w:p>
      <w:pPr>
        <w:spacing w:after="0" w:line="4" w:lineRule="exact"/>
        <w:rPr>
          <w:rFonts w:ascii="Courier New" w:cs="Courier New" w:eastAsia="Courier New" w:hAnsi="Courier New"/>
          <w:sz w:val="15"/>
          <w:szCs w:val="15"/>
          <w:color w:val="auto"/>
        </w:rPr>
      </w:pPr>
    </w:p>
    <w:p>
      <w:pPr>
        <w:ind w:left="448" w:right="360" w:hanging="357"/>
        <w:spacing w:after="0" w:line="244" w:lineRule="auto"/>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Drury was granted a warrant to purchase 850,000 shares of USA Waste Common Stock at the time of the Envirofil acquisition to induce Mr. Drury to join USA Waste.</w:t>
      </w:r>
    </w:p>
    <w:p>
      <w:pPr>
        <w:spacing w:after="0" w:line="1" w:lineRule="exact"/>
        <w:rPr>
          <w:rFonts w:ascii="Courier New" w:cs="Courier New" w:eastAsia="Courier New" w:hAnsi="Courier New"/>
          <w:sz w:val="15"/>
          <w:szCs w:val="15"/>
          <w:color w:val="auto"/>
        </w:rPr>
      </w:pPr>
    </w:p>
    <w:p>
      <w:pPr>
        <w:ind w:left="448" w:hanging="357"/>
        <w:spacing w:after="0"/>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Moorehead was Chief Executive Officer until May 27, 1994.</w:t>
      </w:r>
    </w:p>
    <w:p>
      <w:pPr>
        <w:spacing w:after="0" w:line="4" w:lineRule="exact"/>
        <w:rPr>
          <w:rFonts w:ascii="Courier New" w:cs="Courier New" w:eastAsia="Courier New" w:hAnsi="Courier New"/>
          <w:sz w:val="15"/>
          <w:szCs w:val="15"/>
          <w:color w:val="auto"/>
        </w:rPr>
      </w:pPr>
    </w:p>
    <w:p>
      <w:pPr>
        <w:ind w:left="448" w:right="180" w:hanging="357"/>
        <w:spacing w:after="0" w:line="243" w:lineRule="auto"/>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Sutherland-Yoest joined USA Waste in May 1994. From January 1993 to May 1994, he was the President and Chief Executive Officer of Envirofil.</w:t>
      </w:r>
    </w:p>
    <w:p>
      <w:pPr>
        <w:spacing w:after="0" w:line="2" w:lineRule="exact"/>
        <w:rPr>
          <w:rFonts w:ascii="Courier New" w:cs="Courier New" w:eastAsia="Courier New" w:hAnsi="Courier New"/>
          <w:sz w:val="15"/>
          <w:szCs w:val="15"/>
          <w:color w:val="auto"/>
        </w:rPr>
      </w:pPr>
    </w:p>
    <w:p>
      <w:pPr>
        <w:ind w:left="448" w:right="180" w:hanging="357"/>
        <w:spacing w:after="0" w:line="244" w:lineRule="auto"/>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$85,048 to compensate Mr. Sutherland-Yoest for loss of salary under an agreement with his previous employer resulting from his employment with Envirofil, and $45,000, which represents a signing bonus received upon commencement of his employment.</w:t>
      </w:r>
    </w:p>
    <w:p>
      <w:pPr>
        <w:spacing w:after="0" w:line="2" w:lineRule="exact"/>
        <w:rPr>
          <w:rFonts w:ascii="Courier New" w:cs="Courier New" w:eastAsia="Courier New" w:hAnsi="Courier New"/>
          <w:sz w:val="15"/>
          <w:szCs w:val="15"/>
          <w:color w:val="auto"/>
        </w:rPr>
      </w:pPr>
    </w:p>
    <w:p>
      <w:pPr>
        <w:ind w:left="448" w:right="180" w:hanging="357"/>
        <w:spacing w:after="0" w:line="244" w:lineRule="auto"/>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Bourque joined USA Waste in May 1994. From January 1993 to May 1994, he was Senior Vice President -- Environmental Affairs and Chief Compliance Officer of Envirofil.</w:t>
      </w:r>
    </w:p>
    <w:p>
      <w:pPr>
        <w:spacing w:after="0" w:line="1" w:lineRule="exact"/>
        <w:rPr>
          <w:rFonts w:ascii="Courier New" w:cs="Courier New" w:eastAsia="Courier New" w:hAnsi="Courier New"/>
          <w:sz w:val="15"/>
          <w:szCs w:val="15"/>
          <w:color w:val="auto"/>
        </w:rPr>
      </w:pPr>
    </w:p>
    <w:p>
      <w:pPr>
        <w:ind w:left="448" w:right="540" w:hanging="357"/>
        <w:spacing w:after="0" w:line="244" w:lineRule="auto"/>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$23,730 to compensate Mr. Bourque for loss of salary with his previous employer and $20,000 which represents a signing bonus received upon commencement of his employment.</w:t>
      </w:r>
    </w:p>
    <w:p>
      <w:pPr>
        <w:spacing w:after="0" w:line="1" w:lineRule="exact"/>
        <w:rPr>
          <w:rFonts w:ascii="Courier New" w:cs="Courier New" w:eastAsia="Courier New" w:hAnsi="Courier New"/>
          <w:sz w:val="15"/>
          <w:szCs w:val="15"/>
          <w:color w:val="auto"/>
        </w:rPr>
      </w:pPr>
    </w:p>
    <w:p>
      <w:pPr>
        <w:ind w:left="448" w:right="540" w:hanging="357"/>
        <w:spacing w:after="0" w:line="243" w:lineRule="auto"/>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Shepard was President and Chief Operating Officer of USA Waste from August 1993 to May 27, 1994.</w:t>
      </w:r>
    </w:p>
    <w:p>
      <w:pPr>
        <w:spacing w:after="0" w:line="2" w:lineRule="exact"/>
        <w:rPr>
          <w:rFonts w:ascii="Courier New" w:cs="Courier New" w:eastAsia="Courier New" w:hAnsi="Courier New"/>
          <w:sz w:val="15"/>
          <w:szCs w:val="15"/>
          <w:color w:val="auto"/>
        </w:rPr>
      </w:pPr>
    </w:p>
    <w:p>
      <w:pPr>
        <w:ind w:left="448" w:right="1080" w:hanging="448"/>
        <w:spacing w:after="0" w:line="243" w:lineRule="auto"/>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Shepard entered into a termination agreement whereby upon his termination with USA Waste, he received $320,000.</w:t>
      </w:r>
    </w:p>
    <w:p>
      <w:pPr>
        <w:spacing w:after="0" w:line="2" w:lineRule="exact"/>
        <w:rPr>
          <w:rFonts w:ascii="Courier New" w:cs="Courier New" w:eastAsia="Courier New" w:hAnsi="Courier New"/>
          <w:sz w:val="15"/>
          <w:szCs w:val="15"/>
          <w:color w:val="auto"/>
        </w:rPr>
      </w:pPr>
    </w:p>
    <w:p>
      <w:pPr>
        <w:ind w:left="448" w:right="800" w:hanging="448"/>
        <w:spacing w:after="0" w:line="244" w:lineRule="auto"/>
        <w:tabs>
          <w:tab w:leader="none" w:pos="44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on July 1, 1994, under USA Waste's 1993 Stock Incentive Plan to replace an equivalent number of options previously granted to Mr. Shepard.</w:t>
      </w:r>
    </w:p>
    <w:p>
      <w:pPr>
        <w:spacing w:after="0" w:line="175" w:lineRule="exact"/>
        <w:rPr>
          <w:sz w:val="20"/>
          <w:szCs w:val="20"/>
          <w:color w:val="auto"/>
        </w:rPr>
      </w:pPr>
    </w:p>
    <w:p>
      <w:pPr>
        <w:ind w:left="8" w:right="180" w:firstLine="451"/>
        <w:spacing w:after="0" w:line="244" w:lineRule="auto"/>
        <w:rPr>
          <w:sz w:val="20"/>
          <w:szCs w:val="20"/>
          <w:color w:val="auto"/>
        </w:rPr>
      </w:pPr>
      <w:r>
        <w:rPr>
          <w:rFonts w:ascii="Courier New" w:cs="Courier New" w:eastAsia="Courier New" w:hAnsi="Courier New"/>
          <w:sz w:val="15"/>
          <w:szCs w:val="15"/>
          <w:color w:val="auto"/>
        </w:rPr>
        <w:t>Employment Agreements. Messrs. Drury and Moorehead are each parties to employment agreements with USA Waste, which have continuously renewing five-year terms until age 65 and which provide for the payment of minimum annual base salaries and for the participation by the employee in all USA Waste benefit plans and programs. Messrs. Sutherland-Yoest, Wilcox and Sangalis are parties to similar agreements with USA Waste, but which have continuously renewing three year terms. In addition, Mr. Drury's 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440" w:type="dxa"/>
            <w:vAlign w:val="bottom"/>
            <w:gridSpan w:val="3"/>
          </w:tcPr>
          <w:p>
            <w:pPr>
              <w:jc w:val="right"/>
              <w:ind w:right="845"/>
              <w:spacing w:after="0"/>
              <w:rPr>
                <w:sz w:val="20"/>
                <w:szCs w:val="20"/>
                <w:color w:val="auto"/>
              </w:rPr>
            </w:pPr>
            <w:r>
              <w:rPr>
                <w:rFonts w:ascii="Courier New" w:cs="Courier New" w:eastAsia="Courier New" w:hAnsi="Courier New"/>
                <w:sz w:val="15"/>
                <w:szCs w:val="15"/>
                <w:color w:val="auto"/>
              </w:rPr>
              <w:t>LONG-TERM</w:t>
            </w:r>
          </w:p>
        </w:tc>
      </w:tr>
      <w:tr>
        <w:trPr>
          <w:trHeight w:val="173"/>
        </w:trPr>
        <w:tc>
          <w:tcPr>
            <w:tcW w:w="2440" w:type="dxa"/>
            <w:vAlign w:val="bottom"/>
            <w:gridSpan w:val="3"/>
          </w:tcPr>
          <w:p>
            <w:pPr>
              <w:jc w:val="center"/>
              <w:ind w:right="205"/>
              <w:spacing w:after="0"/>
              <w:rPr>
                <w:sz w:val="20"/>
                <w:szCs w:val="20"/>
                <w:color w:val="auto"/>
              </w:rPr>
            </w:pPr>
            <w:r>
              <w:rPr>
                <w:rFonts w:ascii="Courier New" w:cs="Courier New" w:eastAsia="Courier New" w:hAnsi="Courier New"/>
                <w:sz w:val="15"/>
                <w:szCs w:val="15"/>
                <w:color w:val="auto"/>
                <w:w w:val="99"/>
              </w:rPr>
              <w:t>COMPENSATION</w:t>
            </w:r>
          </w:p>
        </w:tc>
      </w:tr>
      <w:tr>
        <w:trPr>
          <w:trHeight w:val="173"/>
        </w:trPr>
        <w:tc>
          <w:tcPr>
            <w:tcW w:w="1440" w:type="dxa"/>
            <w:vAlign w:val="bottom"/>
            <w:gridSpan w:val="2"/>
          </w:tcPr>
          <w:p>
            <w:pPr>
              <w:jc w:val="center"/>
              <w:ind w:left="625"/>
              <w:spacing w:after="0"/>
              <w:rPr>
                <w:sz w:val="20"/>
                <w:szCs w:val="20"/>
                <w:color w:val="auto"/>
              </w:rPr>
            </w:pPr>
            <w:r>
              <w:rPr>
                <w:rFonts w:ascii="Courier New" w:cs="Courier New" w:eastAsia="Courier New" w:hAnsi="Courier New"/>
                <w:sz w:val="15"/>
                <w:szCs w:val="15"/>
                <w:color w:val="auto"/>
                <w:w w:val="99"/>
              </w:rPr>
              <w:t>AWARDS</w:t>
            </w:r>
          </w:p>
        </w:tc>
        <w:tc>
          <w:tcPr>
            <w:tcW w:w="1000" w:type="dxa"/>
            <w:vAlign w:val="bottom"/>
          </w:tcPr>
          <w:p>
            <w:pPr>
              <w:spacing w:after="0"/>
              <w:rPr>
                <w:sz w:val="15"/>
                <w:szCs w:val="15"/>
                <w:color w:val="auto"/>
              </w:rPr>
            </w:pPr>
          </w:p>
        </w:tc>
      </w:tr>
      <w:tr>
        <w:trPr>
          <w:trHeight w:val="173"/>
        </w:trPr>
        <w:tc>
          <w:tcPr>
            <w:tcW w:w="244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STOCK</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32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ALL OTHER</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3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COMPENSATION</w:t>
            </w:r>
          </w:p>
        </w:tc>
      </w:tr>
      <w:tr>
        <w:trPr>
          <w:trHeight w:val="173"/>
        </w:trPr>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850,000(3)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25,000</w:t>
            </w:r>
          </w:p>
        </w:tc>
        <w:tc>
          <w:tcPr>
            <w:tcW w:w="32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25,000</w:t>
            </w:r>
          </w:p>
        </w:tc>
        <w:tc>
          <w:tcPr>
            <w:tcW w:w="32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576,652</w:t>
            </w: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130,048(6)</w:t>
            </w:r>
          </w:p>
        </w:tc>
      </w:tr>
      <w:tr>
        <w:trPr>
          <w:trHeight w:val="347"/>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25,000</w:t>
            </w:r>
          </w:p>
        </w:tc>
        <w:tc>
          <w:tcPr>
            <w:tcW w:w="320" w:type="dxa"/>
            <w:vAlign w:val="bottom"/>
          </w:tcPr>
          <w:p>
            <w:pPr>
              <w:spacing w:after="0"/>
              <w:rPr>
                <w:sz w:val="24"/>
                <w:szCs w:val="24"/>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25,000</w:t>
            </w:r>
          </w:p>
        </w:tc>
        <w:tc>
          <w:tcPr>
            <w:tcW w:w="32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15,000</w:t>
            </w:r>
          </w:p>
        </w:tc>
        <w:tc>
          <w:tcPr>
            <w:tcW w:w="3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43,370(8)</w:t>
            </w:r>
          </w:p>
        </w:tc>
      </w:tr>
      <w:tr>
        <w:trPr>
          <w:trHeight w:val="347"/>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95,000(11)</w:t>
            </w:r>
          </w:p>
        </w:tc>
        <w:tc>
          <w:tcPr>
            <w:tcW w:w="320" w:type="dxa"/>
            <w:vAlign w:val="bottom"/>
          </w:tcPr>
          <w:p>
            <w:pPr>
              <w:spacing w:after="0"/>
              <w:rPr>
                <w:sz w:val="24"/>
                <w:szCs w:val="24"/>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70,000</w:t>
            </w:r>
          </w:p>
        </w:tc>
        <w:tc>
          <w:tcPr>
            <w:tcW w:w="320" w:type="dxa"/>
            <w:vAlign w:val="bottom"/>
          </w:tcPr>
          <w:p>
            <w:pPr>
              <w:spacing w:after="0"/>
              <w:rPr>
                <w:sz w:val="15"/>
                <w:szCs w:val="15"/>
                <w:color w:val="auto"/>
              </w:rPr>
            </w:pPr>
          </w:p>
        </w:tc>
        <w:tc>
          <w:tcPr>
            <w:tcW w:w="10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w:t>
            </w:r>
          </w:p>
        </w:tc>
      </w:tr>
    </w:tbl>
    <w:p>
      <w:pPr>
        <w:spacing w:after="0" w:line="7458" w:lineRule="exact"/>
        <w:rPr>
          <w:sz w:val="20"/>
          <w:szCs w:val="20"/>
          <w:color w:val="auto"/>
        </w:rPr>
      </w:pPr>
    </w:p>
    <w:p>
      <w:pPr>
        <w:sectPr>
          <w:pgSz w:w="11900" w:h="16838" w:orient="portrait"/>
          <w:cols w:equalWidth="0" w:num="2">
            <w:col w:w="7388" w:space="280"/>
            <w:col w:w="2559"/>
          </w:cols>
          <w:pgMar w:left="232" w:top="291" w:right="1440" w:bottom="1440" w:gutter="0" w:footer="0" w:header="0"/>
        </w:sectPr>
      </w:pPr>
    </w:p>
    <w:p>
      <w:pPr>
        <w:ind w:left="3508"/>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7"/>
          </w:cols>
          <w:pgMar w:left="232" w:top="291"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63</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agreement provides that USA Waste will purchase his residence in Houston, Texas for $1,375,000, the fair market value of such residence at June 1, 1994.</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employment agreements include provisions governing compensation and severance benefits upon termination of employment with USA Waste and upon certain changes of control of USA Waste (which term specifically excludes the Merger). The agreements may be terminated by USA Waste other than for cause (as defined in the agreements) on the date five years (three years in the case of Messrs. Sutherland-Yoest, Wilcox, and Sangalis) after such notice is given. During that ensuing period, the employee would continue his employment on a part-time basis and be available to consult with USA Waste. Generally, the employee's compensation while on part-time status would be 75% of the average of the employee's compensation (including salary and bonus) for the two highest of the three years prior to the employee going on part-time status.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event of a change of control of USA Waste, the employee may elect to receive a lump sum payment equal to three times the employee's average annualized base compensation includable in gross income over the five taxable years preceding the tax year in which the change of control occurs if, following such change in control, USA Waste seeks to terminate such officers without cause or takes any action adverse to such officers without their consent with respect to, among other things, their duties, level of compensation, or benefits. The election by the employee to take the change of control payment would be in lieu of other benefits and rights under such employee's agreement except, generally, amounts payable under pension, insurance, and similar plans, reimbursement for legal and other advisory expenses and certain stock option and indemnification rights.</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Mr. DeFrates also currently has an employment agreement with USA Waste. Pursuant to the terms of his agreement, Mr. DeFrates has agreed to serve as a full-time employee of USA Waste for a period of three years (until September 26, 1997) with automatic three-year extensions thereafter unless the agreement is terminated by either party. The agreement provides for a minimum annual salary and for the participation by Mr. DeFrates in all USA Waste benefit programs. The employment agreement includes provisions governing termination and changes in control of USA Waste.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employment agreement entered into by Mr. DeFrates provides that if Mr. DeFrates voluntarily terminates his employment with USA Waste, USA Waste will pay him severance pay equal to 70% of his base salary in effect at termination for a period of three years. In addition, in the event there is a change in control of USA Waste after which USA Waste seeks to terminate him without cause or takes any action adverse to him without his consent with respect to, among other things, his duties, level of compensation, or benefits, USA Waste is required to pay Mr. DeFrates a lump sum equal to three times the sum of his base salary in effect at termination and the highest bonus he received in the three-year period prior to termination.</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Mr. Bourque also currently has an employment agreement with USA Waste. Pursuant to the terms of his agreement, Mr. Bourque has agreed to serve as a full-time employee of USA Waste for a period of two years (until June 1, 1996) with automatic one-year extensions thereafter unless the agreement is terminated by either party. The agreement provides for a minimum annual salary and for the participation by Mr. Bourque in all USA Waste benefit programs. If Mr. Bourque is terminated without cause, USA Waste is obligated to pay him a lump-sum payment equal to his base salary for the greater of the remaining term of his agreement or 12 months.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event that Messrs. Drury, Moorehead, Sutherland-Yoest, DeFrates, Wilcox, Sangalis, or Bourque were terminated without cause during 1995 (or if Mr. DeFrates elected to terminate his agreement), the annual compensation on part-time status or severance payment would be approximately $375,000, $258,750, $218,531, $122,500, $14,063, $0, and $125,000, respectively, subject to a cost-of-living adjustment. If a change in control were to occur in 1995 and Messrs. Drury, Moorehead, Sutherland-Yoest, DeFrates, Wilcox or Sangalis elected to take the change in control payment, they would receive approximately $870,651, $940,000, $874,127, $742,500, $56,250, and $0, respectively.</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current annual salaries of Messrs. Drury, Moorehead, Sutherland-Yoest, DeFrates, Wilcox, Sangalis, and Bourque are $500,000, $300,000, $300,000, $175,000, $225,000, $175,000, and $125,000, respectively.</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91" w:right="1440" w:bottom="1440" w:gutter="0" w:footer="0" w:header="0"/>
        </w:sectPr>
      </w:pPr>
    </w:p>
    <w:bookmarkStart w:id="64" w:name="page65"/>
    <w:bookmarkEnd w:id="64"/>
    <w:p>
      <w:pPr>
        <w:ind w:left="268"/>
        <w:spacing w:after="0"/>
        <w:rPr>
          <w:sz w:val="20"/>
          <w:szCs w:val="20"/>
          <w:color w:val="auto"/>
        </w:rPr>
      </w:pPr>
      <w:r>
        <w:rPr>
          <w:rFonts w:ascii="Courier New" w:cs="Courier New" w:eastAsia="Courier New" w:hAnsi="Courier New"/>
          <w:sz w:val="15"/>
          <w:szCs w:val="15"/>
          <w:color w:val="auto"/>
        </w:rPr>
        <w:t>64</w:t>
      </w:r>
    </w:p>
    <w:p>
      <w:pPr>
        <w:spacing w:after="0" w:line="178" w:lineRule="exact"/>
        <w:rPr>
          <w:sz w:val="20"/>
          <w:szCs w:val="20"/>
          <w:color w:val="auto"/>
        </w:rPr>
      </w:pPr>
    </w:p>
    <w:p>
      <w:pPr>
        <w:ind w:left="8" w:right="360" w:firstLine="451"/>
        <w:spacing w:after="0" w:line="244" w:lineRule="auto"/>
        <w:rPr>
          <w:sz w:val="20"/>
          <w:szCs w:val="20"/>
          <w:color w:val="auto"/>
        </w:rPr>
      </w:pPr>
      <w:r>
        <w:rPr>
          <w:rFonts w:ascii="Courier New" w:cs="Courier New" w:eastAsia="Courier New" w:hAnsi="Courier New"/>
          <w:sz w:val="15"/>
          <w:szCs w:val="15"/>
          <w:color w:val="auto"/>
        </w:rPr>
        <w:t>Upon consummation of the Merger, USA Waste will enter into an employment agreement with Alexander W. Rangos similar to the employment agreements with Messrs. Moorehead and Drury, and into consulting agreements with John W. Rangos, Sr. and John W. Rangos, Jr. See "The Merger and Related Transactions -- Conflicts of Interest."</w:t>
      </w:r>
    </w:p>
    <w:p>
      <w:pPr>
        <w:spacing w:after="0" w:line="177" w:lineRule="exact"/>
        <w:rPr>
          <w:sz w:val="20"/>
          <w:szCs w:val="20"/>
          <w:color w:val="auto"/>
        </w:rPr>
      </w:pPr>
    </w:p>
    <w:p>
      <w:pPr>
        <w:ind w:left="8" w:right="360" w:firstLine="451"/>
        <w:spacing w:after="0" w:line="244" w:lineRule="auto"/>
        <w:rPr>
          <w:sz w:val="20"/>
          <w:szCs w:val="20"/>
          <w:color w:val="auto"/>
        </w:rPr>
      </w:pPr>
      <w:r>
        <w:rPr>
          <w:rFonts w:ascii="Courier New" w:cs="Courier New" w:eastAsia="Courier New" w:hAnsi="Courier New"/>
          <w:sz w:val="15"/>
          <w:szCs w:val="15"/>
          <w:color w:val="auto"/>
        </w:rPr>
        <w:t>Stock Incentive Plans. At USA Waste's 1990 Annual Meeting of Shareholders, the shareholders approved USA Waste's 1990 Stock Option Plan (the "1990 Plan") pursuant to which stock options, incentive stock options, and stock appreciation rights to purchase up to 900,000 shares of USA Waste Common Stock could be granted to officers, directors, and key management employees of USA Waste and its subsidiaries. No stock appreciation rights were issued pursuant to the 1990 Plan. At USA Waste's 1993 Annual Meeting of Shareholders, the shareholders approved USA Waste's 1993 Stock Incentive Plan (the "1993 Plan") pursuant to which stock options, incentive stock options, reload options, alternate appreciation rights, limited rights, automatic stock awards, and stock bonus awards to purchase up to 1,000,000 shares of Common Stock may be granted to officers, directors, and key management employees of USA Waste and its subsidiaries. The 1993 Plan is administered by the Compensation Committee. In connection with the acquisition of Envirofil, USA Waste assumed all of the outstanding options under the Envirofil 1993 Stock Option Plan (the "Envirofil Plan"), which options were converted to options to purchase USA Waste Common Stock on the basis of .20 shares of USA Waste Common Stock for each share of Envirofil common stock at a price equal to five times the stated option price. No additional options have been granted under the Envirofil Plan.</w:t>
      </w:r>
    </w:p>
    <w:p>
      <w:pPr>
        <w:spacing w:after="0" w:line="185" w:lineRule="exact"/>
        <w:rPr>
          <w:sz w:val="20"/>
          <w:szCs w:val="20"/>
          <w:color w:val="auto"/>
        </w:rPr>
      </w:pPr>
    </w:p>
    <w:p>
      <w:pPr>
        <w:ind w:left="8" w:right="540" w:firstLine="451"/>
        <w:spacing w:after="0" w:line="270" w:lineRule="auto"/>
        <w:rPr>
          <w:sz w:val="20"/>
          <w:szCs w:val="20"/>
          <w:color w:val="auto"/>
        </w:rPr>
      </w:pPr>
      <w:r>
        <w:rPr>
          <w:rFonts w:ascii="Courier New" w:cs="Courier New" w:eastAsia="Courier New" w:hAnsi="Courier New"/>
          <w:sz w:val="14"/>
          <w:szCs w:val="14"/>
          <w:color w:val="auto"/>
        </w:rPr>
        <w:t>During 1994, options to purchase an aggregate of 324,000 shares of USA Waste Common Stock were granted at an average price of $12.28 per share. No options have been granted at less than fair market value on the date of grant.</w:t>
      </w:r>
    </w:p>
    <w:p>
      <w:pPr>
        <w:spacing w:after="0" w:line="158" w:lineRule="exact"/>
        <w:rPr>
          <w:sz w:val="20"/>
          <w:szCs w:val="20"/>
          <w:color w:val="auto"/>
        </w:rPr>
      </w:pPr>
    </w:p>
    <w:p>
      <w:pPr>
        <w:ind w:left="8" w:right="360" w:firstLine="451"/>
        <w:spacing w:after="0" w:line="244" w:lineRule="auto"/>
        <w:rPr>
          <w:sz w:val="20"/>
          <w:szCs w:val="20"/>
          <w:color w:val="auto"/>
        </w:rPr>
      </w:pPr>
      <w:r>
        <w:rPr>
          <w:rFonts w:ascii="Courier New" w:cs="Courier New" w:eastAsia="Courier New" w:hAnsi="Courier New"/>
          <w:sz w:val="15"/>
          <w:szCs w:val="15"/>
          <w:color w:val="auto"/>
        </w:rPr>
        <w:t>As of December 31, 1994, options to purchase a total of 1,504,628 shares have been granted under the 1990 and 1993 Plans and the Envirofil Plan at exercise prices ranging from $2.50 to $19.39 per share, with a weighted average exercise price per share of $13.35. Of the options outstanding at December 31, 1994, 605,382 are held by current executive officers and directors and 183,676 are currently exercisable, with the remaining outstanding options exercisable in various annual increments over the next five years.</w:t>
      </w:r>
    </w:p>
    <w:p>
      <w:pPr>
        <w:spacing w:after="0" w:line="178" w:lineRule="exact"/>
        <w:rPr>
          <w:sz w:val="20"/>
          <w:szCs w:val="20"/>
          <w:color w:val="auto"/>
        </w:rPr>
      </w:pPr>
    </w:p>
    <w:p>
      <w:pPr>
        <w:ind w:left="8" w:right="620" w:firstLine="451"/>
        <w:spacing w:after="0" w:line="244" w:lineRule="auto"/>
        <w:rPr>
          <w:sz w:val="20"/>
          <w:szCs w:val="20"/>
          <w:color w:val="auto"/>
        </w:rPr>
      </w:pPr>
      <w:r>
        <w:rPr>
          <w:rFonts w:ascii="Courier New" w:cs="Courier New" w:eastAsia="Courier New" w:hAnsi="Courier New"/>
          <w:sz w:val="15"/>
          <w:szCs w:val="15"/>
          <w:color w:val="auto"/>
        </w:rPr>
        <w:t>Under the 1993 Plan, directors of USA Waste who are not officers or employees of USA Waste automatically are granted on January 1 of each year in which they are a director a stock bonus equal to the number of shares of USA Waste Common Stock determined by dividing $5,000 by the closing price for USA Waste Common Stock on December 31 of the previous year.</w:t>
      </w:r>
    </w:p>
    <w:p>
      <w:pPr>
        <w:spacing w:after="0" w:line="177" w:lineRule="exact"/>
        <w:rPr>
          <w:sz w:val="20"/>
          <w:szCs w:val="20"/>
          <w:color w:val="auto"/>
        </w:rPr>
      </w:pPr>
    </w:p>
    <w:p>
      <w:pPr>
        <w:ind w:left="8" w:right="620" w:firstLine="451"/>
        <w:spacing w:after="0" w:line="243" w:lineRule="auto"/>
        <w:rPr>
          <w:sz w:val="20"/>
          <w:szCs w:val="20"/>
          <w:color w:val="auto"/>
        </w:rPr>
      </w:pPr>
      <w:r>
        <w:rPr>
          <w:rFonts w:ascii="Courier New" w:cs="Courier New" w:eastAsia="Courier New" w:hAnsi="Courier New"/>
          <w:sz w:val="15"/>
          <w:szCs w:val="15"/>
          <w:color w:val="auto"/>
        </w:rPr>
        <w:t>The following table sets forth information concerning the grant of stock options during 1994 to the named executive officers:</w:t>
      </w:r>
    </w:p>
    <w:p>
      <w:pPr>
        <w:spacing w:after="0" w:line="175"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8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INDIVIDUAL GRANTS</w:t>
            </w:r>
          </w:p>
        </w:tc>
        <w:tc>
          <w:tcPr>
            <w:tcW w:w="1220" w:type="dxa"/>
            <w:vAlign w:val="bottom"/>
          </w:tcPr>
          <w:p>
            <w:pPr>
              <w:spacing w:after="0"/>
              <w:rPr>
                <w:sz w:val="14"/>
                <w:szCs w:val="14"/>
                <w:color w:val="auto"/>
              </w:rPr>
            </w:pPr>
          </w:p>
        </w:tc>
      </w:tr>
      <w:tr>
        <w:trPr>
          <w:trHeight w:val="173"/>
        </w:trPr>
        <w:tc>
          <w:tcPr>
            <w:tcW w:w="2240" w:type="dxa"/>
            <w:vAlign w:val="bottom"/>
          </w:tcPr>
          <w:p>
            <w:pPr>
              <w:spacing w:after="0"/>
              <w:rPr>
                <w:sz w:val="15"/>
                <w:szCs w:val="15"/>
                <w:color w:val="auto"/>
              </w:rPr>
            </w:pPr>
          </w:p>
        </w:tc>
        <w:tc>
          <w:tcPr>
            <w:tcW w:w="532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PERCENTAGE</w:t>
            </w: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3"/>
        </w:trPr>
        <w:tc>
          <w:tcPr>
            <w:tcW w:w="2240" w:type="dxa"/>
            <w:vAlign w:val="bottom"/>
          </w:tcPr>
          <w:p>
            <w:pPr>
              <w:spacing w:after="0"/>
              <w:rPr>
                <w:sz w:val="15"/>
                <w:szCs w:val="15"/>
                <w:color w:val="auto"/>
              </w:rPr>
            </w:pP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OF TOTAL</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2240" w:type="dxa"/>
            <w:vAlign w:val="bottom"/>
          </w:tcPr>
          <w:p>
            <w:pPr>
              <w:spacing w:after="0"/>
              <w:rPr>
                <w:sz w:val="15"/>
                <w:szCs w:val="15"/>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rPr>
              <w:t>OPTIONS</w:t>
            </w: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2240" w:type="dxa"/>
            <w:vAlign w:val="bottom"/>
          </w:tcPr>
          <w:p>
            <w:pPr>
              <w:spacing w:after="0"/>
              <w:rPr>
                <w:sz w:val="15"/>
                <w:szCs w:val="15"/>
                <w:color w:val="auto"/>
              </w:rPr>
            </w:pPr>
          </w:p>
        </w:tc>
        <w:tc>
          <w:tcPr>
            <w:tcW w:w="132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7"/>
              </w:rPr>
              <w:t>UNDERLYING</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GRANTED TO</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5"/>
                <w:szCs w:val="15"/>
                <w:color w:val="auto"/>
              </w:rPr>
            </w:pPr>
          </w:p>
        </w:tc>
      </w:tr>
      <w:tr>
        <w:trPr>
          <w:trHeight w:val="173"/>
        </w:trPr>
        <w:tc>
          <w:tcPr>
            <w:tcW w:w="2240" w:type="dxa"/>
            <w:vAlign w:val="bottom"/>
          </w:tcPr>
          <w:p>
            <w:pPr>
              <w:spacing w:after="0"/>
              <w:rPr>
                <w:sz w:val="15"/>
                <w:szCs w:val="15"/>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EMPLOYEES IN</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PRICE</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EXPIRATION</w:t>
            </w:r>
          </w:p>
        </w:tc>
      </w:tr>
      <w:tr>
        <w:trPr>
          <w:trHeight w:val="173"/>
        </w:trPr>
        <w:tc>
          <w:tcPr>
            <w:tcW w:w="224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FISCAL 1994</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(PER SHARE)</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DATE</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850,000(1)</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$11.38</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5/31/2002</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Donald F. Moorehead,</w:t>
            </w: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Jr...................</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25,000(2)</w:t>
            </w:r>
          </w:p>
        </w:tc>
        <w:tc>
          <w:tcPr>
            <w:tcW w:w="14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12.52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1/03/2004</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David</w:t>
            </w: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Sutherland-Yoest.....</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Earl E. DeFrates.......</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25,000(2)</w:t>
            </w:r>
          </w:p>
        </w:tc>
        <w:tc>
          <w:tcPr>
            <w:tcW w:w="14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11.38</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1/03/2004</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Hubert Bourque.........</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2240" w:type="dxa"/>
            <w:vAlign w:val="bottom"/>
          </w:tcPr>
          <w:p>
            <w:pPr>
              <w:spacing w:after="0"/>
              <w:rPr>
                <w:sz w:val="20"/>
                <w:szCs w:val="20"/>
                <w:color w:val="auto"/>
              </w:rPr>
            </w:pPr>
            <w:r>
              <w:rPr>
                <w:rFonts w:ascii="Courier New" w:cs="Courier New" w:eastAsia="Courier New" w:hAnsi="Courier New"/>
                <w:sz w:val="15"/>
                <w:szCs w:val="15"/>
                <w:color w:val="auto"/>
              </w:rPr>
              <w:t>Norman E. Shepard......</w:t>
            </w:r>
          </w:p>
        </w:tc>
        <w:tc>
          <w:tcPr>
            <w:tcW w:w="13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95,000(3)</w:t>
            </w:r>
          </w:p>
        </w:tc>
        <w:tc>
          <w:tcPr>
            <w:tcW w:w="14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8.3</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11.25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7/01/2004</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448" w:right="540" w:hanging="448"/>
        <w:spacing w:after="0" w:line="244" w:lineRule="auto"/>
        <w:tabs>
          <w:tab w:leader="none" w:pos="35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granted on June 1, 1994, in connection with Mr. Drury's employment as Chief Executive Officer. Such warrant becomes exercisable as to 25% of the shares covered thereby on each anniversary.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60" w:right="180"/>
        <w:spacing w:after="0" w:line="262" w:lineRule="auto"/>
        <w:rPr>
          <w:sz w:val="20"/>
          <w:szCs w:val="20"/>
          <w:color w:val="auto"/>
        </w:rPr>
      </w:pPr>
      <w:r>
        <w:rPr>
          <w:rFonts w:ascii="Courier New" w:cs="Courier New" w:eastAsia="Courier New" w:hAnsi="Courier New"/>
          <w:sz w:val="14"/>
          <w:szCs w:val="14"/>
          <w:color w:val="auto"/>
        </w:rPr>
        <w:t>POTENTIAL REALIZABLE VALUE AT ASSUMED ANNUAL RATE OF STOCK PRICE APPRECIATION FOR OPTION TERM (4)</w:t>
      </w: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2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w:t>
            </w:r>
          </w:p>
        </w:tc>
      </w:tr>
      <w:tr>
        <w:trPr>
          <w:trHeight w:val="173"/>
        </w:trPr>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$4,616,397</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$11,057,074</w:t>
            </w:r>
          </w:p>
        </w:tc>
      </w:tr>
      <w:tr>
        <w:trPr>
          <w:trHeight w:val="347"/>
        </w:trPr>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150,217</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424,596</w:t>
            </w:r>
          </w:p>
        </w:tc>
      </w:tr>
      <w:tr>
        <w:trPr>
          <w:trHeight w:val="347"/>
        </w:trPr>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178,842</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453,221</w:t>
            </w:r>
          </w:p>
        </w:tc>
      </w:tr>
      <w:tr>
        <w:trPr>
          <w:trHeight w:val="173"/>
        </w:trPr>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672,131</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1,703,312</w:t>
            </w:r>
          </w:p>
        </w:tc>
      </w:tr>
    </w:tbl>
    <w:p>
      <w:pPr>
        <w:spacing w:after="0" w:line="1564" w:lineRule="exact"/>
        <w:rPr>
          <w:sz w:val="20"/>
          <w:szCs w:val="20"/>
          <w:color w:val="auto"/>
        </w:rPr>
      </w:pPr>
    </w:p>
    <w:p>
      <w:pPr>
        <w:sectPr>
          <w:pgSz w:w="11900" w:h="16838" w:orient="portrait"/>
          <w:cols w:equalWidth="0" w:num="2">
            <w:col w:w="7568" w:space="280"/>
            <w:col w:w="2700"/>
          </w:cols>
          <w:pgMar w:left="232" w:top="291" w:right="1119" w:bottom="1440" w:gutter="0" w:footer="0" w:header="0"/>
        </w:sectPr>
      </w:pPr>
    </w:p>
    <w:p>
      <w:pPr>
        <w:ind w:left="350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548"/>
          </w:cols>
          <w:pgMar w:left="232" w:top="291" w:right="1119" w:bottom="1440" w:gutter="0" w:footer="0" w:header="0"/>
          <w:type w:val="continuous"/>
        </w:sectPr>
      </w:pPr>
    </w:p>
    <w:bookmarkStart w:id="65" w:name="page66"/>
    <w:bookmarkEnd w:id="65"/>
    <w:p>
      <w:pPr>
        <w:ind w:left="268"/>
        <w:spacing w:after="0"/>
        <w:rPr>
          <w:sz w:val="20"/>
          <w:szCs w:val="20"/>
          <w:color w:val="auto"/>
        </w:rPr>
      </w:pPr>
      <w:r>
        <w:rPr>
          <w:rFonts w:ascii="Courier New" w:cs="Courier New" w:eastAsia="Courier New" w:hAnsi="Courier New"/>
          <w:sz w:val="15"/>
          <w:szCs w:val="15"/>
          <w:color w:val="auto"/>
        </w:rPr>
        <w:t>65</w:t>
      </w:r>
    </w:p>
    <w:p>
      <w:pPr>
        <w:spacing w:after="0" w:line="178" w:lineRule="exact"/>
        <w:rPr>
          <w:sz w:val="20"/>
          <w:szCs w:val="20"/>
          <w:color w:val="auto"/>
        </w:rPr>
      </w:pPr>
    </w:p>
    <w:p>
      <w:pPr>
        <w:ind w:left="448" w:right="3800" w:hanging="448"/>
        <w:spacing w:after="0" w:line="244" w:lineRule="auto"/>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on January 3, 1994, under USA Waste's 1993 Stock Incentive Plan. Twenty percent of each option became exercisable on January 3, 1995, and, subject to acceleration provisions, an additional 20% becomes exercisable each year thereafter.</w:t>
      </w:r>
    </w:p>
    <w:p>
      <w:pPr>
        <w:spacing w:after="0" w:line="2" w:lineRule="exact"/>
        <w:rPr>
          <w:rFonts w:ascii="Courier New" w:cs="Courier New" w:eastAsia="Courier New" w:hAnsi="Courier New"/>
          <w:sz w:val="15"/>
          <w:szCs w:val="15"/>
          <w:color w:val="auto"/>
        </w:rPr>
      </w:pPr>
    </w:p>
    <w:p>
      <w:pPr>
        <w:ind w:left="448" w:right="4420" w:hanging="448"/>
        <w:spacing w:after="0" w:line="244" w:lineRule="auto"/>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on July 1, 1994, under USA Waste's 1993 Stock Incentive Plan to replace an equivalent number of options previously granted to Mr. Shepard. Such options were fully vested upon grant.</w:t>
      </w:r>
    </w:p>
    <w:p>
      <w:pPr>
        <w:spacing w:after="0" w:line="1" w:lineRule="exact"/>
        <w:rPr>
          <w:rFonts w:ascii="Courier New" w:cs="Courier New" w:eastAsia="Courier New" w:hAnsi="Courier New"/>
          <w:sz w:val="15"/>
          <w:szCs w:val="15"/>
          <w:color w:val="auto"/>
        </w:rPr>
      </w:pPr>
    </w:p>
    <w:p>
      <w:pPr>
        <w:ind w:left="448" w:right="3880" w:hanging="448"/>
        <w:spacing w:after="0" w:line="244" w:lineRule="auto"/>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realizable value of each grant of options assuming that the market price of the underlying security appreciates in value from the date of grant to the end of the option term at the rates of 5% and 10% compounded annually.</w:t>
      </w:r>
    </w:p>
    <w:p>
      <w:pPr>
        <w:spacing w:after="0" w:line="176" w:lineRule="exact"/>
        <w:rPr>
          <w:sz w:val="20"/>
          <w:szCs w:val="20"/>
          <w:color w:val="auto"/>
        </w:rPr>
      </w:pPr>
    </w:p>
    <w:p>
      <w:pPr>
        <w:ind w:left="8" w:right="3800" w:firstLine="451"/>
        <w:spacing w:after="0" w:line="243" w:lineRule="auto"/>
        <w:rPr>
          <w:sz w:val="20"/>
          <w:szCs w:val="20"/>
          <w:color w:val="auto"/>
        </w:rPr>
      </w:pPr>
      <w:r>
        <w:rPr>
          <w:rFonts w:ascii="Courier New" w:cs="Courier New" w:eastAsia="Courier New" w:hAnsi="Courier New"/>
          <w:sz w:val="15"/>
          <w:szCs w:val="15"/>
          <w:color w:val="auto"/>
        </w:rPr>
        <w:t>The following table sets forth information concerning the exercise of stock options during 1994 by USA Waste's named executive officers:</w:t>
      </w:r>
    </w:p>
    <w:p>
      <w:pPr>
        <w:spacing w:after="0" w:line="175"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OPTION EXERCISES AND YEAR-END VALUE TABLE</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NUMBER OF</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8"/>
              </w:rPr>
              <w:t>UNEXERCISED</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VALUE OF</w:t>
            </w:r>
          </w:p>
        </w:tc>
        <w:tc>
          <w:tcPr>
            <w:tcW w:w="15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UNEXERCISED</w:t>
            </w:r>
          </w:p>
        </w:tc>
      </w:tr>
      <w:tr>
        <w:trPr>
          <w:trHeight w:val="173"/>
        </w:trPr>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gridSpan w:val="2"/>
          </w:tcPr>
          <w:p>
            <w:pPr>
              <w:jc w:val="right"/>
              <w:ind w:right="965"/>
              <w:spacing w:after="0"/>
              <w:rPr>
                <w:sz w:val="20"/>
                <w:szCs w:val="20"/>
                <w:color w:val="auto"/>
              </w:rPr>
            </w:pPr>
            <w:r>
              <w:rPr>
                <w:rFonts w:ascii="Courier New" w:cs="Courier New" w:eastAsia="Courier New" w:hAnsi="Courier New"/>
                <w:sz w:val="15"/>
                <w:szCs w:val="15"/>
                <w:color w:val="auto"/>
              </w:rPr>
              <w:t>OPTIONS AT</w:t>
            </w:r>
          </w:p>
        </w:tc>
        <w:tc>
          <w:tcPr>
            <w:tcW w:w="180" w:type="dxa"/>
            <w:vAlign w:val="bottom"/>
          </w:tcPr>
          <w:p>
            <w:pPr>
              <w:spacing w:after="0"/>
              <w:rPr>
                <w:sz w:val="15"/>
                <w:szCs w:val="15"/>
                <w:color w:val="auto"/>
              </w:rPr>
            </w:pPr>
          </w:p>
        </w:tc>
        <w:tc>
          <w:tcPr>
            <w:tcW w:w="2480" w:type="dxa"/>
            <w:vAlign w:val="bottom"/>
            <w:gridSpan w:val="3"/>
          </w:tcPr>
          <w:p>
            <w:pPr>
              <w:jc w:val="center"/>
              <w:ind w:right="345"/>
              <w:spacing w:after="0"/>
              <w:rPr>
                <w:sz w:val="20"/>
                <w:szCs w:val="20"/>
                <w:color w:val="auto"/>
              </w:rPr>
            </w:pPr>
            <w:r>
              <w:rPr>
                <w:rFonts w:ascii="Courier New" w:cs="Courier New" w:eastAsia="Courier New" w:hAnsi="Courier New"/>
                <w:sz w:val="15"/>
                <w:szCs w:val="15"/>
                <w:color w:val="auto"/>
              </w:rPr>
              <w:t>IN-THE-MONEY</w:t>
            </w:r>
          </w:p>
        </w:tc>
      </w:tr>
      <w:tr>
        <w:trPr>
          <w:trHeight w:val="173"/>
        </w:trPr>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DECEMBER 31, 1994</w:t>
            </w:r>
          </w:p>
        </w:tc>
        <w:tc>
          <w:tcPr>
            <w:tcW w:w="180" w:type="dxa"/>
            <w:vAlign w:val="bottom"/>
          </w:tcPr>
          <w:p>
            <w:pPr>
              <w:spacing w:after="0"/>
              <w:rPr>
                <w:sz w:val="15"/>
                <w:szCs w:val="15"/>
                <w:color w:val="auto"/>
              </w:rPr>
            </w:pPr>
          </w:p>
        </w:tc>
        <w:tc>
          <w:tcPr>
            <w:tcW w:w="1480" w:type="dxa"/>
            <w:vAlign w:val="bottom"/>
            <w:gridSpan w:val="2"/>
          </w:tcPr>
          <w:p>
            <w:pPr>
              <w:jc w:val="center"/>
              <w:ind w:left="505"/>
              <w:spacing w:after="0"/>
              <w:rPr>
                <w:sz w:val="20"/>
                <w:szCs w:val="20"/>
                <w:color w:val="auto"/>
              </w:rPr>
            </w:pPr>
            <w:r>
              <w:rPr>
                <w:rFonts w:ascii="Courier New" w:cs="Courier New" w:eastAsia="Courier New" w:hAnsi="Courier New"/>
                <w:sz w:val="15"/>
                <w:szCs w:val="15"/>
                <w:color w:val="auto"/>
                <w:w w:val="99"/>
              </w:rPr>
              <w:t>OPTIONS AT</w:t>
            </w:r>
          </w:p>
        </w:tc>
        <w:tc>
          <w:tcPr>
            <w:tcW w:w="1000" w:type="dxa"/>
            <w:vAlign w:val="bottom"/>
          </w:tcPr>
          <w:p>
            <w:pPr>
              <w:spacing w:after="0"/>
              <w:rPr>
                <w:sz w:val="15"/>
                <w:szCs w:val="15"/>
                <w:color w:val="auto"/>
              </w:rPr>
            </w:pPr>
          </w:p>
        </w:tc>
      </w:tr>
      <w:tr>
        <w:trPr>
          <w:trHeight w:val="173"/>
        </w:trPr>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gridSpan w:val="2"/>
          </w:tcPr>
          <w:p>
            <w:pPr>
              <w:jc w:val="right"/>
              <w:ind w:right="1065"/>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15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31, 1994(1)</w:t>
            </w:r>
          </w:p>
        </w:tc>
      </w:tr>
      <w:tr>
        <w:trPr>
          <w:trHeight w:val="173"/>
        </w:trPr>
        <w:tc>
          <w:tcPr>
            <w:tcW w:w="3060" w:type="dxa"/>
            <w:vAlign w:val="bottom"/>
          </w:tcPr>
          <w:p>
            <w:pPr>
              <w:spacing w:after="0"/>
              <w:rPr>
                <w:sz w:val="15"/>
                <w:szCs w:val="15"/>
                <w:color w:val="auto"/>
              </w:rPr>
            </w:pPr>
          </w:p>
        </w:tc>
        <w:tc>
          <w:tcPr>
            <w:tcW w:w="1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SHARES ACQUIRED</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VALUE</w:t>
            </w:r>
          </w:p>
        </w:tc>
        <w:tc>
          <w:tcPr>
            <w:tcW w:w="27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26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ind w:left="1260"/>
              <w:spacing w:after="0"/>
              <w:rPr>
                <w:sz w:val="20"/>
                <w:szCs w:val="20"/>
                <w:color w:val="auto"/>
              </w:rPr>
            </w:pPr>
            <w:r>
              <w:rPr>
                <w:rFonts w:ascii="Courier New" w:cs="Courier New" w:eastAsia="Courier New" w:hAnsi="Courier New"/>
                <w:sz w:val="15"/>
                <w:szCs w:val="15"/>
                <w:color w:val="auto"/>
              </w:rPr>
              <w:t>NAME</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ON EXERCISE</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REALIZED</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7"/>
              </w:rPr>
              <w:t>UNEXERCISABLE</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EXERCISABLE</w:t>
            </w:r>
          </w:p>
        </w:tc>
        <w:tc>
          <w:tcPr>
            <w:tcW w:w="15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UNEXERCISABLE</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15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850,000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Donald F. Moorehead, Jr.........</w:t>
            </w:r>
          </w:p>
        </w:tc>
        <w:tc>
          <w:tcPr>
            <w:tcW w:w="15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38,000</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67,000</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49,875</w:t>
            </w:r>
          </w:p>
        </w:tc>
        <w:tc>
          <w:tcPr>
            <w:tcW w:w="58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33,250</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David Sutherland-Yoest..........</w:t>
            </w:r>
          </w:p>
        </w:tc>
        <w:tc>
          <w:tcPr>
            <w:tcW w:w="15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346,057</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230,705</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2,919,858</w:t>
            </w:r>
          </w:p>
        </w:tc>
        <w:tc>
          <w:tcPr>
            <w:tcW w:w="58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Earl E. DeFrates................</w:t>
            </w:r>
          </w:p>
        </w:tc>
        <w:tc>
          <w:tcPr>
            <w:tcW w:w="15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71,000</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69,000</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241,125</w:t>
            </w:r>
          </w:p>
        </w:tc>
        <w:tc>
          <w:tcPr>
            <w:tcW w:w="58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33,250</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Hubert Bourque..................</w:t>
            </w:r>
          </w:p>
        </w:tc>
        <w:tc>
          <w:tcPr>
            <w:tcW w:w="15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3,000</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12,000</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Norman E. Shepard...............</w:t>
            </w:r>
          </w:p>
        </w:tc>
        <w:tc>
          <w:tcPr>
            <w:tcW w:w="158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95,000</w:t>
            </w:r>
          </w:p>
        </w:tc>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11,875</w:t>
            </w:r>
          </w:p>
        </w:tc>
        <w:tc>
          <w:tcPr>
            <w:tcW w:w="58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448" w:right="3800" w:hanging="448"/>
        <w:spacing w:after="0" w:line="243" w:lineRule="auto"/>
        <w:tabs>
          <w:tab w:leader="none" w:pos="35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based upon the difference between aggregate fair market value based on NYSE closing price less the aggregate exercise price.</w:t>
      </w:r>
    </w:p>
    <w:p>
      <w:pPr>
        <w:spacing w:after="0" w:line="176" w:lineRule="exact"/>
        <w:rPr>
          <w:sz w:val="20"/>
          <w:szCs w:val="20"/>
          <w:color w:val="auto"/>
        </w:rPr>
      </w:pPr>
    </w:p>
    <w:p>
      <w:pPr>
        <w:ind w:left="8" w:right="4240"/>
        <w:spacing w:after="0" w:line="243" w:lineRule="auto"/>
        <w:rPr>
          <w:sz w:val="20"/>
          <w:szCs w:val="20"/>
          <w:color w:val="auto"/>
        </w:rPr>
      </w:pPr>
      <w:r>
        <w:rPr>
          <w:rFonts w:ascii="Courier New" w:cs="Courier New" w:eastAsia="Courier New" w:hAnsi="Courier New"/>
          <w:sz w:val="15"/>
          <w:szCs w:val="15"/>
          <w:color w:val="auto"/>
        </w:rPr>
        <w:t>COMPENSATION COMMITTEE INTERLOCKS AND INSIDER PARTICIPATION IN COMPENSATION DECISIONS</w:t>
      </w:r>
    </w:p>
    <w:p>
      <w:pPr>
        <w:spacing w:after="0" w:line="176" w:lineRule="exact"/>
        <w:rPr>
          <w:sz w:val="20"/>
          <w:szCs w:val="20"/>
          <w:color w:val="auto"/>
        </w:rPr>
      </w:pPr>
    </w:p>
    <w:p>
      <w:pPr>
        <w:ind w:left="8" w:right="3800" w:firstLine="451"/>
        <w:spacing w:after="0" w:line="244" w:lineRule="auto"/>
        <w:rPr>
          <w:sz w:val="20"/>
          <w:szCs w:val="20"/>
          <w:color w:val="auto"/>
        </w:rPr>
      </w:pPr>
      <w:r>
        <w:rPr>
          <w:rFonts w:ascii="Courier New" w:cs="Courier New" w:eastAsia="Courier New" w:hAnsi="Courier New"/>
          <w:sz w:val="15"/>
          <w:szCs w:val="15"/>
          <w:color w:val="auto"/>
        </w:rPr>
        <w:t>During 1994, Messrs. Ball, Mosley, and Moorehead served on the Compensation Committee of the Board of Directors. Mr. Moorehead was the only member of the Compensation Committee who has ever served as an officer or employee of USA Waste. During 1994,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8" w:lineRule="exact"/>
        <w:rPr>
          <w:sz w:val="20"/>
          <w:szCs w:val="20"/>
          <w:color w:val="auto"/>
        </w:rPr>
      </w:pPr>
    </w:p>
    <w:p>
      <w:pPr>
        <w:ind w:left="8" w:right="3800" w:firstLine="451"/>
        <w:spacing w:after="0" w:line="263" w:lineRule="auto"/>
        <w:rPr>
          <w:sz w:val="20"/>
          <w:szCs w:val="20"/>
          <w:color w:val="auto"/>
        </w:rPr>
      </w:pPr>
      <w:r>
        <w:rPr>
          <w:rFonts w:ascii="Courier New" w:cs="Courier New" w:eastAsia="Courier New" w:hAnsi="Courier New"/>
          <w:sz w:val="14"/>
          <w:szCs w:val="14"/>
          <w:color w:val="auto"/>
        </w:rPr>
        <w:t>In August 1993, Terry W. Patrick resigned as the President and Chief Operating Officer of USA Waste to become the President and a director of EDM Corporation, a newly formed Texas corporation ("EDM"). EDM was organized for the purpose of acquiring and developing landfills and solid waste collection and transfer operations that do not meet the acquisition requirements of USA Waste. USA Waste has invested $400,000 in EDM in return for a 15% equity interest and agreed to provide a line of credit of up to $5,600,000 to EDM at an interest rate equal to the greater of 8 1/2% or the prime rate plus two percent. USA Waste has a right of first refusal to acquire any landfills, collection, or other operations that EDM wishes to sell. In June 1994, Norman E. Shepard, formerly President of USA Waste, replaced Mr. Patrick as President of EDM.</w:t>
      </w:r>
    </w:p>
    <w:p>
      <w:pPr>
        <w:spacing w:after="0" w:line="169" w:lineRule="exact"/>
        <w:rPr>
          <w:sz w:val="20"/>
          <w:szCs w:val="20"/>
          <w:color w:val="auto"/>
        </w:rPr>
      </w:pPr>
    </w:p>
    <w:p>
      <w:pPr>
        <w:ind w:left="8" w:right="3800" w:firstLine="451"/>
        <w:spacing w:after="0" w:line="267" w:lineRule="auto"/>
        <w:rPr>
          <w:sz w:val="20"/>
          <w:szCs w:val="20"/>
          <w:color w:val="auto"/>
        </w:rPr>
      </w:pPr>
      <w:r>
        <w:rPr>
          <w:rFonts w:ascii="Courier New" w:cs="Courier New" w:eastAsia="Courier New" w:hAnsi="Courier New"/>
          <w:sz w:val="14"/>
          <w:szCs w:val="14"/>
          <w:color w:val="auto"/>
        </w:rPr>
        <w:t>In February 1993, USA Waste purchased a 19% equity interest in WPP, Inc., an Ohio corporation ("WPP"), for $190,000. WPP was engaged in the development of landfill projects and provided consulting, engineering, and permit acquisition services in connection with the development of landfills. In connection</w:t>
      </w:r>
    </w:p>
    <w:p>
      <w:pPr>
        <w:sectPr>
          <w:pgSz w:w="11900" w:h="16838" w:orient="portrait"/>
          <w:cols w:equalWidth="0" w:num="1">
            <w:col w:w="11008"/>
          </w:cols>
          <w:pgMar w:left="232" w:top="291" w:right="659" w:bottom="1440" w:gutter="0" w:footer="0" w:header="0"/>
        </w:sectPr>
      </w:pPr>
    </w:p>
    <w:p>
      <w:pPr>
        <w:spacing w:after="0" w:line="16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1008"/>
          </w:cols>
          <w:pgMar w:left="232" w:top="291" w:right="659"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66</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with such acquisition, USA Waste hired William J. Kozuh as Vice President-Landfill Operations and WPP agreed to pay USA Waste a management fee of $10,000 per month. Mr. Kozuh was a founder and Vice President of WPP and owned a 35% equity interest. Mr. Moorehead and Mr. Patrick each purchased from the existing shareholders of WPP a 5% equity interest in WPP contemporaneously with USA Waste for $50,000 each. In October 1993, Mr. Patrick sold one-half of his interest to Mr. Moorehead for $50,000 and one-half to Timothy J. Salopak, President and co-founder of WPP, for $25,000. On March 30, 1994, Mr. Moorehead sold his 7 1/2% interest to Mr. Salopak for $70,000. On March 30, 1994, USA Waste purchased 81% of the outstanding capital stock of WPP for $810,000 from Mr. Salopak.</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Following its acquisition of WPP, USA Waste sold WPP's landfill development projects to third parties. These sales included a landfill project in Gila Bend, Arizona. In connection with such sales, USA Waste entered into an agreement pursuant to which (i) the purchaser of the Gila Bend project may require USA Waste to repurchase the Gila Bend project, following its completion and permitting and if it meets certain standards, for $5,000,000 or (ii) if the purchaser sells the project to a third party, USA Waste is entitled to a share of any proceeds in excess of $5,000,000. USA Waste has entered into an agreement to assign its rights and obligations under such agreement to EDM. USA Waste and EDM believe that the Gila Bend project if and when completed and permitted will have a value significantly greater than $5,000,000.</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February 1992, Donald F. Moorehead, Jr. and Robert F. Smith each loaned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 shares of USA Waste Common Stock to George O. Moorehead, brother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F. Moorehead, Jr. George O. Moorehead exchanged such shares for all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outstanding shares of the Class A Common Stock of Custom Disposal Services,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an Arizona corporation ("Custom"). George O. Moorehead also loaned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 to Custom to be used to retire certain loans to Custom's former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In addition, Custom executed a $700,000 note to its former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In April 1992, Donald F. Moorehead, Jr. purchased the $2,000,000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from George O. Moorehead for $2,000,000 and in June he loaned Custom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$700,000 to pay the shareholder note. In July 1992, Custom executed a $2,700,000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to Donald F. Moorehead, Jr. to memorialize the debt restructuring.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1992, Custom acquired Cactus Disposal, Inc., an Arizona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("Cactus"), from an unaffiliated party for 142,231 shares of Class B Non-Voting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of Custom. Contemporaneously, USA Waste entered into (i) a management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Custom and its shareholders pursuant to which USA Waste agreed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Custom with certain management services for a fee of $70,000 per month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(ii) an option agreement to acquire all of the outstanding shares of Custom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exchange for 242,231 shares (subsequently increased to 262,231 shares) of USA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Common Stock. At the same time, USA Waste loaned $4,320,000 to Custom,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portion of which was used to repay the note in full to Donald F. Moorehead,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May 1993, USA Waste exercised its option and acquired the 100,000 shares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Common Stock of Custom from George O. Moorehead and the 142,231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Class B Non-Voting Stock of Custom from the former owner of Cactus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for 262,231 shares of USA Waste Common Stock.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May 1993, Donald F. Moorehead, Jr. acquired an approximate 3% interest in Empire Metals, Inc. ("Empire"), another company owned by the former owner of Cactus. In May 1993, USA Waste entered into a management agreement with Empire pursuant to which USA Waste agreed to provide certain administrative, operational, and managerial services to Empire and Empire agreed to pay USA Waste a management fee of $70,000 per month. Such agreement expired at December 31, 1993.</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June 1993, Donald F. Moorehead, Jr. acquired approximately a 5% ownership interest in EMCO Metals &amp; Recycling Corporation ("EMCO"), a company engaged in scrap metal recycling in Phoenix and owned by the former owner of Cactus. In October 1993, Custom acquired certain trucks from EMCO for a purchase price of $191,000 and entered into a three-year service agreement to transport scrap metal for EMCO on the basis of $80 per haul and $1 per mile. Contemporaneously, Custom acquired certain trucks, trailers, and roll-off containers used in the collection and transportation of scrap metal from Capital Recycling, Inc., an unaffiliated entity, for $998,000. During 1994, Custom, in the ordinary course of business, also sold scrap metal to EMCO. In connection with its decision to leave the Phoenix market in October 1994, Custom sold all of the foregoing vehicles and containers to EMCO for $100,000 in cash and a note for $895,000 bearing interest at a rate of 9% per annum and payable in eleven monthly installments of principal and interest of $18,567 and a balloon payment of $765,083.</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1"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67</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February 28, 1992, USA Waste borrowed $3,500,000 from George L. Ball, a director of USA Waste, and two other individuals to complete financing for the acquisition of Best Pak Disposal, Inc. In connection with this financing, USA Waste issued an unsecured Subordinated Note due June 30, 1994. In connection with such loan, USA Waste also issued to the foregoing individuals a warrant to purchase 252,000 shares of Common Stock at a price of $16.00 per share. On April 14, 1992, the foregoing Subordinated Note was repaid in connection with the refinancing of the $3,500,000 debt with an unaffiliated party. In connection with such refinancing, the number of warrants held by the original note holders was reduced to 89,000 and the exercise price was adjusted to $13.50. The holders of such warrants have an option to sell such warrant to Messrs. Moorehead and Smith at a price of $7.00 per share for a 30-day period commencing on April 14, 1995.</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the acquisition of Envirofil in May 1994, SMMI, in its capacity as financial advisor to Envirofil received a fee of $850,000. Prior to joining USA Waste, Mr. Drury was a Managing Director and shareholder of SMMI and remains a director. Mr. Ball is Chairman of the Board and a director of SMMI. In 1992, USA Waste sold $46,000,000 of its 8 1/2% Convertible Subordinated Debentures Due 2002 in a public offering underwritten by Dillon Read &amp; Co., Inc. and SMMI. In connection with such offering, USA Waste paid the underwriters commissions aggregating $1,995,000.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FILING OF REPORTS OF STOCK OWNERSHIP</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the federal securities laws, USA Waste's directors, executive (and certain other) officers, and any person holding more than ten percent of USA Waste Common Stock are required to report their ownership to USA Waste and the Commission. Specific due dates for these reports have been established by regulation and USA Waste is required to report in this Joint Proxy Statement and Prospectus any failure to file by these dates during 1994. All of these filings were satisfied by USA Waste's director's, officers, and ten percent holders, except that James R. Jones failed to file on a timely basis his initial report of ownership on becoming an executive officer of USA Waste, George L. Ball failed to file on a timely basis one report concerning six transactions (all of which arose out of the acquisition of Envirofil), Gene A. Meredith failed to file on a timely basis two reports concerning five transactions, and Donald F. Moorehead, Jr. failed to file on a timely basis two reports concerning five transactions.</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of March 1, 1995,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REINCORPORATION</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USA Waste Board of Directors has approved and, for the reasons set forth below, recommends that the shareholders of USA Waste approve a change in the domicile of USA Waste from Oklahoma to Delaware by means of a merger. The USA Waste Board of Directors believes that the best interests of USA Waste and its shareholders will be served by the Reincorporation. The general effect of the Reincorporation, if consummated, upon the rights of USA Waste's shareholders will be that USA Waste in the future will be governed by the corporation laws of Delaware as opposed to the corporation laws of Oklahoma. The effect of the Reincorporation on the rights of the shareholders is set forth below.</w:t>
      </w:r>
    </w:p>
    <w:p>
      <w:pPr>
        <w:spacing w:after="0" w:line="164"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Shareholders are urged to read carefully the following sections of this Joint Proxy Statement and Prospectus, including the related exhibits, before voting on the Reincorporation. In this discussion of the Reincorporation proposal, the term "USA Oklahoma" refers to the existing Oklahoma corporation and the term "USA Delaware" refers to the new Delaware corporation.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Reincorporation will be effected by the Reincorporation Merger of USA Oklahoma into USA Delaware, a wholly owned subsidiary of USA Oklahoma, which was recently formed for purposes of the Reincorporation. USA Delaware will be the surviving corporation and its only business immediately after the Reincorporation will be USA Waste's business. Upon completion of the Reincorporation Merger, the name of USA Waste will remain "USA Waste Services, Inc."</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91"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Agreement and Plan of Merger, a form of which is attached hereto as Appendix D (the "Reincorporation Merger Agreement"), upon the effective date of the Reincorporation, each outstanding share of USA Oklahoma Common Stock will automatically be converted into one share of USA Delaware common stock, par value $.01 per share ("USA Delaware Common Stock"). Each certificate representing issued and outstanding shares of USA Oklahoma Common Stock will continue to represent the same number of shares of Common Stock of USA Delaware. IT WILL NOT BE NECESSARY FOR SHAREHOLDERS OF USA OKLAHOMA TO EXCHANGE THEIR EXISTING STOCK CERTIFICATES FOR STOCK CERTIFICATES OF USA DELAWARE. However, shareholders may exchange their certificates if they so choose. Adoption of the proposed amendments will not affect the listing of shares of the USA Waste Common Stock on the NYSE. After the Reincorporation, the shares of USA Delaware Common Stock will be traded on the NYSE without interruption under the symbol "UW", the same symbol under which the shares of USA Waste Common Stock are presently traded.</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Under Oklahoma law, the affirmative vote of a majority of the outstanding shares of the USA Oklahoma Common Stock is required for approval of the Reincorporation. The Reincorporation proposal has been approved by each of USA Oklahoma's and USA Delaware's Board of Directors. The Board of Directors of USA Delaware is and, following the election of directors at the USA Waste Annual Meeting will be, comprised of the members of the Board of Directors of USA Oklahoma.</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of USA Oklahoma recommends a vote in favor of the Reincorporation proposal at the USA Waste Annual Meeting. If approved by the shareholders, it is anticipated that the Reincorporation proposal will become effective as soon as practicable after the meeting, upon the filing of appropriate documents with appropriate state offices of Oklahoma and Delaware. However, the Reincorporation Merger may be delayed or abandoned or the Reincorporation Merger Agreement may be amended (except that the principal terms may not be amended without shareholder approval) either before or after shareholder approval has been obtained and prior to the effective date of the Reincorporation Merger if, in the opinion of the Board of Directors of either USA Oklahoma or USA Delaware, circumstances arise that make it inadvisable to proceed.</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discussion contained herein is qualified in its entirety by reference to the Reincorporation Merger Agreement, the Certificate of Incorporation of USA Delaware (the "Delaware Certificate of Incorporation") and the Bylaws of USA Delaware, copies of which are attached hereto as Appendices D, E, and F, respectively. The Delaware Certificate of Incorporation has been filed with the Secretary of State of the State of Delaware.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APPROVAL BY USA WASTE SHAREHOLDERS OF THE REINCORPORATION PROPOSAL WILL CONSTITUTE APPROVAL OF THE REINCORPORATION MERGER AGREEMENT, A COPY OF WHICH IS SET FORTH AS APPENDIX D TO THIS JOINT PROXY STATEMENT AND PROSPECTUS, AND THE DELAWARE CERTIFICATE OF INCORPORATION, A COPY OF WHICH IS SET FORTH AS APPENDIX E TO THIS JOINT PROXY STATEMENT AND PROSPECTUS.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Reincorporation will effect only a change in the legal domicile of USA Waste and other changes of a legal nature, certain of which are described in this Joint Proxy Statement and Prospectus. The Reincorporation will NOT result in any significant change in the name, business, operations, management, fiscal year, location of the principal executive offices, assets, or liabilities of USA Waste. If the Reincorporation proposal is approved, USA Waste expects that the officers of USA Delaware will be the current officers of USA Oklahoma (except for the addition of Alexander W. Rangos as Executive Vice President for Landfill Development). All employee benefit plans (including USA Waste's 1993 Stock Incentive Plan) will be continued by USA Delaware, and each share of USA Waste Common Stock outstanding or option issued pursuant to such plans, as the case may be, will automatically be converted into the same number of shares of USA Delaware Common Stock or an option to purchase the same number of shares of USA Delaware Common Stock at the same option price per share, upon the same terms and subject to the same conditions as set forth in such Plans. Shareholders should note that approval of the Reincorporation proposal will also constitute approval of the assumption of the foregoing plans by USA Delaware. USA Oklahoma's other</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1" w:right="1440" w:bottom="1440" w:gutter="0" w:footer="0" w:header="0"/>
        </w:sectPr>
      </w:pPr>
    </w:p>
    <w:bookmarkStart w:id="69" w:name="page70"/>
    <w:bookmarkEnd w:id="69"/>
    <w:p>
      <w:pPr>
        <w:ind w:left="268"/>
        <w:spacing w:after="0"/>
        <w:rPr>
          <w:sz w:val="20"/>
          <w:szCs w:val="20"/>
          <w:color w:val="auto"/>
        </w:rPr>
      </w:pPr>
      <w:r>
        <w:rPr>
          <w:rFonts w:ascii="Courier New" w:cs="Courier New" w:eastAsia="Courier New" w:hAnsi="Courier New"/>
          <w:sz w:val="15"/>
          <w:szCs w:val="15"/>
          <w:color w:val="auto"/>
        </w:rPr>
        <w:t>69</w:t>
      </w:r>
    </w:p>
    <w:p>
      <w:pPr>
        <w:spacing w:after="0" w:line="178"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employee benefit plans and arrangements will be continued by USA Delaware upon the terms and subject to the conditions currently in effect.</w:t>
      </w:r>
    </w:p>
    <w:p>
      <w:pPr>
        <w:spacing w:after="0" w:line="176"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If the Reincorporation is completed USA Delaware will be a foreign corporation transacting business in Oklahoma. Under Oklahoma law, USA Delaware would be required to obtain a certificate of authority by application to the Secretary of State of Oklahoma in order to lawfully continue the transacting of its business in Oklahoma. The management of USA Waste foresees no difficulty in obtaining such certificate of authority.</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REASON FOR REINCORPORATION</w:t>
      </w:r>
    </w:p>
    <w:p>
      <w:pPr>
        <w:spacing w:after="0" w:line="178"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For many years Delaware has followed a policy of encouraging incorporation in that state and, in furtherance of that policy, has long been a leader in adopting, construing, and implementing comprehensive, flexible corporate laws responsive to the legal and business needs of corporations organized under its laws. The Delaware General Corporation Law is widely regarded as the most extensive and well-defined body of corporate law in the United States. Because of Delaware's prominence as the state of incorporation for many major corporations, both the legislature and courts in Delaware have demonstrated an ability and a willingness to act quickly and effectively to meet changing business needs. Moreover, the Delaware courts have rendered a substantial number of decisions interpreting and explaining Delaware law and public policies with respect to corporate issues. This is especially true in the areas of (i) director liability and (ii) contests for corporate control and the related issues of a board's fiduciary duties in responding to unsolicited tender offers, aggressive market buying programs, proxy contests and other types of efforts to acquire control of a corporation or otherwise influence decisions of USA Waste in a manner that is not in the best interests of USA Waste or its shareholders. As a result, many corporations have initially chosen Delaware for their state of incorporation or have subsequently changed their corporate domicile to Delaware in a manner similar to that proposed by the Board of Directors of USA Oklahoma. Although the Oklahoma General Corporation Act enacted in 1986 is substantially similar to and based upon the Delaware General Corporation Law, the Oklahoma courts have issued few decisions interpreting or explaining the Oklahoma law.</w:t>
      </w:r>
    </w:p>
    <w:p>
      <w:pPr>
        <w:spacing w:after="0" w:line="33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LIABILITY</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Under both Oklahoma and Delaware law corporations may adopt provisions in their charter documents reducing or eliminating the liability of a director to the corporation or its shareholders or stockholders for monetary damages for breach of fiduciary duty as a director. Both USA Oklahoma and USA Delaware currently have such a provision in their charter documents. However, the courts of Delaware have more frequently interpreted statutory and charter provisions regarding the liability of directors and, as a result, may offer more guidance than the courts of Oklahoma with respect to such provisions. USA Waste believes that these Delaware provisions, and the case law that has been developed by the Delaware courts with respect thereto, may enhance its ability to attract and retain qualified directors.</w:t>
      </w:r>
    </w:p>
    <w:p>
      <w:pPr>
        <w:spacing w:after="0" w:line="180"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It should be noted that, in accordance with Delaware law, the Delaware Certificate of Incorporation does not limit or eliminate liability based on the following types of claims: (1) liability based on a breach of the director's duty of loyalty to USA Delaware or its shareholders; (2) liability based on the payment of an improper dividend or an improper repurchase of USA Delaware's stock under Section 174 of the Delaware General Corporation Law; (3) liability for actions or failure to act which the director knew were in violation of law;</w:t>
      </w:r>
    </w:p>
    <w:p>
      <w:pPr>
        <w:spacing w:after="0" w:line="4" w:lineRule="exact"/>
        <w:rPr>
          <w:sz w:val="20"/>
          <w:szCs w:val="20"/>
          <w:color w:val="auto"/>
        </w:rPr>
      </w:pPr>
    </w:p>
    <w:p>
      <w:pPr>
        <w:ind w:left="8" w:right="3019" w:hanging="8"/>
        <w:spacing w:after="0" w:line="244" w:lineRule="auto"/>
        <w:tabs>
          <w:tab w:leader="none" w:pos="3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arising out of intentional misconduct by the director; (5) liability arising out of any transaction pursuant to which the director received some improper personal benefit; or (6) liability for actions taken, or a failure to act, by the director not in good faith.</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INDEMNIFICATION OF DIRECTORS, OFFICERS AND OTHER AGENTS</w:t>
      </w:r>
    </w:p>
    <w:p>
      <w:pPr>
        <w:spacing w:after="0" w:line="178" w:lineRule="exact"/>
        <w:rPr>
          <w:sz w:val="20"/>
          <w:szCs w:val="20"/>
          <w:color w:val="auto"/>
        </w:rPr>
      </w:pPr>
    </w:p>
    <w:p>
      <w:pPr>
        <w:ind w:left="8" w:right="3379" w:firstLine="451"/>
        <w:spacing w:after="0" w:line="244" w:lineRule="auto"/>
        <w:rPr>
          <w:sz w:val="20"/>
          <w:szCs w:val="20"/>
          <w:color w:val="auto"/>
        </w:rPr>
      </w:pPr>
      <w:r>
        <w:rPr>
          <w:rFonts w:ascii="Courier New" w:cs="Courier New" w:eastAsia="Courier New" w:hAnsi="Courier New"/>
          <w:sz w:val="15"/>
          <w:szCs w:val="15"/>
          <w:color w:val="auto"/>
        </w:rPr>
        <w:t>Oklahoma law and Delaware Law have substantially similar provisions and limitations regarding indemnification by a corporation of its officers, directors, employees and other agents.</w:t>
      </w:r>
    </w:p>
    <w:p>
      <w:pPr>
        <w:spacing w:after="0" w:line="175" w:lineRule="exact"/>
        <w:rPr>
          <w:sz w:val="20"/>
          <w:szCs w:val="20"/>
          <w:color w:val="auto"/>
        </w:rPr>
      </w:pPr>
    </w:p>
    <w:p>
      <w:pPr>
        <w:ind w:left="8" w:right="3639" w:firstLine="451"/>
        <w:spacing w:after="0" w:line="244" w:lineRule="auto"/>
        <w:rPr>
          <w:sz w:val="20"/>
          <w:szCs w:val="20"/>
          <w:color w:val="auto"/>
        </w:rPr>
      </w:pPr>
      <w:r>
        <w:rPr>
          <w:rFonts w:ascii="Courier New" w:cs="Courier New" w:eastAsia="Courier New" w:hAnsi="Courier New"/>
          <w:sz w:val="15"/>
          <w:szCs w:val="15"/>
          <w:color w:val="auto"/>
        </w:rPr>
        <w:t>The Bylaws of USA Delaware have implemented the applicable statutory framework. They require that indemnity must be provided to officers and directors where permitted by statute and provide procedural</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7"/>
          </w:cols>
          <w:pgMar w:left="232" w:top="291" w:right="1440" w:bottom="1440" w:gutter="0" w:footer="0" w:header="0"/>
        </w:sectPr>
      </w:pPr>
    </w:p>
    <w:bookmarkStart w:id="70" w:name="page71"/>
    <w:bookmarkEnd w:id="70"/>
    <w:p>
      <w:pPr>
        <w:ind w:left="268"/>
        <w:spacing w:after="0"/>
        <w:rPr>
          <w:sz w:val="20"/>
          <w:szCs w:val="20"/>
          <w:color w:val="auto"/>
        </w:rPr>
      </w:pPr>
      <w:r>
        <w:rPr>
          <w:rFonts w:ascii="Courier New" w:cs="Courier New" w:eastAsia="Courier New" w:hAnsi="Courier New"/>
          <w:sz w:val="15"/>
          <w:szCs w:val="15"/>
          <w:color w:val="auto"/>
        </w:rPr>
        <w:t>70</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mechanisms for directors and officers to enforce these rights. The protection afforded by these Bylaws may be extended by the Board of Directors to employees and other agents of USA Waste.</w:t>
      </w:r>
    </w:p>
    <w:p>
      <w:pPr>
        <w:spacing w:after="0" w:line="175"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Other than as described in "Description of USA Waste -- Legal Proceedings," there is no pending litigation or proceeding involving a director or officer of USA Waste where indemnification would be required or permitted. USA Waste is not aware of any threatened litigation or proceeding which may result in a claim for indemnification by any director or officer.</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CONTESTS FOR CORPORATE CONTROL</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Under Section 203 of the Delaware General Corporation Law and Section 1090.3 of the Oklahoma General Corporation Act certain "business combinations" with an "interested stockholder" of a Delaware corporation (an "interested shareholder" of an Oklahoma corporation) are prohibited for a period of three years following the date that such person or entity becomes an "interested stockholder." Generally, an "interested stockholder" is a person or entity which, together with its affiliates, (i) owns 15% or more of the outstanding voting stock of a corporation or (ii) which is an affiliate or associate of the corporation and was, at any time within the previous three years, the owner of 15% or more of the outstanding voting stock of the corporation.</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term "business combination" is defined broadly to include mergers with or caused by an interested stockholder, sales or other dispositions of assets of the corporation or a subsidiary equal to 10% or more of the value of the corporation's consolidated assets or its outstanding stock to an interested stockholder, transfer of stock of the corporation or a subsidiary to an interested stockholder (except for transfers in a conversion or exchange or a pro rata distribution which does not increase the interested stockholder's proportionate ownership of a class or series) or any receipt by an interested stockholder (except proportionately as a stockholder) of any loans, advances, guarantees, pledges or other financial benefits.</w:t>
      </w:r>
    </w:p>
    <w:p>
      <w:pPr>
        <w:spacing w:after="0" w:line="180"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three-year moratorium imposed on business combinations by Sections 203 and 1090.3 do not apply if (i) prior to a person's becoming an interested stockholder, the board of directors approves the business combination or the transaction which resulted in such person becoming an interested stockholder,</w:t>
      </w:r>
    </w:p>
    <w:p>
      <w:pPr>
        <w:spacing w:after="0" w:line="3" w:lineRule="exact"/>
        <w:rPr>
          <w:sz w:val="20"/>
          <w:szCs w:val="20"/>
          <w:color w:val="auto"/>
        </w:rPr>
      </w:pPr>
    </w:p>
    <w:p>
      <w:pPr>
        <w:ind w:left="8" w:right="3019" w:hanging="8"/>
        <w:spacing w:after="0" w:line="244" w:lineRule="auto"/>
        <w:tabs>
          <w:tab w:leader="none" w:pos="45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stockholder owns 85% of the corporation's voting stock upon consummation of the transaction which makes him an interested stockholder (excluding from the 85% calculation shares owned by directors who are also officers and shares held by employee stock plans which do not permit employees to decide confidentially whether to accept a tender offer), or (iii) on or after the date a person becomes an interested stockholder, the business combination is approved by the board of directors of the corporation and by two-thirds of the voting stock not owned by the interested stockholder. Section 203 also permits an interested stockholder to compete with a tender or exchange offer made by an unaffiliated third party and approved, or not opposed, by the board of directors, or with a management sponsored or approved purchase, or certain other transactions.</w:t>
      </w:r>
    </w:p>
    <w:p>
      <w:pPr>
        <w:spacing w:after="0" w:line="181"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The restrictions of Sections 203 and 1090.3 do not apply to any person who inadvertently becomes an interested stockholder and who, as soon as practicable, sells sufficient shares to no longer be a 15% stockholder.</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Reincorporation proposal does not reflect knowledge on the part of the USA Waste Board of Directors or management of any proposed or threatened takeover or other attempt to acquire control of USA Waste. The USA Waste Board of Directors is not aware of any tender offer, leveraged buyout, proxy contest, or other similar transaction involving a change in control of USA Waste that is now pending or under consideration, except for the Merger. The USA Waste Board may consider from time to time other plans which could have an anti-takeover effect. Such plans could include adoption of a shareholder rights plan although no proposal for a rights plan has been presented to or considered by the Board. In the event the Merger is consummated, any such rights plan would be considered by the Board as constituted after the Merger. Other than as described, management of USA Waste does not currently have under consideration, and does not have any current intention to propose or adopt any other measures which might discourage takeovers apart from those proposed in this Joint Proxy Statement and Prospectus. The Board of Directors</w:t>
      </w:r>
    </w:p>
    <w:p>
      <w:pPr>
        <w:spacing w:after="0" w:line="18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7"/>
          </w:cols>
          <w:pgMar w:left="232" w:top="291"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71</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may, however, adopt or approve such measures in the future, and shareholder approval may or may not be required at that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NEGATIVE CONSIDERATIONS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effects of the Reincorporation proposal should be examined in connection with other measures that have already been or are proposed to be adopted by USA Waste and that also may have a deterrent effect on unsolicited overtures for control of USA Waste. USA Waste has proposed that its Certificate of Incorporation be amended to provide for a classified Board of Directors. The Certificate of Incorporation of USA Oklahoma has, since its initial organization in 1987, provided for directors' discretion relating to the issuance of preferred stock, which provision has also been provided for in the Delaware Certificate of Incorporation as described below.</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Delaware Certificate of Incorporation provides for classification of the Board of Directors into three classes of directors. The term of office of the directors in each class is three years. As a result, at future USA Waste annual meetings, shareholders will generally vote only for the election of directors in one class. The charter documents of USA Oklahoma and USA Delaware prohibit cumulative voting for Directors.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classified Board of Directors gives the Board of Directors of USA Waste a greater likelihood of continuity, experience, and stability of leadership and policy. The Board of Directors of USA Waste therefore believes that classification of the Board benefits USA Waste. See "Classification of the USA Waste Board and Related Matters." It should be noted, however, that the classified Board of Directors may also extend the time required to elect a majority of the Board even if the majority of shareholders are dissatisfied with the current Board. The USA Waste Board of Directors believes, however, that on balance the shareholders are better served by the inclusion of the classified Board.</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charter documents of both USA Delaware and USA Oklahoma authorize the respective Boards of Directors to issue 10,000,000 shares of preferred stock, par value $.01 per share ("Preferred Stock"). The Preferred Stock may be issued from time to time in one or more series, and each series will have such designations, rates of dividends, redemption prices, liquidation payments, voting rights, sinking fund provisions, conversion or exchange rights, and other special rights as the USA Waste Board of Directors may establish at the time of issuance. The Preferred Stock may be issued from time to time upon authorization of the USA Waste Board of Directors, without further approval by the shareholders unless required by applicable law, and for such consideration as the Board of Directors may determine and as may be permitted by applicable law. The Preferred Stock may be used as a means of preventing or dissuading a change in control or takeover of USA Waste. For example, shares could be issued with a voting power greater than that of the Common Stock in an effort to dilute the voting power of persons seeking to obtain control of USA Waste or could be issued to purchasers who would support the USA Waste Board of Directors in opposing a takeover proposal.</w:t>
      </w:r>
    </w:p>
    <w:p>
      <w:pPr>
        <w:spacing w:after="0" w:line="184"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USA Waste has also proposed that the number of authorized shares of USA Waste Common Stock be increased from 50,000,000 shares to 150,000,000 shares. See "Amendment to Increase the Number of Authorized Shares." If approved, this authorized but unissued USA Waste Common Stock could also be used by USA Waste to deter an unfriendly takeover by issuing a large number of shares to persons or entities who support the incumbent management of USA Waste.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Notwithstanding the belief of the USA Waste Board of Directors that the Reincorporation is in the best interests of the shareholders, shareholders should consider that one of the effects of Reincorporation may be to discourage a future transaction. Shareholders should recognize that negotiation does not assure results that would be superior to a direct approach made to the shareholders by means of a tender offer, exchange offer, or proxy contest that is not presented to and approved by the Board. It is possible that unsolicited and unapproved tender offers and takeover attempts might be made at a time and in circumstances which are beneficial to and in the interest of shareholders. Such a transaction might provide shareholders with a substantial premium for their shares over the then current market prices or provide other substantial value which a majority of shareholders might believe to be in their best interests.</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91" w:right="1440" w:bottom="1440" w:gutter="0" w:footer="0" w:header="0"/>
        </w:sectPr>
      </w:pPr>
    </w:p>
    <w:bookmarkStart w:id="72" w:name="page73"/>
    <w:bookmarkEnd w:id="72"/>
    <w:p>
      <w:pPr>
        <w:ind w:left="268"/>
        <w:spacing w:after="0"/>
        <w:rPr>
          <w:sz w:val="20"/>
          <w:szCs w:val="20"/>
          <w:color w:val="auto"/>
        </w:rPr>
      </w:pPr>
      <w:r>
        <w:rPr>
          <w:rFonts w:ascii="Courier New" w:cs="Courier New" w:eastAsia="Courier New" w:hAnsi="Courier New"/>
          <w:sz w:val="15"/>
          <w:szCs w:val="15"/>
          <w:color w:val="auto"/>
        </w:rPr>
        <w:t>72</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Despite the belief of the USA Waste Board of Directors that the Reincorporation is in the best interest of USA Oklahoma and its shareholders, shareholders should also be aware that Delaware law has been publicly criticized on the grounds that it does not afford minority shareholders the same substantive rights and protections as are available in a number of other states. However, there are no material differences between Oklahoma law and Delaware law with respect to (1) shareholder approval of corporate transactions, (2) shareholder approval of amendments to charter documents, (3) newly created directorships, (4) removal of directors, (5) elimination of shareholder power to call special shareholders' meeting, (6) inspection of books, records and shareholder lists, (7) appraisal rights, (8) dissolution, (9) dividends, (10) shareholder action without a meeting, (11) repurchase or redemption of shares, or (12) proxies.</w:t>
      </w:r>
    </w:p>
    <w:p>
      <w:pPr>
        <w:spacing w:after="0" w:line="1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CONCERNS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Federal Income Tax Consequences of the Reincorporation. Set forth below is a summary of certain Federal income tax consequence to USA Oklahoma shareholders who become holders of USA Delaware Common stock in exchange for USA Oklahoma Common Stock as a result of the Reincorporation. The statement does not deal with all aspects of Federal taxation that may be relevant to particular USA Oklahoma shareholders, such as dealers in securities and certain holders of stock options or shares acquired upon exercise of stock options. In view of the individual nature of tax consequences, shareholders are urged to consult their own tax advisors as to the specific tax consequences to them of the Reincorporation, including the applicability of federal, state, local and foreign tax laws.</w:t>
      </w:r>
    </w:p>
    <w:p>
      <w:pPr>
        <w:spacing w:after="0" w:line="180"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USA Oklahoma has not requested a ruling from the Service with respect to the Federal income tax consequences of the Reincorporation under the Code. USA Oklahoma will, however, receive an opinion from its legal counsel, Snell &amp; Smith, P.C., substantially to the effect that: (i) the Reincorporation will constitute a tax-free reorganization under Section 368(a) of the Code; (ii) no gain or loss will be recognized by holders of Common Stock of USA Oklahoma upon receipt of Common Stock of USA Delaware pursuant to the Reincorporation; (iii) the aggregate tax basis of the Common Stock of USA Delaware received by each shareholder will be the same as the aggregate tax basis of the Common Stock of USA Oklahoma held by such shareholder at the time of the Reincorporation, and</w:t>
      </w:r>
    </w:p>
    <w:p>
      <w:pPr>
        <w:spacing w:after="0" w:line="6" w:lineRule="exact"/>
        <w:rPr>
          <w:sz w:val="20"/>
          <w:szCs w:val="20"/>
          <w:color w:val="auto"/>
        </w:rPr>
      </w:pPr>
    </w:p>
    <w:p>
      <w:pPr>
        <w:ind w:left="8" w:right="3019" w:hanging="8"/>
        <w:spacing w:after="0" w:line="244" w:lineRule="auto"/>
        <w:tabs>
          <w:tab w:leader="none" w:pos="45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Common Stock of USA Delaware received by each shareholder of USA Oklahoma will include the period for which such shareholder held the Common Stock of USA Oklahoma surrendered in exchange therefor, provided that such USA Oklahoma Common Stock was held by such shareholder as a capital asset at the time of the Reincorporation.</w:t>
      </w:r>
    </w:p>
    <w:p>
      <w:pPr>
        <w:spacing w:after="0" w:line="177"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USA Waste will not recognize gain or loss for federal income tax purposes as a result of the Reincorporation. USA Delaware will succeed, without adjustment, to the federal income tax attributes of USA Waste.</w:t>
      </w:r>
    </w:p>
    <w:p>
      <w:pPr>
        <w:spacing w:after="0" w:line="175"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Accounting Treatment of the Reincorporation. The Reincorporation will be accounted for as a reorganization of companies under common control in a manner similar to pooling of interests accounting. Therefore, the historical financial statements will be carried forward as if the merging companies had been one company.</w:t>
      </w:r>
    </w:p>
    <w:p>
      <w:pPr>
        <w:spacing w:after="0" w:line="177"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Federal and State Regulatory Requirements in Connection with the Reincorporation. This Joint Proxy Statement and Prospectus has been filed with the Commission. In addition, if the Reincorporation is approved by the shareholders and the Reincorporation Merger is consummated, merger documents will be filed with the appropriate authorities in the State of Oklahoma and Delaware.</w:t>
      </w:r>
    </w:p>
    <w:p>
      <w:pPr>
        <w:spacing w:after="0" w:line="177" w:lineRule="exact"/>
        <w:rPr>
          <w:sz w:val="20"/>
          <w:szCs w:val="20"/>
          <w:color w:val="auto"/>
        </w:rPr>
      </w:pPr>
    </w:p>
    <w:p>
      <w:pPr>
        <w:ind w:left="8" w:right="3199" w:firstLine="451"/>
        <w:spacing w:after="0" w:line="270" w:lineRule="auto"/>
        <w:rPr>
          <w:sz w:val="20"/>
          <w:szCs w:val="20"/>
          <w:color w:val="auto"/>
        </w:rPr>
      </w:pPr>
      <w:r>
        <w:rPr>
          <w:rFonts w:ascii="Courier New" w:cs="Courier New" w:eastAsia="Courier New" w:hAnsi="Courier New"/>
          <w:sz w:val="14"/>
          <w:szCs w:val="14"/>
          <w:color w:val="auto"/>
        </w:rPr>
        <w:t>No Dissenters' Rights of Appraisal. Shareholders of USA Oklahoma who dissent from the Reincorporation proposal and the Reincorporation Merger Agreement will not have any right to exercise dissenters' rights of appraisal.</w:t>
      </w:r>
    </w:p>
    <w:p>
      <w:pPr>
        <w:spacing w:after="0" w:line="15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Recommendation of the Board of Directors. THE USA WASTE BOARD OF DIRECTORS RECOMMENDS THAT USA WASTE'S SHAREHOLDERS VOTE FOR THE REINCORPORATION, which affirmative vote will also constitute approval of the Reincorporation Merger Agreement and the Delaware Certificate of Incorporation.</w:t>
      </w:r>
    </w:p>
    <w:p>
      <w:pPr>
        <w:spacing w:after="0" w:line="176" w:lineRule="exact"/>
        <w:rPr>
          <w:sz w:val="20"/>
          <w:szCs w:val="20"/>
          <w:color w:val="auto"/>
        </w:rPr>
      </w:pPr>
    </w:p>
    <w:p>
      <w:pPr>
        <w:ind w:left="8" w:right="3559" w:firstLine="45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a majority of the outstanding USA Waste Common Stock is required for the approval of the Reincorporation, the Reincorporation Merger Agreement, and the Delaware Certificate of Incorporation.</w:t>
      </w:r>
    </w:p>
    <w:p>
      <w:pPr>
        <w:sectPr>
          <w:pgSz w:w="11900" w:h="16838" w:orient="portrait"/>
          <w:cols w:equalWidth="0" w:num="1">
            <w:col w:w="10227"/>
          </w:cols>
          <w:pgMar w:left="232" w:top="291" w:right="1440" w:bottom="1440" w:gutter="0" w:footer="0" w:header="0"/>
        </w:sectPr>
      </w:pP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7"/>
          </w:cols>
          <w:pgMar w:left="232" w:top="291"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73</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CLASSIFICATION OF THE USA WASTE BOARD AND RELATED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shareholders of USA Waste are being asked to approve an amendment to the Certificate of Incorporation of USA Waste whereby: (1) the Board of Directors shall be divided into three classes, as nearly equal in number as possible; (2) vacancies in the Board of Directors shall be filled by a majority vote of the directors then in office; (3) directors may be removed, with or without cause, only by the affirmative vote of either a majority of the Board of Directors or the holders of at least 66 2/3% of USA Waste's outstanding voting shares; and (4) that the foregoing provisions may be amended, altered or repealed only by the affirmative vote of the holders of at least 66 2/3% of USA Waste's outstanding voting shares (collectively, the "Board Classification Proposals"). The provisions of the proposed Board Classification Proposals are set forth in their entirety in the Articles of Amendment included in Appendix G attached hereto.</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USA Waste Board of Directors believes that the proposed Board Classification Proposals would, if adopted, reduce the possibility that a third party could utilize certain tactics to effect a sudden or surprise change in control of the Board of Directors of USA Waste without the support of incumbent directors. However, adoption of the Board Classification Proposals may have significant effects on the ability of shareholders of USA Waste to change the composition of the Board of Directors, to affect its policies generally, and to benefit from transactions that are opposed by incumbent directors. If the Board Classification Proposals and the Reincorporation are both approved, the Delaware Certificate of Incorporation will reflect the Board Classification Proposals. The following comments highlight some specific effects of the Board Classification Proposals.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BOARD</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Directors of USA Waste currently are elected annually by USA Waste's shareholders to serve until the next annual meeting and until their successors are elected and qualified.</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Both Oklahoma and Delaware law permit provisions in a certificate of incorporation or a by-law approved by shareholders that provide for a classified board of directors. The Board Classification Proposals provide that directors shall be classified, with respect to the time for which they individually hold office, into three classes, as nearly equal in number as possible. One class would hold office initially for a term expiring at USA Waste's 1996 annual meeting of shareholders, another class would hold office initially for a term expiring at the 1997 annual meeting, and another class would hold office initially for a term expiring at the 1998 annual meeting, with the members of each class holding office until their successors have been duly elected and qualified. At each annual meeting following this initial classification and election, the successors to the class of directors whose terms expire at that meeting would be elected for a term of office to expire at the third succeeding annual meeting after their election and until their successors have been duly elected and qualified. See "Election of USA Waste Directors" as to the composition of each class of directors if the Board Classification Proposals are adopted.</w:t>
      </w:r>
    </w:p>
    <w:p>
      <w:pPr>
        <w:spacing w:after="0" w:line="184"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classification of the USA Waste Board of Directors will have the effect of making it more difficult to change the composition of the Board of Directors. At least two annual shareholders' meetings, instead of one, will generally be required for shareholders to effect a change in control of the Board of Directors, because only a minority of the directors will be elected at each meeting. Although USA Waste has experienced no problems with respect to the continuity and stability of its Board of Directors, the Board of Directors believes that requiring a longer period of time to elect a majority of directors will help to assure continuity and stability of USA Waste's affairs and policies in the future since a majority of directors at any given time will have prior experience as directors of USA Waste. The Board of Directors also believes that board classification is desirable to help discourage hostile attempts to take control of USA Waste. However, it should also be noted that the classification provision of the Board Classification Proposals will apply to every election of directors, whether or not a change in the Board of Directors would be desirable in the opinion of some or a majority of the USA Waste's shareholders.</w:t>
      </w:r>
    </w:p>
    <w:p>
      <w:pPr>
        <w:spacing w:after="0" w:line="34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Board Classification Proposals would also allow the Board of Directors to increase the number of directors and to fill the resulting vacancies as a means of preventing a takeover of USA Waste or of diluting the vote of Board members opposed by a majority of the Board of Directors.</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91" w:right="1440" w:bottom="1440" w:gutter="0" w:footer="0" w:header="0"/>
          <w:type w:val="continuous"/>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74</w:t>
      </w:r>
    </w:p>
    <w:p>
      <w:pPr>
        <w:spacing w:after="0" w:line="178" w:lineRule="exact"/>
        <w:rPr>
          <w:sz w:val="20"/>
          <w:szCs w:val="20"/>
          <w:color w:val="auto"/>
        </w:rPr>
      </w:pPr>
    </w:p>
    <w:p>
      <w:pPr>
        <w:jc w:val="both"/>
        <w:ind w:right="3379" w:firstLine="451"/>
        <w:spacing w:after="0" w:line="270" w:lineRule="auto"/>
        <w:rPr>
          <w:sz w:val="20"/>
          <w:szCs w:val="20"/>
          <w:color w:val="auto"/>
        </w:rPr>
      </w:pPr>
      <w:r>
        <w:rPr>
          <w:rFonts w:ascii="Courier New" w:cs="Courier New" w:eastAsia="Courier New" w:hAnsi="Courier New"/>
          <w:sz w:val="14"/>
          <w:szCs w:val="14"/>
          <w:color w:val="auto"/>
        </w:rPr>
        <w:t>The USA Waste Board of Directors has also proposed that the USA Waste's Delaware Bylaws provide for a classified Board and to otherwise conform such Bylaws with the changes effected by the Board Classification Proposals.</w:t>
      </w:r>
    </w:p>
    <w:p>
      <w:pPr>
        <w:spacing w:after="0" w:line="15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Neither the Oklahoma Certificate of Incorporation nor the Delaware Certificate of Incorporation permits cumulative voting in the election of directors. Accordingly, the holders of a majority of the shares of USA Waste Common Stock can elect all of the directors being elected at any annual meeting of shareholders for the election of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FILLING VACANCIES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Classification Proposals also provide for the Bylaws of USA Delaware to (i) require the directors then in office to fill vacancies and newly created directorships; and (ii) have the appointed directors hold office until the next annual meeting of shareholders at which the term of the class to which they have been elected expires. In addition, the Bylaw provisions provide that no decrease in the number of directors shall shorten the term of an incumbent director.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Both Oklahoma and Delaware law currently provide that if, at the time of filling any vacancies or newly created directorships, the directors then in office constitute less than a majority of the whole Board of Directors, certain shareholders may apply to a court for an order to hold an election to fill such vacancies or newly-created directorships, or to replace the directors chosen by the directors then in office.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provisions of the Board Classification Proposals relating to the removal of directors (see "Removal of Directors" below) and the filling of vacancies are designed to protect the classified Board structure by precluding the holders of less than 66 2/3% of the shares of USA Waste's stock entitled to vote generally in the election of directors from removing incumbent directors and simultaneously gaining control of the Board of Directors by filling the vacancies created by removal with their own nominees. Moreover, the provision that newly created directorships are to be filled only by the Board of Directors would, except as otherwise provided by Oklahoma and Delaware law, prevent any person seeking majority representation on the Board of Directors from obtaining such representation simply by enlarging the Board of Directors and filling the new directorships created thereby with his own nominees.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Bylaws currently do not address the removal of directors. Both Oklahoma and Delaware law provide that, unless the Certificate of Incorporation provides otherwise, shareholders of a corporation with a classified board may effect the removal of a director only for cause. Although neither Oklahoma nor Delaware law defines "cause," malfeasance in office, gross misconduct or neglect, false or fraudulent misrepresentations inducing the director's appointment, willful conversion of corporate funds, a breach of the obligation to make full disclosure, incompetency, gross inefficiency, and moral turpitude generally have been held to constitute cause for removal. The Board Classification Proposals provide, in general, that any director or directors may be removed from office at any time, with or without cause, by the affirmative vote of either 66 2/3% or more of the Board of Directors or the holders of at least 66 2/3% of the outstanding shares entitled to vote generally in election of directors.</w:t>
      </w:r>
    </w:p>
    <w:p>
      <w:pPr>
        <w:spacing w:after="0" w:line="182"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provisions relating to the removal of directors and the filling of vacancies (see "Filling Vacancies" above) would preclude the holders of less than 66 2/3% of the shares of USA Waste's stock entitled to vote generally in the election of directors from removing incumbent directors and simultaneously gaining control of the Board of Directors by filling the vacancies created by removal with their own nominees.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ALTERATION OR REPEAL OF THESE PROVISIONS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Oklahoma and Delaware law, amendments to a certificate of incorporation require the approval of the holders of a majority of the shares of common stock and a majority of the outstanding shares of each class entitled to vote thereon as a class. Both Oklahoma and Delaware law also permit provisions in a certificate of incorporation that require a greater vote than the vote otherwise required by law for any corporate action. With</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91"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75</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respect to such super-majority provisions, both Oklahoma and Delaware law require that any amendment, alteration, or repeal thereof be approved by an equally large super-majority vote. As permitted by these provisions of both Oklahoma and Delaware law, the Board Classification Proposals would require the affirmative vote of the holders of at least 66 2/3% of the then outstanding shares of capital stock of USA Waste entitled to vote generally in the election of directors, voting together as a single class, to amend, alter, or repeal the these provisions. Accordingly, in the event that the Board Classification Proposals are adopted by less than a 66 2/3% vote, shareholders having the same percentage of voting power as those who voted in favor of its adoption will not have sufficient voting power to amend, alter, or repeal such amendments at a later date. The requirement of an increased shareholder vote may prevent a shareholder or shareholders controlling a majority of USA Waste's Common Stock from avoiding the requirements of these provisions simply by repealing them. Thus, the holders of 33 1/3% or more of the shares of stock entitled to vote could block their future repeal or modification even if such repeal or modification was deemed beneficial to the holders of more than a majority (although less than 66 2/3%) of such stock.</w:t>
      </w:r>
    </w:p>
    <w:p>
      <w:pPr>
        <w:spacing w:after="0" w:line="18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Effect of Shareholders Agreement. The filling of vacancies and the removal of directors may be affected by the Shareholders Agreement. In addition, the Shareholders Agreement will provide that any amendment to the Certificate of Incorporation or Bylaws of USA Waste must be approved by at least 66 2/3% of the Board of Directors. See "The Merger and Related Transactions -- Shareholders Agreement."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Recommendation of the Board of Directors. The Board Classification Proposals are being presented to shareholders for their approval as a single proposal and will either be adopted or rejected in their entirety based on the vote of shareholders. THE USA WASTE BOARD OF DIRECTORS RECOMMENDS A VOTE FOR THE DIRECTORSHIP AMENDMENTS.</w:t>
      </w:r>
    </w:p>
    <w:p>
      <w:pPr>
        <w:spacing w:after="0" w:line="177"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a majority of the outstanding shares of USA Waste Common Stock is required for approval of the Board Classification Proposals.</w:t>
      </w:r>
    </w:p>
    <w:p>
      <w:pPr>
        <w:spacing w:after="0" w:line="175"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AMENDMENT TO INCREASE THE NUMBER OF AUTHORIZED SHARES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authorized capital stock of USA Waste currently consists of 50,000,000 shares of Common Stock, par value $.01 per share, and 10,000,000 shares of Preferred Stock, par value $.01 per share. On the Record Date, 22,967,256 shares of USA Waste Common Stock were issued and outstanding, and 7,609,828 shares were reserved for issuance upon exercise of outstanding options, warrants, and convertible securities. As of the date of this Joint Proxy Statement and Prospectus, no shares of Preferred Stock have been issued or are outstanding. The Preferred Stock may be issued from time to time in one or more series, and each series will have such designations, rates of dividends, redemptions prices, liquidation payments, voting rights, sinking fund provisions, conversion or exchange rights, and other special rights as the Board of Directors of USA Waste may establish at the time of issuance.</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Merger will require the issuance of approximately 27.8 million shares of USA Waste Common Stock. In addition to the shares to be issued in connection with the Merger, the USA Waste Board of Directors believes that it is in the best interests of USA Waste to have additional shares of USA Waste Common Stock available for issuance at its discretion for future acquisitions, stock splits, stock dividends, equity financings, employee benefit plans, and other corporate purposes. Accordingly, the USA Waste Board of Directors has proposed an amendment to the Certificate of Incorporation of USA Waste to increase the number of shares of USA Waste Common Stock available for issuance from 50,000,000 to 150,000,000.</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the proposal is approved by the shareholders of USA Waste as described below, the additional shares of USA Waste Common Stock may be issued from time to time upon authorization of the Board of Directors, without further approval by the stockholders unless required by applicable law or NYSE rules, which generally require the approval of a majority of USA Waste's shareholders when USA Waste Common Stock is to be issued if such USA Waste Common Stock has voting power equal to or in excess of 20% of the voting power outstanding, and for such consideration as the USA Waste Board of Directors may determine and as may be permitted by applicable law. The availability of additional shares of USA Waste Common Stock for issuance will afford USA Waste greater flexibility in acting upon proposed transactions.</w:t>
      </w:r>
    </w:p>
    <w:p>
      <w:pPr>
        <w:sectPr>
          <w:pgSz w:w="11900" w:h="16838" w:orient="portrait"/>
          <w:cols w:equalWidth="0" w:num="1">
            <w:col w:w="10219"/>
          </w:cols>
          <w:pgMar w:left="240" w:top="291" w:right="1440" w:bottom="1440" w:gutter="0" w:footer="0" w:header="0"/>
        </w:sectPr>
      </w:pP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91" w:right="1440" w:bottom="144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76</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increase in authorized shares is not being proposed as a means of preventing or dissuading a change in control or takeover of USA Waste. However, use of these shares for such a purpose is possible. Shares of authorized but unissued or unreserved USA Waste Common Stock and Preferred Stock, for example, could be issued in an effort to dilute the stock ownership and voting power of persons seeking to obtain control of USA Waste or could be issued to purchasers who would support the Board of Directors in opposing a takeover proposal. In addition, the increase in authorized shares, if approved, may have the effect of discouraging a challenge for control or making it less likely that such a challenge, if attempted, would be successful.</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proposed amendment does not change the terms of the USA Waste Common Stock, which does not have preemptive rights. The additional shares of USA Waste Common Stock for which authorization is sought will have the same voting rights, the same rights to dividends and distribution and will be identical in all other respects to the shares of USA Waste Common Stock now authorized.</w:t>
      </w:r>
    </w:p>
    <w:p>
      <w:pPr>
        <w:spacing w:after="0" w:line="177" w:lineRule="exact"/>
        <w:rPr>
          <w:sz w:val="20"/>
          <w:szCs w:val="20"/>
          <w:color w:val="auto"/>
        </w:rPr>
      </w:pPr>
    </w:p>
    <w:p>
      <w:pPr>
        <w:jc w:val="both"/>
        <w:ind w:right="3019" w:firstLine="451"/>
        <w:spacing w:after="0" w:line="270" w:lineRule="auto"/>
        <w:rPr>
          <w:sz w:val="20"/>
          <w:szCs w:val="20"/>
          <w:color w:val="auto"/>
        </w:rPr>
      </w:pPr>
      <w:r>
        <w:rPr>
          <w:rFonts w:ascii="Courier New" w:cs="Courier New" w:eastAsia="Courier New" w:hAnsi="Courier New"/>
          <w:sz w:val="14"/>
          <w:szCs w:val="14"/>
          <w:color w:val="auto"/>
        </w:rPr>
        <w:t>Recommendation of the Board of Directors. THE USA WASTE BOARD OF DIRECTORS RECOMMENDS THAT USA WASTE'S SHAREHOLDERS VOTE FOR THE INCREASE OF THE AUTHORIZED SHARES OF USA WASTE COMMON STOCK FROM 50,000,000 SHARES TO 150,000,000 SHARES.</w:t>
      </w:r>
    </w:p>
    <w:p>
      <w:pPr>
        <w:spacing w:after="0" w:line="15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a majority of the outstanding shares of USA Waste Common Stock is required for approval of the proposed amendment to the Certificate of Incorporation.</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OF THE USA WASTE 1993 STOCK INCENTIVE PLAN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has for many years utilized stock incentives as part of its overall compensation program. The Board of Directors of USA Waste believes stock options and stock-based incentives play an important role in attracting and retaining the services of outstanding personnel and in encouraging such employees to have a greater personal financial investment in USA Waste.</w:t>
      </w:r>
    </w:p>
    <w:p>
      <w:pPr>
        <w:spacing w:after="0" w:line="177"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Since 1987, USA Waste has had a stock option plan. The USA Waste shareholders approved the 1993 Stock Incentive Plan (the "1993 Plan") at the 1993 annual meeting. See "Election of USA Waste Directors -- Executive Compensation -- Stock Incentive Plans."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1993 Plan permits the granting, either alone or in combination, of "nonqualified" stock options that do not qualify for beneficial treatment under the Code, incentive stock options under Section 422A of the Code, reload options, alternate appreciation rights, limited rights, and stock bonuses. Grants may be made to non-employee directors, officers, and other employees of USA Waste who are responsible for or contribute to the management, growth, success, and profitability of USA Waste and who are designated by the committee that administers the 1993 Plan. Messrs. Ball, Mosley, and Spellman are the current members of such committee.</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Stock options permit the recipient to purchase shares of USA Waste Common Stock at a fixed price, determined on the date of grant, regardless of the fair market value on the date of exercise. The holder of an alternative appreciation right is entitled to receive the excess of the fair market value on the date of exercise over the grant price of the right. Stock bonuses may provide the recipient all of the rights of a USA Waste shareholder, including the right to vote the shares and receive dividends; however the stock may not be transferred by the recipient until certain restrictions (as determined by the committee) lapse.</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of USA Waste desires to amend the 1993 Plan to increase the number of shares of USA Waste Common Stock authorized for granting of awards under the 1993 Plan from 1,000,000 to 4,000,000, which requires shareholder approval. As of March 31, 1995, options to acquire and stock bonuses covering approximately 698,000 shares of USA Waste Common Stock had been granted under the 1993 Plan and 302,000 shares remained available for future awards. At the time of the original approval of the 1993 Plan, USA Waste had approximately 10.6 million shares outstanding. USA Waste currently has approximately 23.0 million shares outstanding and if the Merger is approved, will have approximately 50.8 million shares outstanding. The Board of Directors of USA Waste believes this amendment is necessary to assure that an adequate number of shares of USA Waste Common Stock will be available for future award grants in order to</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91"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77</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provide appropriate incentives to employees of USA Waste (and current employees of Chambers upon consummation of the Merger).</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Recommendation of the Board of Directors. THE USA WASTE BOARD OF DIRECTORS RECOMMENDS THAT USA WASTE SHAREHOLDERS VOTE FOR THE INCREASE IN THE NUMBER OF SHARES OF USA WASTE COMMON STOCK THAT MAY BE ISSUED UNDER THE 1993 PLAN FROM 1,000,000 TO 4,000,000.</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the holders of a majority of the shares of USA Waste Common Stock present or represented by proxy and entitled to vote at the USA Waste Annual Meeting is required for approval of the proposed amendment to the 1993 Plan.</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RATIFICATION OF APPOINTMENT OF AUDITORS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firm of Coopers &amp; Lybrand L.L.P. was engaged in 1994 to audit USA Waste's financial statements. The Board of Directors of USA Waste proposes to continue the services of this firm as certified public accountants to audit USA Waste's financial statement for 1995. If the appointment of Coopers &amp; Lybrand L.L.P. is ratified by the shareholders, the firm will audit the financial statements of USA Waste and its subsidiaries for the current fiscal year and perform other appropriate accounting services as requested. Coopers &amp; Lybrand L.L.P. has advised USA Waste that no member of the firm has any financial interest, direct or indirect, in USA Waste or any of its subsidiaries in any capacity other than that of public accountants. Representatives of Coopers &amp; Lybrand L.L.P. will be present at the USA Waste Annual Meeting and available to answer appropriate questions from shareholders.</w:t>
      </w:r>
    </w:p>
    <w:p>
      <w:pPr>
        <w:spacing w:after="0" w:line="181"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Recommendation of the Board of Directors. THE USA WASTE BOARD OF DIRECTORS RECOMMENDS THAT USA WASTE SHAREHOLDERS VOTE FOR RATIFICATION OF THE APPOINTMENT OF COOPERS &amp; LYBRAND L.L.P. AS CERTIFIED PUBLIC ACCOUNTANTS TO AUDIT USA WASTE'S FINANCIAL STATEMENTS FOR FISCAL 1995.</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a majority of the outstanding shares of USA Waste Common Stock present or represented by proxy and entitled to vote at the USA Waste Annual Meeting is required for the ratification of the appointment of Coopers &amp; Lybrand L.L.P. as certified public accountants to audit USA Waste's financial statements for fiscal 1995.</w:t>
      </w:r>
    </w:p>
    <w:p>
      <w:pPr>
        <w:spacing w:after="0" w:line="17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THE PLAN OF MERGER AND TERMS OF 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OF 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Merger Agreement provides that the Merger will become effective at such time as shall be stated in a Certificate of Merger to be filed with the Secretary of State of Delaware. It is anticipated that if the Merger Agreement is approved at the USA Waste Annual Meeting and the Chambers Special Meeting and all other conditions to the Merger have been satisfied or waived, the Effective Time will occur within five business days after the date on which the last of the conditions to closing contained in the Merger Agreement is fulfilled or waived or at such other time as USA Waste and Chambers shall agree. See "-- Conditions to the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MANNER AND BASIS FOR CONVERTING SHARES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At the Effective Time, each outstanding share of Chambers Common Stock and Chambers Class A Common Stock will be converted into .41667 of a share of USA Waste Common Stock.</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Promptly after the Effective Time, USA Waste will cause The First National Bank of Boston, which will act as exchange agent (the "Exchange Agent"), to mail to each record holder of Chambers Common Stock and Chambers Class A Common Stock immediately prior to the Effective Time, a letter of transmittal and other information advising such holder of the consummation of the Merger and instructions for use in effecting the surrender of Chambers Common Stock and Chambers Class A Common Stock certificates in exchange for USA Waste Common Stock certificates and cash in lieu of fractional shares. Letters of transmittal will also be available following the Effective Time at the offices of the Exchange Agent. After the Effective Time, there will be no further registration of transfers on the stock transfer books of Chambers of shares of</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91"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78</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Chambers Common Stock and Chambers Class A Common Stock that were outstanding immediately prior to the Effective Time. SHARE CERTIFICATES SHOULD NOT BE SURRENDERED FOR EXCHANGE BY STOCKHOLDERS OF CHAMBERS PRIOR TO APPROVAL OF THE MERGER AND THE RECEIPT OF A LETTER OF TRANSMITTAL.</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 fractional shares of USA Waste Common Stock will be issued in the Merger. Each stockholder of Chambers otherwise entitled to a fractional share will receive an amount in cash equal to the value of such fractional share based upon the closing sale price of USA Waste Common Stock on the NYSE composite tape on the last trading day preceding the Effective Time. No interest will be paid on such amount, and all shares of Chambers Common Stock held by a record holder will be aggregated for purposes of computing the number of shares of USA Waste Common Stock to be issued in the Merger.</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Until such time as a holder of Chambers Common Stock or Chambers Class A Common Stock surrenders his outstanding stock certificate to the Exchange Agent, together with the letter of transmittal, the shares of Chambers Common Stock or Chambers Class A Common Stock represented thereby will be deemed from and after the Effective Time, for all corporate purposes, to evidence the ownership of the number of full shares of USA Waste Common Stock into which such shares shall have been converted. Unless and until such outstanding certificates are surrendered, no dividends payable to the holders of USA Waste Common Stock, as of any time on and after the Effective Time, will be paid to the holders of such outstanding certificates. Upon surrender of the certificates previously representing shares of Chambers Common Stock or Chambers Class A Common Stock, the holder thereof will receive certificates representing the whole number of shares of USA Waste Common Stock to which he or she is entitled, cash in lieu of fractional shares, and the amount of any dividends payable which theretofore became payable to holders of USA Waste Common Stock on or after the Effective Time with respect to such shares, without interest thereon.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OPTIONS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Merger Agreement provides that USA Waste and Chambers will take such actions as may be necessary to cause each unexpired and unexercised Chambers Option to be automatically converted at the Effective Time into an option to purchase a number of shares of USA Waste Common Stock equal to the number of Chambers Class A Common Stock that could have been purchased under the Chambers Option multiplied by the Exchange Ratio, at a price per share of USA Waste Common Stock equal to the option exercise price determined pursuant to the Chambers Option divided by the Exchange Ratio, and subject to the same terms and conditions as the Chambers Option. USA Waste will assume all of Chambers' obligations with respect to the Chambers Options as so amended and shall, from and after the Effective Time, make available for issuance upon exercise of any such options all shares of USA Waste Common Stock covered thereby and amend its Registration Statement on Form S-8 covering its 1993 Stock Incentive Plan, if necessary, to cover the additional shares of USA Waste Common Stock subject to such options granted in replacement of the Chambers Options.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respective obligations of USA Waste and Chambers to consummate the Merger are subject to the satisfaction of the following conditions: (a) the Merger Agreement and the Merger shall have been approved and adopted by the requisite vote of the shareholders of USA Waste and the stockholders of Chambers under applicable law and applicable listing requirements; (b) the USA Waste Common Stock issuable in the Merger shall have been authorized for listing on the NYSE subject to official notice of issuance; (c) the waiting period applicable to consummation of the Merger under the HSR Act shall have expired or been terminated; (d) the Registration Statement shall have become effective in accordance with the provisions of the Securities Act, and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injunction, order, or decree lifted); (f) no action shall have been taken, and no statute, rule, or regulation shall have been enacted, by any state or federal government or</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91" w:right="1440" w:bottom="1440" w:gutter="0" w:footer="0" w:header="0"/>
        </w:sectPr>
      </w:pPr>
    </w:p>
    <w:bookmarkStart w:id="79" w:name="page80"/>
    <w:bookmarkEnd w:id="79"/>
    <w:p>
      <w:pPr>
        <w:ind w:left="268"/>
        <w:spacing w:after="0"/>
        <w:rPr>
          <w:sz w:val="20"/>
          <w:szCs w:val="20"/>
          <w:color w:val="auto"/>
        </w:rPr>
      </w:pPr>
      <w:r>
        <w:rPr>
          <w:rFonts w:ascii="Courier New" w:cs="Courier New" w:eastAsia="Courier New" w:hAnsi="Courier New"/>
          <w:sz w:val="15"/>
          <w:szCs w:val="15"/>
          <w:color w:val="auto"/>
        </w:rPr>
        <w:t>79</w:t>
      </w:r>
    </w:p>
    <w:p>
      <w:pPr>
        <w:spacing w:after="0" w:line="178" w:lineRule="exact"/>
        <w:rPr>
          <w:sz w:val="20"/>
          <w:szCs w:val="20"/>
          <w:color w:val="auto"/>
        </w:rPr>
      </w:pPr>
    </w:p>
    <w:p>
      <w:pPr>
        <w:ind w:left="8" w:right="3019"/>
        <w:spacing w:after="0" w:line="264" w:lineRule="auto"/>
        <w:rPr>
          <w:sz w:val="20"/>
          <w:szCs w:val="20"/>
          <w:color w:val="auto"/>
        </w:rPr>
      </w:pPr>
      <w:r>
        <w:rPr>
          <w:rFonts w:ascii="Courier New" w:cs="Courier New" w:eastAsia="Courier New" w:hAnsi="Courier New"/>
          <w:sz w:val="14"/>
          <w:szCs w:val="14"/>
          <w:color w:val="auto"/>
        </w:rPr>
        <w:t>governmental agency in the United States which would prevent the consummation of the Merger or make the consummation of the Merger illegal; (g) all governmental waivers, consents, orders, and approvals legally required for the consummation of the Merger and the transactions contemplated hereby, and all consents from lenders required to consummate the Merger, shall have been obtained and be in effect at the Effective Time; and (h) Coopers &amp; Lybrand L.L.P., certified public accountants for USA Waste, shall have delivered a letter, dated the Closing Date (as hereinafter defined), in form and substance satisfactory to USA Waste and Chambers, stating that the Merger will qualify as a pooling of interests transaction under Accounting Principles Board Opinion No. 16.</w:t>
      </w:r>
    </w:p>
    <w:p>
      <w:pPr>
        <w:spacing w:after="0" w:line="163"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The obligation of Chambers to effect the Merger is further subject to the fulfillment of the following additional conditions: (a) USA Waste and Acquisition shall have performed in all material respects their agreements in the Merger Agreement required to be performed on or prior to the date on which the transactions contemplated by the Merger Agreement are consummated (the "Closing Date") and the representations and warranties of USA Waste and Acquisition contained in the Merger Agreement shall be true and correct in all material respects on and as of the date made and on and as of the Closing Date as if made at and as of such date, and Chambers shall have received a certificate of the Chairman of the Board and Chief Executive Officer, the President or a Vice President of USA Waste and of the President and Chief Executive Officer or a Vice President of Acquisition to that effect; (b) Chambers shall have received an opinion of its legal counsel, Thorp, Reed &amp; Armstrong, in form and substance reasonably satisfactory to Chambers, dated the Closing Date, to the effect that Chambers and the holders of Chambers Common Stock and Chambers Class A Common Stock (except to the extent any stockholders receive cash in lieu of fractional shares) will recognize no gain or loss for federal income tax purposes as a result of consummation of the Merger; (c) Chambers shall have received an opinion from Andrews &amp; Kurth L.L.P. and/or Snell</w:t>
      </w:r>
    </w:p>
    <w:p>
      <w:pPr>
        <w:spacing w:after="0" w:line="166" w:lineRule="exact"/>
        <w:rPr>
          <w:sz w:val="20"/>
          <w:szCs w:val="20"/>
          <w:color w:val="auto"/>
        </w:rPr>
      </w:pPr>
    </w:p>
    <w:p>
      <w:pPr>
        <w:ind w:left="8" w:right="3019" w:hanging="8"/>
        <w:spacing w:after="0" w:line="263" w:lineRule="auto"/>
        <w:tabs>
          <w:tab w:leader="none" w:pos="18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Smith, P.C., counsel to USA Waste and Acquisition, dated the Closing Date, reasonably satisfactory to Chambers and covering the due incorporation of USA Waste and Acquisition, the binding nature of the Merger Agreement, the effectiveness of the Merger, the validity of the USA Waste Common Stock to be issued in connection with the Merger and such other matters as may be reasonably requested by Chambers; (d) Chambers shall have received a letter from Coopers &amp; Lybrand L.L.P., certified public accountants for USA Waste and Acquisition, dated the date of this Joint Proxy Statement and Prospectus, the effective date of the Registration Statement, and the Closing Date (or such other date reasonably acceptable to Chambers) with respect to certain financial information included in the Registration Statement; (e) since November 28, 1994, (i) there shall have been no changes that constitute, and (ii) no event or events shall have occurred which have resulted in or constitute, a material adverse change in the business, operations, properties, assets, condition (financial or other), results of operations, or prospects of USA Waste and its subsidiaries, taken as a whole; (f)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any statute, rule, or regulation which, when taken together with all promulgations, would materially impair the value to USA Waste of the Merger; (g) Chambers shall have received from J.P. Morgan (or other nationally recognized investment banking firm reasonably acceptable to USA Waste) an opinion, dated as of the date on which this Joint Proxy Statement and Prospectus is first distributed to the stockholders of Chambers, to the effect that the consideration to be received by the stockholders of Chambers in the Merger is fair, from a financial point of view, to the holders of Chambers Common Stock and Chambers Class A Common Stock, and such opinion shall not have been withdrawn.</w:t>
      </w:r>
    </w:p>
    <w:p>
      <w:pPr>
        <w:spacing w:after="0" w:line="200" w:lineRule="exact"/>
        <w:rPr>
          <w:sz w:val="20"/>
          <w:szCs w:val="20"/>
          <w:color w:val="auto"/>
        </w:rPr>
      </w:pPr>
    </w:p>
    <w:p>
      <w:pPr>
        <w:spacing w:after="0" w:line="309"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The obligation of USA Waste to effect the Merger is further subject to the fulfillment of the following additional conditions: (a) Chambers shall have performed in all material respects its agreements in the Merger Agreement required to be performed on or prior to the Closing Date and the representations and warranties of Chambers contained in the Merger Agreement shall be true and correct in all material respects on and as of the date made and on and as of the Closing Date as if made at and as of such date, and USA Waste shall have received a certificate of the President and Chief Executive Officer or of a Vice President of Chambers to that effect; (b) USA Waste shall have received an opinion of its special counsel, Andrews &amp; Kurth L.L.P., in form and substance satisfactory to USA Waste, dated the Closing Date, to the effect that</w:t>
      </w:r>
    </w:p>
    <w:p>
      <w:pPr>
        <w:spacing w:after="0" w:line="16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27"/>
          </w:cols>
          <w:pgMar w:left="232" w:top="291" w:right="1440" w:bottom="1440" w:gutter="0" w:footer="0" w:header="0"/>
        </w:sectPr>
      </w:pPr>
    </w:p>
    <w:bookmarkStart w:id="80" w:name="page81"/>
    <w:bookmarkEnd w:id="80"/>
    <w:p>
      <w:pPr>
        <w:ind w:left="268"/>
        <w:spacing w:after="0"/>
        <w:rPr>
          <w:sz w:val="20"/>
          <w:szCs w:val="20"/>
          <w:color w:val="auto"/>
        </w:rPr>
      </w:pPr>
      <w:r>
        <w:rPr>
          <w:rFonts w:ascii="Courier New" w:cs="Courier New" w:eastAsia="Courier New" w:hAnsi="Courier New"/>
          <w:sz w:val="15"/>
          <w:szCs w:val="15"/>
          <w:color w:val="auto"/>
        </w:rPr>
        <w:t>80</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USA Waste and Acquisition will recognize no gain or loss for federal income tax purposes as a result of consummation of the Merger; (c) USA Waste shall have received an opinion from Sullivan &amp; Cromwell and/or Thorp, Reed &amp; Armstrong, special counsel to Chambers, dated the Closing Date, reasonably satisfactory to USA Waste and covering the due incorporation of Chambers, the binding nature of the Merger Agreement, the effectiveness of the Merger, and such other matters as may be reasonably requested by USA Waste; (d) USA Waste shall have received a letter from Deloitte &amp; Touche LLP, certified public accountants for Chambers, dated the date hereof, the effective date of the Registration Statement, and the Closing Date (or such other date reasonably acceptable to USA Waste) with respect to certain financial information included in the Registration Statement;</w:t>
      </w:r>
    </w:p>
    <w:p>
      <w:pPr>
        <w:spacing w:after="0" w:line="3" w:lineRule="exact"/>
        <w:rPr>
          <w:sz w:val="20"/>
          <w:szCs w:val="20"/>
          <w:color w:val="auto"/>
        </w:rPr>
      </w:pPr>
    </w:p>
    <w:p>
      <w:pPr>
        <w:ind w:left="8" w:right="3019" w:hanging="8"/>
        <w:spacing w:after="0" w:line="262" w:lineRule="auto"/>
        <w:tabs>
          <w:tab w:leader="none" w:pos="36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 Waste shall have received from each principal executive officer, each director, and each other person who is an "affiliate," as that term is defined in paragraphs (c) and (d) of Rule 145 under the Securities Act, of Chambers written agreements to the effect that such person will not offer to sell, sell, or otherwise dispose of any shares of USA Waste Common Stock issued in the Merger, except, in each case, pursuant to an effective registration statement or in compliance with Rule 145, or in a transaction which is exempt from the registration requirements of the Securities Act and, in any case, until after the results covering 30 days of post-Merger combined operations of USA Waste and Chambers have been filed with the Commission, sent to shareholders of USA Waste, or otherwise publicly issued; (f) since November 28, 1994, (i) there shall have been no changes that constitute, and (ii) no event or events shall have occurred which have resulted in or constitute, a material adverse change in the business, operations, properties, assets, condition (financial or other), results of operations, or prospects of Chambers and its subsidiaries, taken as a whole; (g)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and statute, rule, or regulation which, when taken together with all promulgations, would materially impair the value to USA Waste of the Merger; (h) certain shareholder litigation and proceedings involving Chambers shall have been fully and irrevocably settled, a final, nonappealable order shall have been entered and all claims, demands, and causes of action pertaining in any way to such litigation or proceedings shall have been fully and irrevocably released and discharged, all substantially upon the terms and conditions agreed upon by USA Waste and Chambers or otherwise upon terms and conditions satisfactory to USA Waste in its sole discretion; (i) the Commission shall have agreed to a consent order as to a certain investigation of Chambers and USA Waste shall have determined within 15 business days after being notified of the terms and conditions thereof that such consent decree is satisfactory to USA Waste in its sole discretion; and (j) USA Waste shall have received from DLJ (or other nationally recognized investment banking firm reasonably acceptable to USA Waste), an opinion reasonably acceptable to USA Waste, dated as of the date this Joint Proxy Statement and Prospectus is first distributed to the shareholders of USA Waste, to the effect that the Exchange Ratio is fair, from a financial point of view to USA Waste's holders of USA Waste Common Stock, and such opinion shall have not been withdrawn.</w:t>
      </w:r>
    </w:p>
    <w:p>
      <w:pPr>
        <w:spacing w:after="0" w:line="200" w:lineRule="exact"/>
        <w:rPr>
          <w:sz w:val="20"/>
          <w:szCs w:val="20"/>
          <w:color w:val="auto"/>
        </w:rPr>
      </w:pPr>
    </w:p>
    <w:p>
      <w:pPr>
        <w:spacing w:after="0" w:line="329"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Neither USA Waste nor Acquisition has any obligation to consummate the Merger if any condition to its obligation to consummate the Merger is not satisfied on or prior to the Closing Date of the Merger, and Chambers has no obligation to consummate the Merger if any condition to its obligation to consummate the Merger is not satisfied on or prior to the Closing Date of the Merger. However, termination of the Merger Agreement will not relieve either party from liability for any breach of the Merger Agreement. Any of the conditions to the obligations of USA Waste, Acquisition, or Chambers to consummate the Merger may be waived by the party that is, or whose shareholders are, entitled to the benefits thereof.</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REPRESENTATIONS AND WARRANTIES OF USA WASTE AND CHAMBERS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the Merger Agreement, USA Waste and Chambers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7"/>
          </w:cols>
          <w:pgMar w:left="232" w:top="291" w:right="1440" w:bottom="1440" w:gutter="0" w:footer="0" w:header="0"/>
        </w:sectPr>
      </w:pPr>
    </w:p>
    <w:bookmarkStart w:id="81" w:name="page82"/>
    <w:bookmarkEnd w:id="81"/>
    <w:p>
      <w:pPr>
        <w:ind w:left="268"/>
        <w:spacing w:after="0"/>
        <w:rPr>
          <w:sz w:val="20"/>
          <w:szCs w:val="20"/>
          <w:color w:val="auto"/>
        </w:rPr>
      </w:pPr>
      <w:r>
        <w:rPr>
          <w:rFonts w:ascii="Courier New" w:cs="Courier New" w:eastAsia="Courier New" w:hAnsi="Courier New"/>
          <w:sz w:val="15"/>
          <w:szCs w:val="15"/>
          <w:color w:val="auto"/>
        </w:rPr>
        <w:t>81</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CONDUCT OF THE BUSINESS OF USA WASTE AND CHAMBERS PRIOR TO THE MERGER</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Pursuant to the Merger Agreement, Chambers has agreed that, prior to the Effective Time, and except as otherwise agreed to in writing by USA Waste, it shall, and shall cause each of its subsidiaries to: (a) conduct their respective businesses in the ordinary and usual course of business and consistent with past practice; (b) not (i) amend or propose to amend their respective charter or bylaws, (ii) split, combine, or reclassify their outstanding capital stock, or</w:t>
      </w:r>
    </w:p>
    <w:p>
      <w:pPr>
        <w:spacing w:after="0" w:line="1" w:lineRule="exact"/>
        <w:rPr>
          <w:sz w:val="20"/>
          <w:szCs w:val="20"/>
          <w:color w:val="auto"/>
        </w:rPr>
      </w:pPr>
    </w:p>
    <w:p>
      <w:pPr>
        <w:ind w:left="8" w:right="3019" w:hanging="8"/>
        <w:spacing w:after="0" w:line="262" w:lineRule="auto"/>
        <w:tabs>
          <w:tab w:leader="none" w:pos="54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or distribution payable in cash, stock, property, or otherwise, except for the payment of dividends or distributions by a wholly owned subsidiary of Chambers; (c) not issue, sell, pledge, or dispose of, or agree to issue, sell, pledge, or dispose of, any additional shares of, or options, warrants, or rights of any kind to acquire any shares of their capital stock of any class or any debt or equity securities convertible into or exchangeable for such capital stock, except that Chambers may issue shares upon conversion of convertible securities and exercise of options outstanding on the date hereof; (d) not (i) incur or become contingently liable with respect to any indebtedness for borrowed money other than (A) borrowings in the ordinary course of business or (B) borrowings to refinance existing indebtedness, (ii) redeem, purchase, 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(iv) take or fail to take any action which action or failure to take action would cause Chambers or its stockholders (except to the extent that 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 (vii) 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 contemplated by the Merger Agreement; (f) confer on a regular and frequent basis with one or more representatives of USA Waste to report material operational matters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Chambers and its subsidiaries shall in no event enter into any written employment agreement which provides for an annual base salary in excess of $125,000 and has a term in excess of one year or enter into or amend any severance or termination arrangement;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 (i) maintain with financially responsible insurance companies insurance on their tangible assets and their businesses in such amounts and against such risks and losses as are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Pursuant to the Merger Agreement, USA Waste has agreed that, prior to the Effective Time, and except as otherwise agreed to in writing by Chambers, it shall, and shall cause each of its subsidiaries to: (a) conduct their respective businesses in the ordinary and usual course of business and consistent with past practice; (b) not (i) amend or propose to amend their respective charters or bylaws, (ii) split, combine, or reclassify (whether by stock dividend or otherwise) their outstanding capital stock, (iii) declare, set aside, or pay any dividend or distribution payable in cash, stock, property, or otherwise, except for the payment of dividends or distributions by a wholly owned subsidiary of USA Waste; (c) not issue, sell, pledge, or dispose of, or agree to issue, sell, pledge, or dispose of, any shares of USA Waste Common Stock, or any options, warrants, or rights of any kind to acquire any shares of their capital stock of any class or any debt or equity securities convertible into or exchangeable for such capital stock, except for the issuance and sale of shares issuable upon conversion of convertible securities and exercise of options outstanding on the date hereof; (d) not (i) incur or become contingently liable with respect to any indebtedness for borrowed money other than (A) borrowings in the ordinary course of business or (B) borrowings to refinance existing indebtedness, (ii) redeem, purchase,</w:t>
      </w:r>
    </w:p>
    <w:p>
      <w:pPr>
        <w:sectPr>
          <w:pgSz w:w="11900" w:h="16838" w:orient="portrait"/>
          <w:cols w:equalWidth="0" w:num="1">
            <w:col w:w="10227"/>
          </w:cols>
          <w:pgMar w:left="232" w:top="291" w:right="1440" w:bottom="1440" w:gutter="0" w:footer="0" w:header="0"/>
        </w:sectPr>
      </w:pPr>
    </w:p>
    <w:p>
      <w:pPr>
        <w:spacing w:after="0" w:line="18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7"/>
          </w:cols>
          <w:pgMar w:left="232" w:top="291" w:right="1440" w:bottom="1440" w:gutter="0" w:footer="0" w:header="0"/>
          <w:type w:val="continuous"/>
        </w:sectPr>
      </w:pPr>
    </w:p>
    <w:bookmarkStart w:id="82" w:name="page83"/>
    <w:bookmarkEnd w:id="82"/>
    <w:p>
      <w:pPr>
        <w:ind w:left="268"/>
        <w:spacing w:after="0"/>
        <w:rPr>
          <w:sz w:val="20"/>
          <w:szCs w:val="20"/>
          <w:color w:val="auto"/>
        </w:rPr>
      </w:pPr>
      <w:r>
        <w:rPr>
          <w:rFonts w:ascii="Courier New" w:cs="Courier New" w:eastAsia="Courier New" w:hAnsi="Courier New"/>
          <w:sz w:val="15"/>
          <w:szCs w:val="15"/>
          <w:color w:val="auto"/>
        </w:rPr>
        <w:t>82</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(iv) take or fail to take any action which action or failure to take action would cause USA Waste or its shareholders (except to the extent that any shareholders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w:t>
      </w:r>
    </w:p>
    <w:p>
      <w:pPr>
        <w:spacing w:after="0" w:line="6" w:lineRule="exact"/>
        <w:rPr>
          <w:sz w:val="20"/>
          <w:szCs w:val="20"/>
          <w:color w:val="auto"/>
        </w:rPr>
      </w:pPr>
    </w:p>
    <w:p>
      <w:pPr>
        <w:ind w:left="8" w:right="3019" w:hanging="8"/>
        <w:spacing w:after="0" w:line="244" w:lineRule="auto"/>
        <w:tabs>
          <w:tab w:leader="none" w:pos="45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pledge, dispose of or encumber any assets or businesses other than sales in the ordinary course of business, or (vii) 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the Merger Agreement; (f) confer on a regular and frequent basis with one or more representatives of Chambers to report material operational matters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USA Waste and its subsidiaries shall in no event enter into in excess of $125,000 and has a term in excess of one year or enter into or amend any severance or termination arrangement;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 (i) maintain with financially responsible insurance companies insurance on their tangible assets and their businesses in such amounts and against such risks and losses as are consistent with past practice.</w:t>
      </w:r>
    </w:p>
    <w:p>
      <w:pPr>
        <w:spacing w:after="0" w:line="18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 SOLICITATION OF ACQUISITION TRANSACTIONS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Merger Agreement further provides that neither Chambers nor USA Waste shall, and shall not permit any of its subsidiaries to, initiate, solicit, negotiate, encourage, or provide confidential information to facilitate, and each of Chambers and USA Waste shall, and shall cause each of its subsidiaries to, (i) cause any officer, director, or employee of, or any attorney, accountant, or other agent retained by it and (ii) use its reasonable best efforts to cause any financial adviser or investment banker retained by it, not to initiate, solicit, negotiate, encourage, or provide non-public or confidential information to facilitate, any proposal or offer to acquire all or any substantial part of the business and properties of Chambers or USA Waste, or any capital stock of Chambers or USA Waste, whether by merger, purchase of assets, tender offer, or otherwise, whether for cash, securities, or any other consideration or combination thereof ("Acquisition Transactions"); provided, however, that either Chambers or USA Waste may, in response to an unsolicited written proposal with respect to an Acquisition Transaction, which proposal (insofar as it relates to the consideration to be paid to Chambers and its stockholders) is not subject to a financing condition, furnish (subject to a confidentiality agreement reasonably acceptable to USA Waste and Chambers) confidential or non-public information concerning its business, properties, or assets to a financially capable corporation, partnership, person, or other entity or group (a "Potential Acquiror") if (i) it shall have given not less than five business days advance written notice of its intention to do so to the other party, (ii) its board of directors is advised by one or more of its independent financial advisors that providing confidential or non-public information to the Potential Acquiror is likely to lead to an Acquisition Transaction on terms that would yield a materially higher value to its stockholders than the Merger, and (iii) based upon advice of its independent legal counsel, its Board of Directors determines in good faith that there is a significant risk that the failure to provide such confidential or non-public information would constitute a breach of its fiduciary duty to its stockholders. In the event either Chambers or USA Waste shall determine to provide information or negotiate as described above, or shall receive any offer of the type referred to above, it shall promptly inform the other party that information is to be provided, that negotiations are to take place, or that an offer has been received and shall furnish to the other party the identity of the person receiving such information or the proponent of the offer, if applicable, and, if an offer has been received, a description of the material terms thereof. Chambers or USA Waste may enter</w:t>
      </w:r>
    </w:p>
    <w:p>
      <w:pPr>
        <w:sectPr>
          <w:pgSz w:w="11900" w:h="16838" w:orient="portrait"/>
          <w:cols w:equalWidth="0" w:num="1">
            <w:col w:w="10227"/>
          </w:cols>
          <w:pgMar w:left="232" w:top="291" w:right="1440" w:bottom="1440" w:gutter="0" w:footer="0" w:header="0"/>
        </w:sectPr>
      </w:pPr>
    </w:p>
    <w:p>
      <w:pPr>
        <w:spacing w:after="0" w:line="19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7"/>
          </w:cols>
          <w:pgMar w:left="232" w:top="291" w:right="1440" w:bottom="1440" w:gutter="0" w:footer="0" w:header="0"/>
          <w:type w:val="continuous"/>
        </w:sectPr>
      </w:pPr>
    </w:p>
    <w:bookmarkStart w:id="83" w:name="page84"/>
    <w:bookmarkEnd w:id="83"/>
    <w:p>
      <w:pPr>
        <w:ind w:left="268"/>
        <w:spacing w:after="0"/>
        <w:rPr>
          <w:sz w:val="20"/>
          <w:szCs w:val="20"/>
          <w:color w:val="auto"/>
        </w:rPr>
      </w:pPr>
      <w:r>
        <w:rPr>
          <w:rFonts w:ascii="Courier New" w:cs="Courier New" w:eastAsia="Courier New" w:hAnsi="Courier New"/>
          <w:sz w:val="15"/>
          <w:szCs w:val="15"/>
          <w:color w:val="auto"/>
        </w:rPr>
        <w:t>83</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into a definitive agreement for an Acquisition Transaction which meets the requirements above with a Potential Acquiror with which it is permitted to negotiate pursuant to the Merger Agreement, but only if (i) its Board of Directors shall have duly determined that such Acquisition Transaction would yield a materially higher value to its stockholders than the Merger and that execution of such definitive agreement is in the best interests of its stockholders, (ii) at least ten business days prior to the execution of such definitive agreement, it shall have furnished the other party with a copy of such definitive agreement, and (iii) the other party shall have failed within such ten-day period to offer to amend the terms of the Merger Agreement in order that the Merger would yield a value to such party's stockholders at least equal to the Acquisition Transaction. In making the determination required by clause</w:t>
      </w:r>
    </w:p>
    <w:p>
      <w:pPr>
        <w:spacing w:after="0" w:line="3" w:lineRule="exact"/>
        <w:rPr>
          <w:sz w:val="20"/>
          <w:szCs w:val="20"/>
          <w:color w:val="auto"/>
        </w:rPr>
      </w:pPr>
    </w:p>
    <w:p>
      <w:pPr>
        <w:ind w:left="8" w:right="3019" w:hanging="8"/>
        <w:spacing w:after="0" w:line="244" w:lineRule="auto"/>
        <w:tabs>
          <w:tab w:leader="none" w:pos="36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foregoing sentence, the Board of Directors referred to therein shall consider all relevant considerations, the extent to which the economic benefits of the Acquisition Transaction differ from the economic benefits contemplated by the Merger Agreement, the likelihood the Potential Acquiror will be able to obtain financing to consummate the Acquisition Transaction, the proposed closing date, the certainty of consummation, antitrust issues, and closing conditions. USA Waste and Chambers have agreed that the foregoing agreements shall be specifically enforceable and that specific enforcement and injunctive relief shall be a remedy properly available to the other party for a breach of such agreements.</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CONDUCT OF THE BUSINESS OF THE COMBINED COMPANIES FOLLOWING THE MERGER</w:t>
      </w:r>
    </w:p>
    <w:p>
      <w:pPr>
        <w:spacing w:after="0" w:line="178"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Following the Merger, Chambers will be a wholly owned subsidiary of USA Waste. Pursuant to the Merger Agreement, the Certificate of Incorporation and the Bylaws of Acquisition, as in effect immediately prior to the Effective Time, will be the Certificate of Incorporation and Bylaws of the surviving corporation until amended as provided therein and under the Delaware General Corporation Law. Except as otherwise agreed to by Chambers and USA Waste, the officers of the surviving corporation immediately following the Effective Time shall be the officers of Chambers in office immediately prior to the Effective Time.</w:t>
      </w:r>
    </w:p>
    <w:p>
      <w:pPr>
        <w:spacing w:after="0" w:line="165"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At the Effective Time of the Merger, USA Waste, Donald F. Moorehead, Jr. and John E. Drury will enter into the Shareholders Agreement with the Rangos Shareholders that will provide certain rights to the Rangos Shareholders to name or participate in the naming of members to the Board of Directors of USA Waste, to name certain members of the Executive Committee of the Board of Directors of USA Waste, and to require certain matters to be approved by a two-thirds vote of the Board of Directors. Pursuant to the Shareholders Agreement, USA Waste and Messrs. Moorehead and Drury will be obligated after the Effective Time, to use their best efforts to cause John G. Rangos, Sr. and Alexander W. Rangos to be appointed as directors of USA Waste. In addition, during the term of the Shareholders Agreement, USA Waste, Messrs. Moorehead and Drury, and the Rangos Shareholders will use their best efforts to cause the Board of Directors to include at all times (in addition to the two directors designated by the Rangos Shareholders) four persons who are approved by at least four members of the Executive Committee of the Board of Directors and none of whom is an officer or employee of USA Waste or Chambers. The Shareholders Agreement will also provide that USA Waste and Messrs. Moorehead and Drury will use their best efforts to establish and maintain an Executive Committee of the Board of Directors consisting of five directors and to cause the Executive Committee to include the two directors designated by the Rangos Shareholders. The Shareholders Agreement will remain in effect until the aggregate number of shares of USA Waste Common Stock beneficially held by the Rangos Shareholders and their affiliates is less than 5% of the outstanding shares of USA Waste Common Stock.</w:t>
      </w:r>
    </w:p>
    <w:p>
      <w:pPr>
        <w:spacing w:after="0" w:line="338"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The Shareholders Agreement will also provide that certain actions taken by USA Waste must be approved by a two-thirds majority of the Board of Directors including future mergers of USA Waste, the transfer of all or substantially all of the assets of USA Waste, the issuance of any shares of, or rights to acquire shares of, the capital stock of USA Waste, any acquisition transaction involving consideration of more than $5,000,000, any disposition transaction involving assets having a value of more than $1,000,000, any amendment to the Certificate of Incorporation, incurrence of debt in excess of $5,000,000, a lease of real or personal property involving annual payments of more than $1,000,000, and the approval or modification of annual operating and capital budgets of USA Waste.</w:t>
      </w:r>
    </w:p>
    <w:p>
      <w:pPr>
        <w:spacing w:after="0" w:line="16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7"/>
          </w:cols>
          <w:pgMar w:left="232" w:top="291"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consummation of the Merger, John E. Drury will be Chairman of the Board of USA Waste, Donald F. Moorehead, Jr. and John G. Rangos, Sr. will become Vice Chairmen, and Alexander W. Rangos will become Executive Vice President for Landfill Development. The other executive officers of USA Waste will remain the same as prior to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OR AMENDMENT</w:t>
      </w:r>
    </w:p>
    <w:p>
      <w:pPr>
        <w:spacing w:after="0" w:line="178"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The Merger Agreement may be terminated at any time prior to the Closing Date, whether before or after approval by the shareholders of USA Waste and the stockholders of Chambers, as follows: (a) by the mutual consent of USA Waste and Chambers, (b) by either USA Waste or Chambers if(i) the Merger is not completed by July 31, 1995, otherwise than on account of delay on the part of the Terminating Party or any of its 5% stockholders or any of their affiliates or associates, (ii) if the Merger is enjoined by a final unappealable court order not entered at the request of either party or any of its 5% stockholders or any of their affiliates or associates; (iii) if (x) the Terminating Party receives an offer from any third party (excluding any affiliate of the Terminating Party or any group of which any affiliate of the party is a member) with respect to a merger, sale of substantial assets or other business combination involving the Terminating Party, (y) the Board of Directors of the Terminating Party determines, in good faith and after consultation with an independent financial advisor, that such offer would yield a materially higher value to such party or its stockholders than the Merger, and (z) the other party fails, within ten business days after it is notified of such determination and of the terms and conditions of such offer, to make an offer which is substantially equivalent to, or more favorable than, such offer, (iv) if (x) a tender/exchange offer is commenced by a third party (excluding any affiliate of the Terminating Party or any group of which any affiliate of the Terminating Party is a member) for all outstanding shares of the Terminating Party, (y) the Board of Directors of the Terminating Party determines, in good faith and after consultation with an independent financial advisor, that such offer would yield a materially higher value for such party or its stockholders than the Merger, and (z) the other party fails, within 10 business days after it is notified of such determination,to make an offer which is substantially equivalent to, or more favorable than, such tender/exchange offer, or (v) if the party other than the Terminating Party (x) fails to perform in any material respect any material covenant in the Merger Agreement and (y) does not cure such default in all material respects within 30 days after written notice of such default is given by the Terminating Party. However, termination of the Merger Agreement will not relieve either party from liability for any breach of the Merger Agreement.</w:t>
      </w:r>
    </w:p>
    <w:p>
      <w:pPr>
        <w:spacing w:after="0" w:line="35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Merger Agreement may only be amended by action taken by the respective Boards of Directors of the parties or duly authorized committees thereof and then only by an instrument in writing signed on behalf of each party and in compliance with applicable law. Such amendment may occur at any time, including after approval of the Merger Agreement by the shareholders of USA Waste and the stockholders of Chambers at the Meetings.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w:t>
      </w:r>
    </w:p>
    <w:p>
      <w:pPr>
        <w:spacing w:after="0" w:line="178"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Chambers and USA Waste have each agreed to pay a termination fee to the other party should certain of the termination rights described in</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 Termination or Amendment" above be exercised under certain circumstances. Chambers has agreed to pay USA Waste a fee of $28,000,000, plus the reasonable out-of-pocket expenses incurred by USA Waste in connection with the Merger Agreement and the transactions contemplated thereby, if (a) Chambers terminates the Merger Agreement as described in clauses (b)(iii) or (b)(iv) of</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 Termination or Amendment" above, or (b) USA Waste terminates the Merger Agreement as described in clause (b)(iv) of "-- Termination or Amendment" above, and, prior to one year after such Termination, one or more of the following events occurs: (i) Chambers is acquired by merger or otherwise by another person under terms which provide for Chambers and/or its stockholders to receive consideration having a fair value on the date of the first public announcement of such merger or other acquisition transaction equal to or greater than that provided for under the terms of the Merger Agreement; (ii) Chambers enters into a merger or other agreement which contemplates the acquisition of Chambers by another person under terms which provide for Chambers and/or its stockholders to receive consideration having a fair value on the date of the first public announcement of such merger or other agreement equal to or greater than that provided for</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91"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under the terms of the Merger Agreement; (iii) another person acquires or becomes the beneficial owner of more than 50% of the outstanding shares of Chambers Common Stock and Chambers Class A Common Stock for consideration having a fair value on the date of such acquisition greater than that provided for under the terms of the Merger Agreement; (iv) another person acquires all or any substantial portion of Chambers' assets under terms which provide for Chambers and/or its stockholders to receive consideration having a fair value on the date of the first public announcement of such acquisition transaction equal to or greater than that provided for under the terms of the Merger Agreement; or (v) Chambers adopts a plan of liquidation relating to all or a substantial portion of its assets or declares a distribution to its stockholders of all or a substantial portion of its assets and in connection therewith the stockholders receive consideration having a fair value on the date of the first public announcement of such plan of liquidation or dividend declaration equal to or greater than that provided for under the terms of the Merger Agreement. USA Waste has agreed to pay Chambers a fee of $21,000,000, plus the reasonable out-of-pocket expenses incurred by Chambers in connection with the Merger Agreement and the transactions contemplated thereby, if USA Waste terminates the Merger Agreement as described in clauses (b)(iii) or (b)(iv) of "-- Termination or Amendment" above.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Merger Agreement provides that, except as described in "-- Termination Fees" above, all costs and expenses incurred in connection with the Merger Agreement and the Transactions contemplated thereby shall be paid by the party incurring such expenses, except that those expenses incurred in connection with printing this Joint Proxy Statement and Prospectus shall be shared equally by USA Waste and Chambers.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Merger Agreement provides for the indemnification, to the fullest extent permitted under applicable law, of the present and former directors, officers, employees, and agents of Chambers or any of its subsidiaries against any costs or expenses (including attorneys fees), judgments, fines, losses, claims, damages, liabilities, and amounts paid in settlement in connection with any claim, action, suit, proceeding, investigation, whether civil or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Chambers) or arising out of or pertaining to the transactions contemplated by the Merger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ARRANGEMENTS WITH CERTAIN INDIVIDUALS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Merger Agreement, Alexander W. Rangos, President and Chief Operating Officer of Chambers will become a director and Executive Vice President for Landfill Development of USA Waste following the Merger. USA Waste has agreed to enter into an employment agreement with Mr. Rangos for a five-year term at a base salary of $275,000 per year. In addition, at the Effective Time, USA Waste will enter into a Consulting and Non-Compete Agreement with each of John G. Rangos, Sr. and John G. Rangos, Jr. providing for annual compensation of $450,000 and $250,000, respectively, and terms of five years each. See "The Merger and Related Transactions -- Conflicts of Interest."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91" w:right="1440" w:bottom="1440" w:gutter="0" w:footer="0" w:header="0"/>
        </w:sectPr>
      </w:pPr>
    </w:p>
    <w:bookmarkStart w:id="86" w:name="page87"/>
    <w:bookmarkEnd w:id="86"/>
    <w:p>
      <w:pPr>
        <w:ind w:left="268"/>
        <w:spacing w:after="0"/>
        <w:rPr>
          <w:sz w:val="20"/>
          <w:szCs w:val="20"/>
          <w:color w:val="auto"/>
        </w:rPr>
      </w:pPr>
      <w:r>
        <w:rPr>
          <w:rFonts w:ascii="Courier New" w:cs="Courier New" w:eastAsia="Courier New" w:hAnsi="Courier New"/>
          <w:sz w:val="15"/>
          <w:szCs w:val="15"/>
          <w:color w:val="auto"/>
        </w:rPr>
        <w:t>86</w:t>
      </w:r>
    </w:p>
    <w:p>
      <w:pPr>
        <w:spacing w:after="0" w:line="177"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COMPARATIVE RIGHTS OF STOCKHOLDERS OF USA WASTE AND CHAMBERS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rights of holders of Chambers Common Stock and Chambers Class A Common Stock are currently governed by Delaware law, Chambers' Certificate of Incorporation, and Chambers' Bylaws. If the Reincorporation is approved and becomes effective, the rights of USA Waste's shareholders after the Merger (including those persons who were stockholders in Chambers prior to the Merger) will be governed by Delaware law, and the Certificate of Incorporation and Bylaws of USA Delaware. If the Reincorporation Merger is not approved or is abandoned, the rights of USA Waste's shareholders after the Merger (including those persons who were stockholders in Chambers prior to the Merger) will be governed by Oklahoma law, and USA Waste's Certificate of Incorporation and USA Waste's Bylaws, as amended.</w:t>
      </w:r>
    </w:p>
    <w:p>
      <w:pPr>
        <w:spacing w:after="0" w:line="354"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Oklahoma General Corporation Act (the "OGCA") is modeled after and based on the DGCL and is generally amended from time to time to conform to amendments made in the DGCL. Accordingly, the general corporate law applicable to holders of Chambers Common Stock and Chambers Class A Common Stock and USA Waste Common Stock is similar. See "The Reincorporation." The OGCA and the DGCL contain similar provisions with respect to (i) amendments to the Certificates of Incorporation and Bylaws of USA Waste and Chambers, (ii) mergers, exchanges, consolidations, and dissolutions, (iii) the disposition of assets, (iv) newly created directorships, (v) the removal of directors, (vi) the power to call special meetings of shareholders, (vii) shareholders' action without a meeting,</w:t>
      </w:r>
    </w:p>
    <w:p>
      <w:pPr>
        <w:spacing w:after="0" w:line="6" w:lineRule="exact"/>
        <w:rPr>
          <w:sz w:val="20"/>
          <w:szCs w:val="20"/>
          <w:color w:val="auto"/>
        </w:rPr>
      </w:pPr>
    </w:p>
    <w:p>
      <w:pPr>
        <w:ind w:left="8" w:right="3199" w:hanging="8"/>
        <w:spacing w:after="0" w:line="244" w:lineRule="auto"/>
        <w:tabs>
          <w:tab w:leader="none" w:pos="63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of dividends, and (ix) dissenters' rights. Neither the Certificates of Incorporation nor Bylaws of Chambers and USA Waste contain any special provisions pertaining to business combinations.</w:t>
      </w:r>
    </w:p>
    <w:p>
      <w:pPr>
        <w:spacing w:after="0" w:line="349"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Certificates of Incorporation and Bylaws of USA Waste and Chambers do not contain any substantial differences with respect to shareholders meetings, boards of directors, or officers except that the Chambers Certificate of Incorporation provides for a classified board of directors. If the Board Classification Proposals are approved, the USA Waste Certificate of Incorporation will be amended to provide for a classified board of directors substantially similar to the classified board provided in the Chambers Certificate of Incorporation. The Chambers Certificate of Incorporation provides for two classes of Common Stock, the Chambers Common Stock and Chambers Class A Common Stock, with different voting rights and dividend preferences. The USA Waste Certificate of Incorporation and the USA Delaware Certificate of Incorporation provide for one class of common stock. As a result of the Merger, holders of Chambers Class A Common Stock will lose their preferential dividend rights and the exclusive rights to elect one-fourth of the number (or the next higher whole number) of directors while participating in the election of the remaining directors; holders of Chambers Common Stock will lose their preferential voting rights.</w:t>
      </w:r>
    </w:p>
    <w:p>
      <w:pPr>
        <w:spacing w:after="0" w:line="184"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Moreover, although the Certificates of Incorporation of USA Waste and Chambers do not contain any provision concerning shareholders' written consent in lieu of a shareholder meeting, the effect of the absence of such a provision on each company is different because of dissimilarities in the DGCL and the OGCA. Thus, with respect to USA Waste, any action required or permitted to be taken by its shareholders may be taken by shareholders' written consents without a meeting, without prior notice and without a vote only if such consent is unanimous; with respect to Chambers, such consent must only be signed by the same minimum number of stockholders necessary to authorize such action at a stockholder meeting at which all shares entitled to vote thereon were present and voted. If the Merger is consummated and the Reincorporation is not approved, any written consent in lieu of a meeting must be unanimous.</w:t>
      </w:r>
    </w:p>
    <w:p>
      <w:pPr>
        <w:spacing w:after="0" w:line="18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This summary is not intended to be relied upon as an exclusive list of material rights of shareholders of USA Waste and stockholders of Chambers or a detailed description and analysis of the provisions discussed and is qualified in its entirety by the DGCL and the OGCA, and the Certificates of Incorporation and Bylaws of USA Waste, USA Delaware and Chambers. See "The Reincorporation" and "Classification of the USA Waste Board and Related Matters."</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27"/>
          </w:cols>
          <w:pgMar w:left="232" w:top="291"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AND CHAMBERS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COMBINED HISTORICAL UNAUDITED PRO FORMA CONDENSED FINANCIAL STATEMENTS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combined historical unaudited pro forma condensed financial statements are based upon the historical consolidated financial statements of USA Waste and Chambers included elsewhere in this Joint Proxy Statement and Prospectus and should be read in conjunction with those consolidated financial statements and related notes. These combined historical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historical unaudited pro forma condensed financial statements give effect to the Merger by combining the results of operations of USA Waste and Chambers using the "pooling of interests" method of accounting as if the companies had been combined since their inception.</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91"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88</w:t>
      </w:r>
    </w:p>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USA WASTE AND CHAMBERS</w:t>
      </w:r>
    </w:p>
    <w:p>
      <w:pPr>
        <w:spacing w:after="0" w:line="200" w:lineRule="exact"/>
        <w:rPr>
          <w:sz w:val="20"/>
          <w:szCs w:val="20"/>
          <w:color w:val="auto"/>
        </w:rPr>
      </w:pPr>
    </w:p>
    <w:p>
      <w:pPr>
        <w:spacing w:after="0" w:line="32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COMBINED HISTORICAL UNAUDITED PRO FORMA CONDENSED BALANCE SHEET</w:t>
      </w:r>
    </w:p>
    <w:p>
      <w:pPr>
        <w:spacing w:after="0" w:line="35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MARCH 31, 1995</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combined historical unaudited pro forma condensed balance sheet presents the combined financial position of USA Waste and Chambers as of March 31, 1995. Such combined unaudited pro forma information is based upon information derived from the historical balance sheets of USA Waste and Chambers as of that date,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USA WASTE</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CHAMBERS</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ADJUSTMENTS</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HISTORICAL</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6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7,620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$ 16,432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24,052</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20,481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26,206</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46,687</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assets held for sale.....................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9,432</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9,432</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Notes and other receivables..................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11,794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978</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12,772</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Prepaid expenses and other...................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2,869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20,182</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23,051</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42,764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73,230</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115,994</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Notes and other receivables....................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2,711</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Property and equipment,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181,707</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355,463</w:t>
            </w:r>
          </w:p>
        </w:tc>
        <w:tc>
          <w:tcPr>
            <w:tcW w:w="260" w:type="dxa"/>
            <w:vAlign w:val="bottom"/>
          </w:tcPr>
          <w:p>
            <w:pPr>
              <w:spacing w:after="0"/>
              <w:rPr>
                <w:sz w:val="15"/>
                <w:szCs w:val="15"/>
                <w:color w:val="auto"/>
              </w:rPr>
            </w:pP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(13,121)(a,e)</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524,049</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businesses,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74,363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5,814</w:t>
            </w:r>
          </w:p>
        </w:tc>
        <w:tc>
          <w:tcPr>
            <w:tcW w:w="260" w:type="dxa"/>
            <w:vAlign w:val="bottom"/>
          </w:tcPr>
          <w:p>
            <w:pPr>
              <w:spacing w:after="0"/>
              <w:rPr>
                <w:sz w:val="15"/>
                <w:szCs w:val="15"/>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(10,075)(e)</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70,102</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intangible assets,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13,798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9,558</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23,356</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Funds held for escrow requirements and</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construction.................................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22,726</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22,726</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23,070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9,383</w:t>
            </w:r>
          </w:p>
        </w:tc>
        <w:tc>
          <w:tcPr>
            <w:tcW w:w="260" w:type="dxa"/>
            <w:vAlign w:val="bottom"/>
          </w:tcPr>
          <w:p>
            <w:pPr>
              <w:spacing w:after="0"/>
              <w:rPr>
                <w:sz w:val="15"/>
                <w:szCs w:val="15"/>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(4,300)(a)</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28,153</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$338,224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$476,363</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(27,496)</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$ 787,091</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$ 11,249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7,237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18,486</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33,737</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42,467</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revenues............................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4,343</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6,351</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portion of long-term debt............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36,874</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38,609</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23,722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82,191</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105,913</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Revolving credit facility......................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115,000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115,000</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Convertible subordinated debentures............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49,000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49,000</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long-term debt...........................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3,715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210,799</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214,514</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Accrued shareholder litigation settlement......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75,300</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75,300</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Closure, post-closure and other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17,149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49,410</w:t>
            </w:r>
          </w:p>
        </w:tc>
        <w:tc>
          <w:tcPr>
            <w:tcW w:w="260" w:type="dxa"/>
            <w:vAlign w:val="bottom"/>
          </w:tcPr>
          <w:p>
            <w:pPr>
              <w:spacing w:after="0"/>
              <w:rPr>
                <w:sz w:val="15"/>
                <w:szCs w:val="15"/>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(4,300)(a)</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62,259</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16,292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(16,292)(e)</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224,878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417,700</w:t>
            </w:r>
          </w:p>
        </w:tc>
        <w:tc>
          <w:tcPr>
            <w:tcW w:w="26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(20,592)</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621,986</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Commitments and contingencies..................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Preferred stock..............................</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33,580</w:t>
            </w:r>
          </w:p>
        </w:tc>
        <w:tc>
          <w:tcPr>
            <w:tcW w:w="260" w:type="dxa"/>
            <w:vAlign w:val="bottom"/>
          </w:tcPr>
          <w:p>
            <w:pPr>
              <w:spacing w:after="0"/>
              <w:rPr>
                <w:sz w:val="15"/>
                <w:szCs w:val="15"/>
                <w:color w:val="auto"/>
              </w:rPr>
            </w:pP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(33,302)(c)</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96,329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395,121</w:t>
            </w:r>
          </w:p>
        </w:tc>
        <w:tc>
          <w:tcPr>
            <w:tcW w:w="26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29,152(c)</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520,602</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Retained earnings (deficit)..................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18,750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(365,888)</w:t>
            </w:r>
          </w:p>
        </w:tc>
        <w:tc>
          <w:tcPr>
            <w:tcW w:w="260" w:type="dxa"/>
            <w:vAlign w:val="bottom"/>
          </w:tcPr>
          <w:p>
            <w:pPr>
              <w:spacing w:after="0"/>
              <w:rPr>
                <w:sz w:val="15"/>
                <w:szCs w:val="15"/>
                <w:color w:val="auto"/>
              </w:rPr>
            </w:pP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(6,904)(a,e)</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(354,042)</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treasury stock, at cost.................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(1,961)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(4,150)</w:t>
            </w:r>
          </w:p>
        </w:tc>
        <w:tc>
          <w:tcPr>
            <w:tcW w:w="26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4,150(c)</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(1,961)</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stockholders' equity...........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113,346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58,663</w:t>
            </w:r>
          </w:p>
        </w:tc>
        <w:tc>
          <w:tcPr>
            <w:tcW w:w="26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(6,904)</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165,105</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36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 liabilities and stockholders'</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equity.............................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$338,224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$476,363</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(27,496)</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$ 787,091</w:t>
            </w:r>
          </w:p>
        </w:tc>
      </w:tr>
      <w:tr>
        <w:trPr>
          <w:trHeight w:val="173"/>
        </w:trPr>
        <w:tc>
          <w:tcPr>
            <w:tcW w:w="4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notes to combined historical unaudited pro forma condensed financial</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19"/>
          </w:cols>
          <w:pgMar w:left="240" w:top="291" w:right="1440" w:bottom="35" w:gutter="0" w:footer="0" w:header="0"/>
        </w:sect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91" w:right="1440" w:bottom="35" w:gutter="0" w:footer="0" w:header="0"/>
          <w:type w:val="continuous"/>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AND CHAMBERS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COMBINED HISTORICAL UNAUDITED PRO FORMA CONDENSED BALANCE SHEET</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DECEMBER 31, 1994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combined historical unaudited pro forma condensed balance sheet presents the combined financial position of USA Waste and Chambers as of December 31, 1994. Such combined unaudited pro forma information is based upon information derived from the historical balance sheets of USA Waste and Chambers as of that date, after giving effect to the Merger using the pooling of interests method of accounting</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and to the pro forma adjustments described in the notes to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220" w:type="dxa"/>
            <w:vAlign w:val="bottom"/>
          </w:tcPr>
          <w:p>
            <w:pPr>
              <w:spacing w:after="0"/>
              <w:rPr>
                <w:sz w:val="15"/>
                <w:szCs w:val="15"/>
                <w:color w:val="auto"/>
              </w:rPr>
            </w:pPr>
          </w:p>
        </w:tc>
        <w:tc>
          <w:tcPr>
            <w:tcW w:w="10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USA WASTE</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CHAMBERS</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HISTORICAL</w:t>
            </w:r>
          </w:p>
        </w:tc>
      </w:tr>
      <w:tr>
        <w:trPr>
          <w:trHeight w:val="173"/>
        </w:trPr>
        <w:tc>
          <w:tcPr>
            <w:tcW w:w="422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6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(IN THOUSANDS)</w:t>
            </w:r>
          </w:p>
        </w:tc>
        <w:tc>
          <w:tcPr>
            <w:tcW w:w="1080" w:type="dxa"/>
            <w:vAlign w:val="bottom"/>
          </w:tcPr>
          <w:p>
            <w:pPr>
              <w:spacing w:after="0"/>
              <w:rPr>
                <w:sz w:val="15"/>
                <w:szCs w:val="15"/>
                <w:color w:val="auto"/>
              </w:rPr>
            </w:pP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6,613</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23,548</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30,161</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 net....................</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19,992</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28,961</w:t>
            </w:r>
          </w:p>
        </w:tc>
        <w:tc>
          <w:tcPr>
            <w:tcW w:w="300" w:type="dxa"/>
            <w:vAlign w:val="bottom"/>
          </w:tcPr>
          <w:p>
            <w:pPr>
              <w:spacing w:after="0"/>
              <w:rPr>
                <w:sz w:val="15"/>
                <w:szCs w:val="15"/>
                <w:color w:val="auto"/>
              </w:rPr>
            </w:pP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(188)(a)</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48,765</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assets held for sale....................</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9,298</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9,298</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Notes and other receivables.................</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8,072</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13,673</w:t>
            </w:r>
          </w:p>
        </w:tc>
        <w:tc>
          <w:tcPr>
            <w:tcW w:w="300" w:type="dxa"/>
            <w:vAlign w:val="bottom"/>
          </w:tcPr>
          <w:p>
            <w:pPr>
              <w:spacing w:after="0"/>
              <w:rPr>
                <w:sz w:val="15"/>
                <w:szCs w:val="15"/>
                <w:color w:val="auto"/>
              </w:rPr>
            </w:pP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(2,500)(a)</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19,245</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2,361</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9,286</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11,647</w:t>
            </w:r>
          </w:p>
        </w:tc>
      </w:tr>
      <w:tr>
        <w:trPr>
          <w:trHeight w:val="173"/>
        </w:trPr>
        <w:tc>
          <w:tcPr>
            <w:tcW w:w="42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37,038</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84,766</w:t>
            </w:r>
          </w:p>
        </w:tc>
        <w:tc>
          <w:tcPr>
            <w:tcW w:w="300" w:type="dxa"/>
            <w:vAlign w:val="bottom"/>
          </w:tcPr>
          <w:p>
            <w:pPr>
              <w:spacing w:after="0"/>
              <w:rPr>
                <w:sz w:val="15"/>
                <w:szCs w:val="15"/>
                <w:color w:val="auto"/>
              </w:rPr>
            </w:pP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(2,688)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119,116</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Notes and other receivables...................</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2,462</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5,159</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7,621</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Property and equipment, net...................</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182,415</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354,428</w:t>
            </w:r>
          </w:p>
        </w:tc>
        <w:tc>
          <w:tcPr>
            <w:tcW w:w="300" w:type="dxa"/>
            <w:vAlign w:val="bottom"/>
          </w:tcPr>
          <w:p>
            <w:pPr>
              <w:spacing w:after="0"/>
              <w:rPr>
                <w:sz w:val="15"/>
                <w:szCs w:val="15"/>
                <w:color w:val="auto"/>
              </w:rPr>
            </w:pP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(13,286)(a,e)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523,557</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businesses, net.............................</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73,305</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5,934</w:t>
            </w:r>
          </w:p>
        </w:tc>
        <w:tc>
          <w:tcPr>
            <w:tcW w:w="300" w:type="dxa"/>
            <w:vAlign w:val="bottom"/>
          </w:tcPr>
          <w:p>
            <w:pPr>
              <w:spacing w:after="0"/>
              <w:rPr>
                <w:sz w:val="15"/>
                <w:szCs w:val="15"/>
                <w:color w:val="auto"/>
              </w:rPr>
            </w:pP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(10,075)(e)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69,164</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intangible assets, net..................</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14,375</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9,877</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24,252</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Funds held for escrow requirements and</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construction................................</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23,506</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23,506</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assets..................................</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13,572</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4,828</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18,400</w:t>
            </w:r>
          </w:p>
        </w:tc>
      </w:tr>
      <w:tr>
        <w:trPr>
          <w:trHeight w:val="173"/>
        </w:trPr>
        <w:tc>
          <w:tcPr>
            <w:tcW w:w="42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28,419</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96,986</w:t>
            </w:r>
          </w:p>
        </w:tc>
        <w:tc>
          <w:tcPr>
            <w:tcW w:w="300" w:type="dxa"/>
            <w:vAlign w:val="bottom"/>
          </w:tcPr>
          <w:p>
            <w:pPr>
              <w:spacing w:after="0"/>
              <w:rPr>
                <w:sz w:val="15"/>
                <w:szCs w:val="15"/>
                <w:color w:val="auto"/>
              </w:rPr>
            </w:pP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125,217</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Revolving credit facility.....................</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98,000</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98,000</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Convertible subordinated debentures...........</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49,000</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49,000</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long-term debt..........................</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6,903</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211,016</w:t>
            </w:r>
          </w:p>
        </w:tc>
        <w:tc>
          <w:tcPr>
            <w:tcW w:w="300" w:type="dxa"/>
            <w:vAlign w:val="bottom"/>
          </w:tcPr>
          <w:p>
            <w:pPr>
              <w:spacing w:after="0"/>
              <w:rPr>
                <w:sz w:val="15"/>
                <w:szCs w:val="15"/>
                <w:color w:val="auto"/>
              </w:rPr>
            </w:pP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(2,500)(a)</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215,419</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Accrued shareholder litigation settlement.....</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75,300</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75,300</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Closure, post-closure and other liabilities...</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17,067</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41,264</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58,331</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Deferred income taxes.........................</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15,792</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(15,792)(e)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215,181</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424,566</w:t>
            </w:r>
          </w:p>
        </w:tc>
        <w:tc>
          <w:tcPr>
            <w:tcW w:w="300" w:type="dxa"/>
            <w:vAlign w:val="bottom"/>
          </w:tcPr>
          <w:p>
            <w:pPr>
              <w:spacing w:after="0"/>
              <w:rPr>
                <w:sz w:val="15"/>
                <w:szCs w:val="15"/>
                <w:color w:val="auto"/>
              </w:rPr>
            </w:pP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(18,480)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621,267</w:t>
            </w:r>
          </w:p>
        </w:tc>
      </w:tr>
      <w:tr>
        <w:trPr>
          <w:trHeight w:val="173"/>
        </w:trPr>
        <w:tc>
          <w:tcPr>
            <w:tcW w:w="42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Commitments and contingencies.................</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Preferred stock.............................</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13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33,580</w:t>
            </w:r>
          </w:p>
        </w:tc>
        <w:tc>
          <w:tcPr>
            <w:tcW w:w="300" w:type="dxa"/>
            <w:vAlign w:val="bottom"/>
          </w:tcPr>
          <w:p>
            <w:pPr>
              <w:spacing w:after="0"/>
              <w:rPr>
                <w:sz w:val="15"/>
                <w:szCs w:val="15"/>
                <w:color w:val="auto"/>
              </w:rPr>
            </w:pP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(33,302)(c)</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95,758</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395,121</w:t>
            </w:r>
          </w:p>
        </w:tc>
        <w:tc>
          <w:tcPr>
            <w:tcW w:w="300" w:type="dxa"/>
            <w:vAlign w:val="bottom"/>
          </w:tcPr>
          <w:p>
            <w:pPr>
              <w:spacing w:after="0"/>
              <w:rPr>
                <w:sz w:val="15"/>
                <w:szCs w:val="15"/>
                <w:color w:val="auto"/>
              </w:rPr>
            </w:pP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29,152(c)</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520,031</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 (deficit).................</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13,962</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(360,619)</w:t>
            </w:r>
          </w:p>
        </w:tc>
        <w:tc>
          <w:tcPr>
            <w:tcW w:w="300" w:type="dxa"/>
            <w:vAlign w:val="bottom"/>
          </w:tcPr>
          <w:p>
            <w:pPr>
              <w:spacing w:after="0"/>
              <w:rPr>
                <w:sz w:val="15"/>
                <w:szCs w:val="15"/>
                <w:color w:val="auto"/>
              </w:rPr>
            </w:pPr>
          </w:p>
        </w:tc>
        <w:tc>
          <w:tcPr>
            <w:tcW w:w="1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(7,569)(a,e)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(354,226)</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Less treasury stock, at cost................</w:t>
            </w:r>
          </w:p>
        </w:tc>
        <w:tc>
          <w:tcPr>
            <w:tcW w:w="20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(1,961)</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(4,150)</w:t>
            </w:r>
          </w:p>
        </w:tc>
        <w:tc>
          <w:tcPr>
            <w:tcW w:w="300" w:type="dxa"/>
            <w:vAlign w:val="bottom"/>
          </w:tcPr>
          <w:p>
            <w:pPr>
              <w:spacing w:after="0"/>
              <w:rPr>
                <w:sz w:val="15"/>
                <w:szCs w:val="15"/>
                <w:color w:val="auto"/>
              </w:rPr>
            </w:pP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4,150(c)</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(1,961)</w:t>
            </w:r>
          </w:p>
        </w:tc>
      </w:tr>
      <w:tr>
        <w:trPr>
          <w:trHeight w:val="173"/>
        </w:trPr>
        <w:tc>
          <w:tcPr>
            <w:tcW w:w="42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20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107,986</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63,932</w:t>
            </w:r>
          </w:p>
        </w:tc>
        <w:tc>
          <w:tcPr>
            <w:tcW w:w="300" w:type="dxa"/>
            <w:vAlign w:val="bottom"/>
          </w:tcPr>
          <w:p>
            <w:pPr>
              <w:spacing w:after="0"/>
              <w:rPr>
                <w:sz w:val="15"/>
                <w:szCs w:val="15"/>
                <w:color w:val="auto"/>
              </w:rPr>
            </w:pP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(7,569)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164,349</w:t>
            </w:r>
          </w:p>
        </w:tc>
      </w:tr>
      <w:tr>
        <w:trPr>
          <w:trHeight w:val="173"/>
        </w:trPr>
        <w:tc>
          <w:tcPr>
            <w:tcW w:w="42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liabilities and stockholders'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equity............................</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323,167</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$ 488,498</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(26,049)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$ 785,616</w:t>
            </w:r>
          </w:p>
        </w:tc>
      </w:tr>
      <w:tr>
        <w:trPr>
          <w:trHeight w:val="173"/>
        </w:trPr>
        <w:tc>
          <w:tcPr>
            <w:tcW w:w="42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See notes to combined historical unaudited pro forma condensed financial</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91"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90</w:t>
      </w:r>
    </w:p>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USA WASTE AND CHAMBERS</w:t>
      </w:r>
    </w:p>
    <w:p>
      <w:pPr>
        <w:spacing w:after="0" w:line="200" w:lineRule="exact"/>
        <w:rPr>
          <w:sz w:val="20"/>
          <w:szCs w:val="20"/>
          <w:color w:val="auto"/>
        </w:rPr>
      </w:pPr>
    </w:p>
    <w:p>
      <w:pPr>
        <w:spacing w:after="0" w:line="32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COMBINED HISTORICAL UNAUDITED PRO FORMA CONDENSED</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THREE MONTHS ENDED MARCH 31, 1995</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combined historical unaudited pro forma condensed statement of operations for the three months ended March 31, 1995, was prepared based upon information derived from the historical statements of operations of USA Waste and Chambers for such period,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USA WASTE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CHAMBERS</w:t>
            </w:r>
          </w:p>
        </w:tc>
        <w:tc>
          <w:tcPr>
            <w:tcW w:w="15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HISTORICAL</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15"/>
                <w:szCs w:val="15"/>
                <w:color w:val="auto"/>
              </w:rPr>
            </w:pPr>
          </w:p>
        </w:tc>
        <w:tc>
          <w:tcPr>
            <w:tcW w:w="4960" w:type="dxa"/>
            <w:vAlign w:val="bottom"/>
            <w:gridSpan w:val="6"/>
          </w:tcPr>
          <w:p>
            <w:pPr>
              <w:jc w:val="right"/>
              <w:ind w:right="72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$46,508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$54,734</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$ 101,242</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25,496</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38,442</w:t>
            </w:r>
          </w:p>
        </w:tc>
        <w:tc>
          <w:tcPr>
            <w:tcW w:w="40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(5,659)(b)</w:t>
            </w:r>
          </w:p>
        </w:tc>
        <w:tc>
          <w:tcPr>
            <w:tcW w:w="2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58,279</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6,087</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5,837</w:t>
            </w:r>
          </w:p>
        </w:tc>
        <w:tc>
          <w:tcPr>
            <w:tcW w:w="40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5,659(b)</w:t>
            </w:r>
          </w:p>
        </w:tc>
        <w:tc>
          <w:tcPr>
            <w:tcW w:w="2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17,583</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5,408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7,737</w:t>
            </w:r>
          </w:p>
        </w:tc>
        <w:tc>
          <w:tcPr>
            <w:tcW w:w="40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(165)(a)</w:t>
            </w:r>
          </w:p>
        </w:tc>
        <w:tc>
          <w:tcPr>
            <w:tcW w:w="2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12,980</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36,991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52,016</w:t>
            </w:r>
          </w:p>
        </w:tc>
        <w:tc>
          <w:tcPr>
            <w:tcW w:w="40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(165)</w:t>
            </w:r>
          </w:p>
        </w:tc>
        <w:tc>
          <w:tcPr>
            <w:tcW w:w="2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88,842</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from operations........................</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9,517</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2,718</w:t>
            </w:r>
          </w:p>
        </w:tc>
        <w:tc>
          <w:tcPr>
            <w:tcW w:w="4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165</w:t>
            </w:r>
          </w:p>
        </w:tc>
        <w:tc>
          <w:tcPr>
            <w:tcW w:w="2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12,400</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(8,591)</w:t>
            </w:r>
          </w:p>
        </w:tc>
        <w:tc>
          <w:tcPr>
            <w:tcW w:w="40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19(a)</w:t>
            </w:r>
          </w:p>
        </w:tc>
        <w:tc>
          <w:tcPr>
            <w:tcW w:w="2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(11,724)</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income.............................</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462</w:t>
            </w:r>
          </w:p>
        </w:tc>
        <w:tc>
          <w:tcPr>
            <w:tcW w:w="40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(19)(a)</w:t>
            </w:r>
          </w:p>
        </w:tc>
        <w:tc>
          <w:tcPr>
            <w:tcW w:w="2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731</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income, net...........................</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947</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167</w:t>
            </w:r>
          </w:p>
        </w:tc>
        <w:tc>
          <w:tcPr>
            <w:tcW w:w="4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1,114</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(7,962)</w:t>
            </w:r>
          </w:p>
        </w:tc>
        <w:tc>
          <w:tcPr>
            <w:tcW w:w="4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(9,879)</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(loss) before income tax provision.....</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7,600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(5,244)</w:t>
            </w:r>
          </w:p>
        </w:tc>
        <w:tc>
          <w:tcPr>
            <w:tcW w:w="4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165</w:t>
            </w:r>
          </w:p>
        </w:tc>
        <w:tc>
          <w:tcPr>
            <w:tcW w:w="2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2,521</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tax provision..........................</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2,812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w:t>
            </w:r>
          </w:p>
        </w:tc>
        <w:tc>
          <w:tcPr>
            <w:tcW w:w="40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(500)(e)</w:t>
            </w:r>
          </w:p>
        </w:tc>
        <w:tc>
          <w:tcPr>
            <w:tcW w:w="2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2,337</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$ 4,788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$(5,269)</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665</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184</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per</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share................................</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0.21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(0.08)</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0.00(d)</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 shares outstanding...............</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23,259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66,789</w:t>
            </w:r>
          </w:p>
        </w:tc>
        <w:tc>
          <w:tcPr>
            <w:tcW w:w="40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(38,960)(d)</w:t>
            </w:r>
          </w:p>
        </w:tc>
        <w:tc>
          <w:tcPr>
            <w:tcW w:w="2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51,088</w:t>
            </w:r>
          </w:p>
        </w:tc>
      </w:tr>
      <w:tr>
        <w:trPr>
          <w:trHeight w:val="173"/>
        </w:trPr>
        <w:tc>
          <w:tcPr>
            <w:tcW w:w="422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notes to combined historical unaudited pro forma condensed financial</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statements.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91"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91</w:t>
      </w:r>
    </w:p>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USA WASTE AND CHAMBERS</w:t>
      </w:r>
    </w:p>
    <w:p>
      <w:pPr>
        <w:spacing w:after="0" w:line="200" w:lineRule="exact"/>
        <w:rPr>
          <w:sz w:val="20"/>
          <w:szCs w:val="20"/>
          <w:color w:val="auto"/>
        </w:rPr>
      </w:pPr>
    </w:p>
    <w:p>
      <w:pPr>
        <w:spacing w:after="0" w:line="32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COMBINED HISTORICAL UNAUDITED PRO FORMA CONDENSED</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THREE MONTHS ENDED MARCH 31, 1994</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combined historical unaudited pro forma condensed statement of operations for the three months ended March 31, 1994, was prepared based upon information derived from the historical statements of operations of USA Waste and Chambers for such period,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4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c>
          <w:tcPr>
            <w:tcW w:w="1120" w:type="dxa"/>
            <w:vAlign w:val="bottom"/>
          </w:tcPr>
          <w:p>
            <w:pPr>
              <w:ind w:left="12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USA WASTE</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CHAMBERS</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w w:val="96"/>
              </w:rPr>
              <w:t>ADJUSTMENTS</w:t>
            </w:r>
          </w:p>
        </w:tc>
        <w:tc>
          <w:tcPr>
            <w:tcW w:w="1120" w:type="dxa"/>
            <w:vAlign w:val="bottom"/>
          </w:tcPr>
          <w:p>
            <w:pPr>
              <w:ind w:left="120"/>
              <w:spacing w:after="0"/>
              <w:rPr>
                <w:sz w:val="20"/>
                <w:szCs w:val="20"/>
                <w:color w:val="auto"/>
              </w:rPr>
            </w:pPr>
            <w:r>
              <w:rPr>
                <w:rFonts w:ascii="Courier New" w:cs="Courier New" w:eastAsia="Courier New" w:hAnsi="Courier New"/>
                <w:sz w:val="15"/>
                <w:szCs w:val="15"/>
                <w:color w:val="auto"/>
              </w:rPr>
              <w:t>HISTORICAL</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w w:val="96"/>
              </w:rPr>
              <w:t>-----------</w:t>
            </w:r>
          </w:p>
        </w:tc>
        <w:tc>
          <w:tcPr>
            <w:tcW w:w="11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tcPr>
          <w:p>
            <w:pPr>
              <w:spacing w:after="0"/>
              <w:rPr>
                <w:sz w:val="15"/>
                <w:szCs w:val="15"/>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5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PER SHARE AMOUNTS)</w:t>
            </w:r>
          </w:p>
        </w:tc>
      </w:tr>
      <w:tr>
        <w:trPr>
          <w:trHeight w:val="347"/>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Operating revenues..........................</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$38,205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$59,766</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$97,971</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21,915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41,776</w:t>
            </w:r>
          </w:p>
        </w:tc>
        <w:tc>
          <w:tcPr>
            <w:tcW w:w="22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(5,459)(b)</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58,232</w:t>
            </w: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5,321</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5,356</w:t>
            </w:r>
          </w:p>
        </w:tc>
        <w:tc>
          <w:tcPr>
            <w:tcW w:w="22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5,459(b)</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16,136</w:t>
            </w: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4,393</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9,319</w:t>
            </w:r>
          </w:p>
        </w:tc>
        <w:tc>
          <w:tcPr>
            <w:tcW w:w="22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(52)(a)</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13,660</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31,629</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56,451</w:t>
            </w:r>
          </w:p>
        </w:tc>
        <w:tc>
          <w:tcPr>
            <w:tcW w:w="220" w:type="dxa"/>
            <w:vAlign w:val="bottom"/>
          </w:tcPr>
          <w:p>
            <w:pPr>
              <w:spacing w:after="0"/>
              <w:rPr>
                <w:sz w:val="15"/>
                <w:szCs w:val="15"/>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88,028</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from operations......................</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6,576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3,315</w:t>
            </w:r>
          </w:p>
        </w:tc>
        <w:tc>
          <w:tcPr>
            <w:tcW w:w="22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9,943</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(2,457)</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(5,726)</w:t>
            </w:r>
          </w:p>
        </w:tc>
        <w:tc>
          <w:tcPr>
            <w:tcW w:w="22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44(a)</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(8,139)</w:t>
            </w: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income...........................</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505</w:t>
            </w:r>
          </w:p>
        </w:tc>
        <w:tc>
          <w:tcPr>
            <w:tcW w:w="22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(44)(a)</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577</w:t>
            </w: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income, net.........................</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(2,236)</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(5,166)</w:t>
            </w:r>
          </w:p>
        </w:tc>
        <w:tc>
          <w:tcPr>
            <w:tcW w:w="220" w:type="dxa"/>
            <w:vAlign w:val="bottom"/>
          </w:tcPr>
          <w:p>
            <w:pPr>
              <w:spacing w:after="0"/>
              <w:rPr>
                <w:sz w:val="15"/>
                <w:szCs w:val="15"/>
                <w:color w:val="auto"/>
              </w:rPr>
            </w:pPr>
          </w:p>
        </w:tc>
        <w:tc>
          <w:tcPr>
            <w:tcW w:w="11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(7,402)</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(loss) before income tax provision...</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4,340</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(1,851)</w:t>
            </w:r>
          </w:p>
        </w:tc>
        <w:tc>
          <w:tcPr>
            <w:tcW w:w="22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2,541</w:t>
            </w: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tax provision........................</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1,636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(341)(e)</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1,419</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$ 2,704</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$(1,975)</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393</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$ 1,122</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(loss) from continuing operations per</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share..............................</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0.12(d)</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(0.03)</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0.02(d)</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Weighted average number of common and common</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 shares outstanding.............</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19,408</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66,789</w:t>
            </w:r>
          </w:p>
        </w:tc>
        <w:tc>
          <w:tcPr>
            <w:tcW w:w="22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(38,960)(d)</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47,237</w:t>
            </w:r>
          </w:p>
        </w:tc>
      </w:tr>
      <w:tr>
        <w:trPr>
          <w:trHeight w:val="173"/>
        </w:trPr>
        <w:tc>
          <w:tcPr>
            <w:tcW w:w="4040" w:type="dxa"/>
            <w:vAlign w:val="bottom"/>
          </w:tcPr>
          <w:p>
            <w:pPr>
              <w:spacing w:after="0"/>
              <w:rPr>
                <w:sz w:val="15"/>
                <w:szCs w:val="15"/>
                <w:color w:val="auto"/>
              </w:rPr>
            </w:pP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notes to combined historical unaudited pro forma condensed financial</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statements.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91"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AND CHAMBERS</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COMBINED HISTORICAL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YEAR ENDED DECEMBER 31, 1994</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following combined historical unaudited pro forma condensed statement of operations for the year ended December 31, 1994, was prepared based upon information derived from the historical statements of operations of USA Waste and Chambers for such period,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PRO FORMA</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USA WASTE</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CHAMBERS</w:t>
            </w: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ADJUSTMENTS</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HISTORICAL</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140" w:type="dxa"/>
            <w:vAlign w:val="bottom"/>
            <w:gridSpan w:val="5"/>
          </w:tcPr>
          <w:p>
            <w:pPr>
              <w:jc w:val="right"/>
              <w:ind w:right="82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$176,235</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$ 257,989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$ 434,224</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Costs and expenses:</w:t>
            </w:r>
          </w:p>
        </w:tc>
        <w:tc>
          <w:tcPr>
            <w:tcW w:w="2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Operating...............................</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101,069</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179,542</w:t>
            </w:r>
          </w:p>
        </w:tc>
        <w:tc>
          <w:tcPr>
            <w:tcW w:w="26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(23,241)(b)</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257,370</w:t>
            </w: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23,463</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24,796</w:t>
            </w:r>
          </w:p>
        </w:tc>
        <w:tc>
          <w:tcPr>
            <w:tcW w:w="26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23,241(b)</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71,500</w:t>
            </w: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Merger costs............................</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3,782</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3,782</w:t>
            </w: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Unusual items -- operations.............</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8,863</w:t>
            </w:r>
          </w:p>
        </w:tc>
        <w:tc>
          <w:tcPr>
            <w:tcW w:w="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8,863</w:t>
            </w: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18,785</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37,568</w:t>
            </w:r>
          </w:p>
        </w:tc>
        <w:tc>
          <w:tcPr>
            <w:tcW w:w="26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(214)(a)</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56,139</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147,099</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250,769</w:t>
            </w:r>
          </w:p>
        </w:tc>
        <w:tc>
          <w:tcPr>
            <w:tcW w:w="2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397,654</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from operations....................</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29,136</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7,220</w:t>
            </w:r>
          </w:p>
        </w:tc>
        <w:tc>
          <w:tcPr>
            <w:tcW w:w="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214</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36,570</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Unusual items --</w:t>
            </w:r>
          </w:p>
        </w:tc>
        <w:tc>
          <w:tcPr>
            <w:tcW w:w="2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shareholders litigation</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38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settlement and other litigation</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related costs........................</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(79,400)</w:t>
            </w:r>
          </w:p>
        </w:tc>
        <w:tc>
          <w:tcPr>
            <w:tcW w:w="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(79,400)</w:t>
            </w: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2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(10,385)</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(23,843)</w:t>
            </w:r>
          </w:p>
        </w:tc>
        <w:tc>
          <w:tcPr>
            <w:tcW w:w="26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170(a)</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(34,058)</w:t>
            </w: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Interest income.........................</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2,220</w:t>
            </w:r>
          </w:p>
        </w:tc>
        <w:tc>
          <w:tcPr>
            <w:tcW w:w="26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(170)(a)</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2,641</w:t>
            </w: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Other income (expense), net.............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2,249</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(372)</w:t>
            </w:r>
          </w:p>
        </w:tc>
        <w:tc>
          <w:tcPr>
            <w:tcW w:w="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1,877</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(7,545)</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(101,395)</w:t>
            </w:r>
          </w:p>
        </w:tc>
        <w:tc>
          <w:tcPr>
            <w:tcW w:w="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(108,940)</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income tax provision</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(benefit)...............................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21,591</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(94,175)</w:t>
            </w:r>
          </w:p>
        </w:tc>
        <w:tc>
          <w:tcPr>
            <w:tcW w:w="26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214</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(72,370)</w:t>
            </w: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tax provision (benefit)............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7,760</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(3,931)</w:t>
            </w:r>
          </w:p>
        </w:tc>
        <w:tc>
          <w:tcPr>
            <w:tcW w:w="26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79(e)</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3,908</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$ 13,831</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(90,244)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135</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(76,278)</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per common share from</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1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0.61(d)</w:t>
            </w:r>
          </w:p>
        </w:tc>
        <w:tc>
          <w:tcPr>
            <w:tcW w:w="1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(1.35)</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(1.55)(d)</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common equivalent shares outstanding....</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21,842</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66,789</w:t>
            </w:r>
          </w:p>
        </w:tc>
        <w:tc>
          <w:tcPr>
            <w:tcW w:w="26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(38,960)(d)</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49,671</w:t>
            </w:r>
          </w:p>
        </w:tc>
      </w:tr>
      <w:tr>
        <w:trPr>
          <w:trHeight w:val="173"/>
        </w:trPr>
        <w:tc>
          <w:tcPr>
            <w:tcW w:w="1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notes to combined historical unaudited pro forma condensed financial</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91"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93</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AND CHAMBERS</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COMBINED HISTORICAL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YEAR ENDED DECEMBER 31, 1993</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combined historical unaudited pro forma condensed statement of operations for the year ended December 31, 1993, was prepared based upon information derived from the historical statements of operations of USA Waste and Chambers for such year,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USA WASTE</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CHAMBERS</w:t>
            </w:r>
          </w:p>
        </w:tc>
        <w:tc>
          <w:tcPr>
            <w:tcW w:w="19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HISTORICAL</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5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7"/>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Operating revenues</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$93,753</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$288,481</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$ 382,234</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Costs and expenses:</w:t>
            </w: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49,251</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194,355</w:t>
            </w:r>
          </w:p>
        </w:tc>
        <w:tc>
          <w:tcPr>
            <w:tcW w:w="500" w:type="dxa"/>
            <w:vAlign w:val="bottom"/>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(26,261)(b)</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217,345</w:t>
            </w:r>
          </w:p>
        </w:tc>
      </w:tr>
      <w:tr>
        <w:trPr>
          <w:trHeight w:val="173"/>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17,497</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23,210</w:t>
            </w:r>
          </w:p>
        </w:tc>
        <w:tc>
          <w:tcPr>
            <w:tcW w:w="500" w:type="dxa"/>
            <w:vAlign w:val="bottom"/>
          </w:tcPr>
          <w:p>
            <w:pPr>
              <w:spacing w:after="0"/>
              <w:rPr>
                <w:sz w:val="15"/>
                <w:szCs w:val="15"/>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26,261(b)</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66,968</w:t>
            </w:r>
          </w:p>
        </w:tc>
      </w:tr>
      <w:tr>
        <w:trPr>
          <w:trHeight w:val="173"/>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Nonrecurring expenses.................</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923</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923</w:t>
            </w:r>
          </w:p>
        </w:tc>
      </w:tr>
      <w:tr>
        <w:trPr>
          <w:trHeight w:val="173"/>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Unusual items -- operations...........</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(11,851)</w:t>
            </w:r>
          </w:p>
        </w:tc>
        <w:tc>
          <w:tcPr>
            <w:tcW w:w="500" w:type="dxa"/>
            <w:vAlign w:val="bottom"/>
          </w:tcPr>
          <w:p>
            <w:pPr>
              <w:spacing w:after="0"/>
              <w:rPr>
                <w:sz w:val="15"/>
                <w:szCs w:val="15"/>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13,600(a)</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1,749</w:t>
            </w:r>
          </w:p>
        </w:tc>
      </w:tr>
      <w:tr>
        <w:trPr>
          <w:trHeight w:val="173"/>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10,558</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41,764</w:t>
            </w:r>
          </w:p>
        </w:tc>
        <w:tc>
          <w:tcPr>
            <w:tcW w:w="500" w:type="dxa"/>
            <w:vAlign w:val="bottom"/>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(100)(a)</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52,222</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78,229</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247,478</w:t>
            </w:r>
          </w:p>
        </w:tc>
        <w:tc>
          <w:tcPr>
            <w:tcW w:w="50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13,500</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339,207</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15,524</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41,003</w:t>
            </w:r>
          </w:p>
        </w:tc>
        <w:tc>
          <w:tcPr>
            <w:tcW w:w="500" w:type="dxa"/>
            <w:vAlign w:val="bottom"/>
          </w:tcPr>
          <w:p>
            <w:pPr>
              <w:spacing w:after="0"/>
              <w:rPr>
                <w:sz w:val="15"/>
                <w:szCs w:val="15"/>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(13,500)</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43,027</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Unusual item --</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shareholder litigation</w:t>
            </w: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w w:val="99"/>
              </w:rPr>
              <w:t>related costs</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(5,500)</w:t>
            </w:r>
          </w:p>
        </w:tc>
        <w:tc>
          <w:tcPr>
            <w:tcW w:w="50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(5,500)</w:t>
            </w:r>
          </w:p>
        </w:tc>
      </w:tr>
      <w:tr>
        <w:trPr>
          <w:trHeight w:val="173"/>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w w:val="98"/>
              </w:rPr>
              <w:t>Interest expense</w:t>
            </w:r>
          </w:p>
        </w:tc>
        <w:tc>
          <w:tcPr>
            <w:tcW w:w="2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(6,856)</w:t>
            </w:r>
          </w:p>
        </w:tc>
        <w:tc>
          <w:tcPr>
            <w:tcW w:w="3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(29,163)</w:t>
            </w:r>
          </w:p>
        </w:tc>
        <w:tc>
          <w:tcPr>
            <w:tcW w:w="500" w:type="dxa"/>
            <w:vAlign w:val="bottom"/>
          </w:tcPr>
          <w:p>
            <w:pPr>
              <w:spacing w:after="0"/>
              <w:rPr>
                <w:sz w:val="15"/>
                <w:szCs w:val="15"/>
                <w:color w:val="auto"/>
              </w:rPr>
            </w:pP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44(a)</w:t>
            </w:r>
          </w:p>
        </w:tc>
        <w:tc>
          <w:tcPr>
            <w:tcW w:w="1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(35,975)</w:t>
            </w:r>
          </w:p>
        </w:tc>
      </w:tr>
      <w:tr>
        <w:trPr>
          <w:trHeight w:val="173"/>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1,113</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2,470</w:t>
            </w:r>
          </w:p>
        </w:tc>
        <w:tc>
          <w:tcPr>
            <w:tcW w:w="500" w:type="dxa"/>
            <w:vAlign w:val="bottom"/>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(44)(a)</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3,539</w:t>
            </w:r>
          </w:p>
        </w:tc>
      </w:tr>
      <w:tr>
        <w:trPr>
          <w:trHeight w:val="173"/>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income, net.....................</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822</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1,093</w:t>
            </w:r>
          </w:p>
        </w:tc>
        <w:tc>
          <w:tcPr>
            <w:tcW w:w="50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1,915</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(4,921)</w:t>
            </w:r>
          </w:p>
        </w:tc>
        <w:tc>
          <w:tcPr>
            <w:tcW w:w="3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(31,100)</w:t>
            </w:r>
          </w:p>
        </w:tc>
        <w:tc>
          <w:tcPr>
            <w:tcW w:w="500" w:type="dxa"/>
            <w:vAlign w:val="bottom"/>
          </w:tcPr>
          <w:p>
            <w:pPr>
              <w:spacing w:after="0"/>
              <w:rPr>
                <w:sz w:val="15"/>
                <w:szCs w:val="15"/>
                <w:color w:val="auto"/>
              </w:rPr>
            </w:pPr>
          </w:p>
        </w:tc>
        <w:tc>
          <w:tcPr>
            <w:tcW w:w="14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(36,021)</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 provision......</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10,603</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9,903</w:t>
            </w:r>
          </w:p>
        </w:tc>
        <w:tc>
          <w:tcPr>
            <w:tcW w:w="500" w:type="dxa"/>
            <w:vAlign w:val="bottom"/>
          </w:tcPr>
          <w:p>
            <w:pPr>
              <w:spacing w:after="0"/>
              <w:rPr>
                <w:sz w:val="15"/>
                <w:szCs w:val="15"/>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(13,500)</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7,006</w:t>
            </w:r>
          </w:p>
        </w:tc>
      </w:tr>
      <w:tr>
        <w:trPr>
          <w:trHeight w:val="173"/>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Income tax provision....................</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5,413</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1,600</w:t>
            </w:r>
          </w:p>
        </w:tc>
        <w:tc>
          <w:tcPr>
            <w:tcW w:w="500" w:type="dxa"/>
            <w:vAlign w:val="bottom"/>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(995)(e)</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6,018</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$ 5,190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8,303</w:t>
            </w:r>
          </w:p>
        </w:tc>
        <w:tc>
          <w:tcPr>
            <w:tcW w:w="19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 (12,505)</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988</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Income from continuing operations per</w:t>
            </w: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share..........................</w:t>
            </w:r>
          </w:p>
        </w:tc>
        <w:tc>
          <w:tcPr>
            <w:tcW w:w="1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0.26(d)</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0.12</w:t>
            </w: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0.01(d)</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equivalent shares</w:t>
            </w: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outstanding...........................</w:t>
            </w: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18,056</w:t>
            </w:r>
          </w:p>
        </w:tc>
        <w:tc>
          <w:tcPr>
            <w:tcW w:w="3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66,788</w:t>
            </w:r>
          </w:p>
        </w:tc>
        <w:tc>
          <w:tcPr>
            <w:tcW w:w="500" w:type="dxa"/>
            <w:vAlign w:val="bottom"/>
          </w:tcPr>
          <w:p>
            <w:pPr>
              <w:spacing w:after="0"/>
              <w:rPr>
                <w:sz w:val="15"/>
                <w:szCs w:val="15"/>
                <w:color w:val="auto"/>
              </w:rPr>
            </w:pP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(38,959)(d)</w:t>
            </w:r>
          </w:p>
        </w:tc>
        <w:tc>
          <w:tcPr>
            <w:tcW w:w="140" w:type="dxa"/>
            <w:vAlign w:val="bottom"/>
          </w:tcPr>
          <w:p>
            <w:pPr>
              <w:spacing w:after="0"/>
              <w:rPr>
                <w:sz w:val="15"/>
                <w:szCs w:val="15"/>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45,885</w:t>
            </w:r>
          </w:p>
        </w:tc>
      </w:tr>
      <w:tr>
        <w:trPr>
          <w:trHeight w:val="173"/>
        </w:trPr>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notes to combined historical unaudited pro forma condensed financial</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91"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94</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USA WASTE AND CHAMBERS</w:t>
      </w:r>
    </w:p>
    <w:p>
      <w:pPr>
        <w:spacing w:after="0" w:line="35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COMBINED HISTORICAL UNAUDITED PRO FORMA CONDENSED</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YEAR ENDED DECEMBER 31, 1992</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combined historical unaudited pro forma condensed statement of operations for the year ended December 31, 1992, was prepared based upon information derived from the historical statements of operations of USA Waste and Chambers for such year,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PRO</w:t>
            </w:r>
          </w:p>
        </w:tc>
      </w:tr>
      <w:tr>
        <w:trPr>
          <w:trHeight w:val="173"/>
        </w:trPr>
        <w:tc>
          <w:tcPr>
            <w:tcW w:w="4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FORMA</w:t>
            </w:r>
          </w:p>
        </w:tc>
      </w:tr>
      <w:tr>
        <w:trPr>
          <w:trHeight w:val="173"/>
        </w:trPr>
        <w:tc>
          <w:tcPr>
            <w:tcW w:w="442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USA</w:t>
            </w:r>
          </w:p>
        </w:tc>
        <w:tc>
          <w:tcPr>
            <w:tcW w:w="1120" w:type="dxa"/>
            <w:vAlign w:val="bottom"/>
          </w:tcPr>
          <w:p>
            <w:pPr>
              <w:spacing w:after="0"/>
              <w:rPr>
                <w:sz w:val="15"/>
                <w:szCs w:val="15"/>
                <w:color w:val="auto"/>
              </w:rPr>
            </w:pPr>
          </w:p>
        </w:tc>
        <w:tc>
          <w:tcPr>
            <w:tcW w:w="16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4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WASTE</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CHAMBERS</w:t>
            </w:r>
          </w:p>
        </w:tc>
        <w:tc>
          <w:tcPr>
            <w:tcW w:w="1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HISTORICAL</w:t>
            </w:r>
          </w:p>
        </w:tc>
      </w:tr>
      <w:tr>
        <w:trPr>
          <w:trHeight w:val="173"/>
        </w:trPr>
        <w:tc>
          <w:tcPr>
            <w:tcW w:w="44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15"/>
                <w:szCs w:val="15"/>
                <w:color w:val="auto"/>
              </w:rPr>
            </w:pPr>
          </w:p>
        </w:tc>
        <w:tc>
          <w:tcPr>
            <w:tcW w:w="3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940" w:type="dxa"/>
            <w:vAlign w:val="bottom"/>
          </w:tcPr>
          <w:p>
            <w:pPr>
              <w:spacing w:after="0"/>
              <w:rPr>
                <w:sz w:val="15"/>
                <w:szCs w:val="15"/>
                <w:color w:val="auto"/>
              </w:rPr>
            </w:pPr>
          </w:p>
        </w:tc>
      </w:tr>
      <w:tr>
        <w:trPr>
          <w:trHeight w:val="347"/>
        </w:trPr>
        <w:tc>
          <w:tcPr>
            <w:tcW w:w="44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Operating revenues..............................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$57,049</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$294,310</w:t>
            </w:r>
          </w:p>
        </w:tc>
        <w:tc>
          <w:tcPr>
            <w:tcW w:w="3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$351,359</w:t>
            </w:r>
          </w:p>
        </w:tc>
      </w:tr>
      <w:tr>
        <w:trPr>
          <w:trHeight w:val="173"/>
        </w:trPr>
        <w:tc>
          <w:tcPr>
            <w:tcW w:w="442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jc w:val="right"/>
              <w:ind w:right="2645"/>
              <w:spacing w:after="0"/>
              <w:rPr>
                <w:sz w:val="20"/>
                <w:szCs w:val="20"/>
                <w:color w:val="auto"/>
              </w:rPr>
            </w:pPr>
            <w:r>
              <w:rPr>
                <w:rFonts w:ascii="Courier New" w:cs="Courier New" w:eastAsia="Courier New" w:hAnsi="Courier New"/>
                <w:sz w:val="15"/>
                <w:szCs w:val="15"/>
                <w:color w:val="auto"/>
                <w:w w:val="98"/>
              </w:rPr>
              <w:t>Costs and expenses:</w:t>
            </w: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4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28,128</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206,761</w:t>
            </w:r>
          </w:p>
        </w:tc>
        <w:tc>
          <w:tcPr>
            <w:tcW w:w="360" w:type="dxa"/>
            <w:vAlign w:val="bottom"/>
          </w:tcPr>
          <w:p>
            <w:pPr>
              <w:spacing w:after="0"/>
              <w:rPr>
                <w:sz w:val="15"/>
                <w:szCs w:val="15"/>
                <w:color w:val="auto"/>
              </w:rPr>
            </w:pPr>
          </w:p>
        </w:tc>
        <w:tc>
          <w:tcPr>
            <w:tcW w:w="12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(25,961)(b)</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208,928</w:t>
            </w:r>
          </w:p>
        </w:tc>
      </w:tr>
      <w:tr>
        <w:trPr>
          <w:trHeight w:val="173"/>
        </w:trPr>
        <w:tc>
          <w:tcPr>
            <w:tcW w:w="4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11,612</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37,853</w:t>
            </w:r>
          </w:p>
        </w:tc>
        <w:tc>
          <w:tcPr>
            <w:tcW w:w="360" w:type="dxa"/>
            <w:vAlign w:val="bottom"/>
          </w:tcPr>
          <w:p>
            <w:pPr>
              <w:spacing w:after="0"/>
              <w:rPr>
                <w:sz w:val="15"/>
                <w:szCs w:val="15"/>
                <w:color w:val="auto"/>
              </w:rPr>
            </w:pPr>
          </w:p>
        </w:tc>
        <w:tc>
          <w:tcPr>
            <w:tcW w:w="12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25,961(b)</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75,426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Nonrecurring expenses......................</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6,756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6,756</w:t>
            </w: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Unusual items -- operations................</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44,291</w:t>
            </w:r>
          </w:p>
        </w:tc>
        <w:tc>
          <w:tcPr>
            <w:tcW w:w="3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44,291</w:t>
            </w: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5,776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38,363</w:t>
            </w:r>
          </w:p>
        </w:tc>
        <w:tc>
          <w:tcPr>
            <w:tcW w:w="3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44,139</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52,272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327,268</w:t>
            </w:r>
          </w:p>
        </w:tc>
        <w:tc>
          <w:tcPr>
            <w:tcW w:w="3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379,540</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4,777</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(32,958)</w:t>
            </w:r>
          </w:p>
        </w:tc>
        <w:tc>
          <w:tcPr>
            <w:tcW w:w="3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(28,181)</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Unusual item --</w:t>
            </w:r>
          </w:p>
        </w:tc>
        <w:tc>
          <w:tcPr>
            <w:tcW w:w="2540" w:type="dxa"/>
            <w:vAlign w:val="bottom"/>
          </w:tcPr>
          <w:p>
            <w:pPr>
              <w:jc w:val="right"/>
              <w:ind w:right="485"/>
              <w:spacing w:after="0"/>
              <w:rPr>
                <w:sz w:val="20"/>
                <w:szCs w:val="20"/>
                <w:color w:val="auto"/>
              </w:rPr>
            </w:pPr>
            <w:r>
              <w:rPr>
                <w:rFonts w:ascii="Courier New" w:cs="Courier New" w:eastAsia="Courier New" w:hAnsi="Courier New"/>
                <w:sz w:val="15"/>
                <w:szCs w:val="15"/>
                <w:color w:val="auto"/>
                <w:w w:val="98"/>
              </w:rPr>
              <w:t>shareholder litigation</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related costs............................</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(10,853)</w:t>
            </w:r>
          </w:p>
        </w:tc>
        <w:tc>
          <w:tcPr>
            <w:tcW w:w="3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(10,853)</w:t>
            </w:r>
          </w:p>
        </w:tc>
      </w:tr>
      <w:tr>
        <w:trPr>
          <w:trHeight w:val="173"/>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w w:val="98"/>
              </w:rPr>
              <w:t>Interest expense</w:t>
            </w:r>
          </w:p>
        </w:tc>
        <w:tc>
          <w:tcPr>
            <w:tcW w:w="2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(4,212)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(31,628)</w:t>
            </w:r>
          </w:p>
        </w:tc>
        <w:tc>
          <w:tcPr>
            <w:tcW w:w="3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(35,840)</w:t>
            </w: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610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4,825</w:t>
            </w:r>
          </w:p>
        </w:tc>
        <w:tc>
          <w:tcPr>
            <w:tcW w:w="3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5,435</w:t>
            </w: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1,684</w:t>
            </w:r>
          </w:p>
        </w:tc>
        <w:tc>
          <w:tcPr>
            <w:tcW w:w="3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1,699</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(3,587)</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(35,972)</w:t>
            </w:r>
          </w:p>
        </w:tc>
        <w:tc>
          <w:tcPr>
            <w:tcW w:w="3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(39,559)</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Income (loss) before income tax provision.......</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1,190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(68,930)</w:t>
            </w:r>
          </w:p>
        </w:tc>
        <w:tc>
          <w:tcPr>
            <w:tcW w:w="300" w:type="dxa"/>
            <w:vAlign w:val="bottom"/>
          </w:tcPr>
          <w:p>
            <w:pPr>
              <w:spacing w:after="0"/>
              <w:rPr>
                <w:sz w:val="15"/>
                <w:szCs w:val="15"/>
                <w:color w:val="auto"/>
              </w:rPr>
            </w:pP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(67,740)</w:t>
            </w: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Income tax provision............................</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3,955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1,325</w:t>
            </w:r>
          </w:p>
        </w:tc>
        <w:tc>
          <w:tcPr>
            <w:tcW w:w="30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(4,801)(e)</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479</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Loss from continuing operations.................</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$(2,765)</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$(70,255)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4,801</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$(68,219)</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Loss from continuing operations per common</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(0.20)(d)</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(1.05)</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(1.60)(d)</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equivalent shares outstanding.................</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14,878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66,788</w:t>
            </w:r>
          </w:p>
        </w:tc>
        <w:tc>
          <w:tcPr>
            <w:tcW w:w="30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(38,959)(d)</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42,707</w:t>
            </w:r>
          </w:p>
        </w:tc>
      </w:tr>
      <w:tr>
        <w:trPr>
          <w:trHeight w:val="173"/>
        </w:trPr>
        <w:tc>
          <w:tcPr>
            <w:tcW w:w="1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See notes to combined historical unaudited pro forma condensed financial</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91"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95</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COMBINED HISTORICAL UNAUDITED PRO FORMA</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CONDENSED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combined historical unaudited pro forma condensed financial statements assume the issuance of USA Waste Common Stock in exchange for all outstanding Chambers Common Stock and Chambers Class A Common Stock. Such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have been combined from their inception.</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rules and regulations of the Commission, the combined historical unaudited pro forma condensed statements of operations exclude the results of operations associated with discontinued businesses, extraordinary items and cumulative effects of accounting changes. In addition, the combined historical unaudited pro forma condensed financial statements do not include an adjustment for approximately $25 million in estimated nonrecurring costs related to the Merger which are estimated and expected to be incurred within 12 months of the transaction date. These Merger related costs consist of approximately $12 million of transaction costs, $11 million of severance and other termination benefits, and $2 million of nonrecurring costs relating to the integration of the operations of the combined company.</w:t>
      </w:r>
    </w:p>
    <w:p>
      <w:pPr>
        <w:spacing w:after="0" w:line="180"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Certain reclassifications have been made to the historical financial statements of USA Waste and Chambers to conform to the pro forma presentation. Such reclassifications are not material to the combined unaudited pro forma condensed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ADJUSTMENTS</w:t>
      </w:r>
    </w:p>
    <w:p>
      <w:pPr>
        <w:spacing w:after="0" w:line="351" w:lineRule="exact"/>
        <w:rPr>
          <w:sz w:val="20"/>
          <w:szCs w:val="20"/>
          <w:color w:val="auto"/>
        </w:rPr>
      </w:pPr>
    </w:p>
    <w:p>
      <w:pPr>
        <w:ind w:right="3099" w:firstLine="443"/>
        <w:spacing w:after="0" w:line="244" w:lineRule="auto"/>
        <w:tabs>
          <w:tab w:leader="none" w:pos="81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intercompany balance sheet and statement of operations items between USA Waste and Chambers have been eliminated in the combined historical unaudited pro forma condensed financial statements. In January 1995, USA Waste paid a deposit of $4.3 million toward the purchase of certain assets of Chambers. In September 1993, Chambers sold certain of its collection and landfill operations to USA Waste and, as a result of such sale, Chambers recorded a gain of approximately $13.6 million. USA Waste accounted for the transaction as a purchase and allocated the purchase price to the assets acquired. Assuming that USA Waste and Chambers had been combined from their inception, the gain recorded by Chambers in 1993 has been removed from the combined historical unaudited pro forma condensed statement of operations for that year and the assets have been reduced by that amount, net of related amortization, in the combined historical unaudited pro forma condensed balance sheet. In addition, the combined historical unaudited pro forma condensed statements of operations for the years ended December 31, 1994 and 1993 have been adjusted for the effect of lower amortization as a result of the reduction in the asset amounts.</w:t>
      </w:r>
    </w:p>
    <w:p>
      <w:pPr>
        <w:spacing w:after="0" w:line="357" w:lineRule="exact"/>
        <w:rPr>
          <w:rFonts w:ascii="Courier New" w:cs="Courier New" w:eastAsia="Courier New" w:hAnsi="Courier New"/>
          <w:sz w:val="15"/>
          <w:szCs w:val="15"/>
          <w:color w:val="auto"/>
        </w:rPr>
      </w:pPr>
    </w:p>
    <w:p>
      <w:pPr>
        <w:ind w:right="3279" w:firstLine="443"/>
        <w:spacing w:after="0" w:line="244" w:lineRule="auto"/>
        <w:tabs>
          <w:tab w:leader="none" w:pos="81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certain Chambers' operating expenses as general and administrative expenses in the combined historical unaudited pro forma condensed statements of operations to conform to the pro forma presentation of USA Waste as if the companies had been combined since their inception.</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of Chambers as of December 31, 1994 have been adjusted to reflect the assumed issuance of approximately 27.8 million shares of USA Waste Common Stock in exchange for all of the outstanding shares of Chambers Common Stock and Chambers Class A Common Stock (based on the Exchange Ratio of .41667 of a share of USA Waste Common Stock for each share of Chambers Common Stock and Chambers Class A Common Stock). The actual number of shares of USA Waste Common Stock to be issued pursuant to the Merger will be based upon the number of shares of Chambers Common Stock and Chambers Class A Common Stock issued and outstanding immediately prior to the consummation of the Merger.</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91"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96</w:t>
      </w:r>
    </w:p>
    <w:p>
      <w:pPr>
        <w:spacing w:after="0" w:line="35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COMBINED HISTORICAL UNAUDITED PRO FORMA</w:t>
      </w:r>
    </w:p>
    <w:p>
      <w:pPr>
        <w:spacing w:after="0" w:line="35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CONDENSED FINANCIAL STATEMENTS (CONTINUED)</w:t>
      </w:r>
    </w:p>
    <w:p>
      <w:pPr>
        <w:spacing w:after="0" w:line="200" w:lineRule="exact"/>
        <w:rPr>
          <w:sz w:val="20"/>
          <w:szCs w:val="20"/>
          <w:color w:val="auto"/>
        </w:rPr>
      </w:pPr>
    </w:p>
    <w:p>
      <w:pPr>
        <w:spacing w:after="0" w:line="324" w:lineRule="exact"/>
        <w:rPr>
          <w:sz w:val="20"/>
          <w:szCs w:val="20"/>
          <w:color w:val="auto"/>
        </w:rPr>
      </w:pPr>
    </w:p>
    <w:p>
      <w:pPr>
        <w:ind w:left="-260" w:right="3019" w:firstLine="443"/>
        <w:spacing w:after="0" w:line="244" w:lineRule="auto"/>
        <w:tabs>
          <w:tab w:leader="none" w:pos="55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income (loss) from continuing operations per share for each period is based on the combined weighted average number of shares outstanding, after giving effect to the issuance of .41667 of a share of USA Waste Common Stock for each share of Chambers Common Stock and Chambers Class A Common Stock and to preferred stock dividends paid by USA Waste of $152,000, $582,000 and $565,000 for the years ended December 31, 1992, 1993 and 1994, respectively, and $380,000 for the three months ended March 31, 1994. The historical USA Waste income from continuing operations per share has also been adjusted for the preferred stock dividends. Fully diluted earnings (loss) per share are considered equal to primary earnings (loss) per share for all periods presented because the addition of potentially dilutive securities that are not common stock equivalents would have been either antidilutive or immaterial.</w:t>
      </w:r>
    </w:p>
    <w:p>
      <w:pPr>
        <w:spacing w:after="0" w:line="354" w:lineRule="exact"/>
        <w:rPr>
          <w:rFonts w:ascii="Courier New" w:cs="Courier New" w:eastAsia="Courier New" w:hAnsi="Courier New"/>
          <w:sz w:val="15"/>
          <w:szCs w:val="15"/>
          <w:color w:val="auto"/>
        </w:rPr>
      </w:pPr>
    </w:p>
    <w:p>
      <w:pPr>
        <w:ind w:left="-260" w:right="3099" w:firstLine="443"/>
        <w:spacing w:after="0" w:line="244" w:lineRule="auto"/>
        <w:tabs>
          <w:tab w:leader="none" w:pos="55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unaudited pro forma condensed financial statements assume that the Merger qualifies as a "tax-free" reorganization for federal income tax purposes. As a result of the Merger, certain tax net operating loss carryforwards will become available to offset future taxable income of the combined company. Chambers has not recognized any benefit with respect to these tax net operating loss carryforwards in prior years; however, this pro forma presentation assumes the recognition of certain of these benefits in the combined historical unaudited condensed statements of operations only to the extent that deferred tax liabilities are available to offset the benefit. There can be no assurance that the tax net operating loss carryforwards will be utilized or that they will not be subject to limitations See "The Merger and Related Transactions -- Net Operating Loss Carryforwards."</w:t>
      </w:r>
    </w:p>
    <w:p>
      <w:pPr>
        <w:spacing w:after="0" w:line="18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9959"/>
          </w:cols>
          <w:pgMar w:left="500" w:top="291"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97</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SUPPLEMENTAL INFORMATION RELATING</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TO PRO FORMA STATEMENT OF OPERATIONS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FOR THE YEAR ENDED DECEMBER 31, 1994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combined historical unaudited pro forma condensed financial information for the year ended December 31, 1994 included elsewhere herein gives effect to certain pro forma adjustments as described in the notes to such information. In evaluating the Merger, the respective managements of USA Waste and Chambers considered the impact of certain cost and expense savings and other economic benefits that are expected to be realized as a result of the Merger. These adjustments do not include additional cost reductions relating to landfill and collection operations or additional revenues that may result from volume or price increases.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Application of the supplemental adjustments described below to the combined historical unaudited pro forma statement of operations for the year ended December 31, 1994 would result in the following (in thousands, except per share amount):</w:t>
      </w:r>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Operating revenues........................................................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$434,224</w:t>
            </w:r>
          </w:p>
        </w:tc>
      </w:tr>
      <w:tr>
        <w:trPr>
          <w:trHeight w:val="173"/>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Income from operations....................................................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69,097</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c>
          <w:tcPr>
            <w:tcW w:w="5740" w:type="dxa"/>
            <w:vAlign w:val="bottom"/>
          </w:tcPr>
          <w:p>
            <w:pPr>
              <w:ind w:left="60"/>
              <w:spacing w:after="0"/>
              <w:rPr>
                <w:sz w:val="20"/>
                <w:szCs w:val="20"/>
                <w:color w:val="auto"/>
              </w:rPr>
            </w:pPr>
            <w:r>
              <w:rPr>
                <w:rFonts w:ascii="Courier New" w:cs="Courier New" w:eastAsia="Courier New" w:hAnsi="Courier New"/>
                <w:sz w:val="15"/>
                <w:szCs w:val="15"/>
                <w:color w:val="auto"/>
              </w:rPr>
              <w:t>continuing operations.........................................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36,976</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c>
          <w:tcPr>
            <w:tcW w:w="5740" w:type="dxa"/>
            <w:vAlign w:val="bottom"/>
          </w:tcPr>
          <w:p>
            <w:pPr>
              <w:ind w:left="60"/>
              <w:spacing w:after="0"/>
              <w:rPr>
                <w:sz w:val="20"/>
                <w:szCs w:val="20"/>
                <w:color w:val="auto"/>
              </w:rPr>
            </w:pPr>
            <w:r>
              <w:rPr>
                <w:rFonts w:ascii="Courier New" w:cs="Courier New" w:eastAsia="Courier New" w:hAnsi="Courier New"/>
                <w:sz w:val="15"/>
                <w:szCs w:val="15"/>
                <w:color w:val="auto"/>
              </w:rPr>
              <w:t>continuing operations per common share........................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bl>
    <w:p>
      <w:pPr>
        <w:spacing w:after="0" w:line="351"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adjustments to the pro forma financial information give effect to the following:</w:t>
      </w:r>
    </w:p>
    <w:p>
      <w:pPr>
        <w:spacing w:after="0" w:line="176" w:lineRule="exact"/>
        <w:rPr>
          <w:sz w:val="20"/>
          <w:szCs w:val="20"/>
          <w:color w:val="auto"/>
        </w:rPr>
      </w:pPr>
    </w:p>
    <w:p>
      <w:pPr>
        <w:ind w:left="540" w:right="3099" w:hanging="97"/>
        <w:spacing w:after="0" w:line="244" w:lineRule="auto"/>
        <w:tabs>
          <w:tab w:leader="none" w:pos="6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cost savings and efficiencies of approximately $16 million that may have been achieved if the combination of USA Waste and Chambers had occurred as of January 1, 1994. These cost savings and efficiencies are directly attributable or related to the Merger and are expected to have a continuing impact on the combined company.</w:t>
      </w:r>
    </w:p>
    <w:p>
      <w:pPr>
        <w:spacing w:after="0" w:line="176" w:lineRule="exact"/>
        <w:rPr>
          <w:rFonts w:ascii="Courier New" w:cs="Courier New" w:eastAsia="Courier New" w:hAnsi="Courier New"/>
          <w:sz w:val="15"/>
          <w:szCs w:val="15"/>
          <w:color w:val="auto"/>
        </w:rPr>
      </w:pPr>
    </w:p>
    <w:p>
      <w:pPr>
        <w:ind w:left="540" w:right="3019" w:hanging="97"/>
        <w:spacing w:after="0" w:line="243" w:lineRule="auto"/>
        <w:tabs>
          <w:tab w:leader="none" w:pos="6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shareholder litigation settlement and other litigation related costs of approximately $79.4 million.</w:t>
      </w:r>
    </w:p>
    <w:p>
      <w:pPr>
        <w:spacing w:after="0" w:line="176" w:lineRule="exact"/>
        <w:rPr>
          <w:rFonts w:ascii="Courier New" w:cs="Courier New" w:eastAsia="Courier New" w:hAnsi="Courier New"/>
          <w:sz w:val="15"/>
          <w:szCs w:val="15"/>
          <w:color w:val="auto"/>
        </w:rPr>
      </w:pPr>
    </w:p>
    <w:p>
      <w:pPr>
        <w:ind w:left="540" w:right="3379" w:hanging="97"/>
        <w:spacing w:after="0" w:line="278" w:lineRule="auto"/>
        <w:tabs>
          <w:tab w:leader="none" w:pos="63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Removal of approximately $3.8 million in costs incurred in connection with the merger of USA Waste and Envirofil on May 26, 1994.</w:t>
      </w:r>
    </w:p>
    <w:p>
      <w:pPr>
        <w:spacing w:after="0" w:line="152" w:lineRule="exact"/>
        <w:rPr>
          <w:rFonts w:ascii="Courier New" w:cs="Courier New" w:eastAsia="Courier New" w:hAnsi="Courier New"/>
          <w:sz w:val="14"/>
          <w:szCs w:val="14"/>
          <w:color w:val="auto"/>
        </w:rPr>
      </w:pPr>
    </w:p>
    <w:p>
      <w:pPr>
        <w:ind w:left="540" w:right="3019" w:hanging="97"/>
        <w:spacing w:after="0" w:line="244" w:lineRule="auto"/>
        <w:tabs>
          <w:tab w:leader="none" w:pos="6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 interest expense as a result of the assumed reduction in long-term debt offset by additional interest expense on the $79.4 million shareholder litigation settlement and other litigation related costs, (ii) interest income as a result of using available cash and investment balances to reduce outstanding debt, and (iii) letter of credit fees and interest costs due to the enhanced credit terms that are expected to be available to the combined company.</w:t>
      </w:r>
    </w:p>
    <w:p>
      <w:pPr>
        <w:spacing w:after="0" w:line="177" w:lineRule="exact"/>
        <w:rPr>
          <w:rFonts w:ascii="Courier New" w:cs="Courier New" w:eastAsia="Courier New" w:hAnsi="Courier New"/>
          <w:sz w:val="15"/>
          <w:szCs w:val="15"/>
          <w:color w:val="auto"/>
        </w:rPr>
      </w:pPr>
    </w:p>
    <w:p>
      <w:pPr>
        <w:ind w:left="540" w:right="3019" w:hanging="97"/>
        <w:spacing w:after="0" w:line="243" w:lineRule="auto"/>
        <w:tabs>
          <w:tab w:leader="none" w:pos="63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other unusual and nonrecurring charges in Chambers' operations of approximately $12.7 million.</w:t>
      </w:r>
    </w:p>
    <w:p>
      <w:pPr>
        <w:spacing w:after="0" w:line="176" w:lineRule="exact"/>
        <w:rPr>
          <w:rFonts w:ascii="Courier New" w:cs="Courier New" w:eastAsia="Courier New" w:hAnsi="Courier New"/>
          <w:sz w:val="15"/>
          <w:szCs w:val="15"/>
          <w:color w:val="auto"/>
        </w:rPr>
      </w:pPr>
    </w:p>
    <w:p>
      <w:pPr>
        <w:ind w:left="540" w:right="3199" w:hanging="97"/>
        <w:spacing w:after="0" w:line="278" w:lineRule="auto"/>
        <w:tabs>
          <w:tab w:leader="none" w:pos="63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 of the provision for income taxes to reflect the benefit from expected utilization of the Chambers' net operating loss carryforwards.</w:t>
      </w:r>
    </w:p>
    <w:p>
      <w:pPr>
        <w:spacing w:after="0" w:line="15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of January 1, 1995, USA Waste changed the useful life of the excess of cost over net assets of acquired businesses from 25 years to 40 years to more appropriately reflect the estimated periods during which the benefit of the assets will be realized. This change in accounting estimate is expected to have the effect of reducing amortization expense by approximately $1,350,000 in 1995 on a combined basis.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91" w:right="1440" w:bottom="1440" w:gutter="0" w:footer="0" w:header="0"/>
        </w:sectPr>
      </w:pPr>
    </w:p>
    <w:bookmarkStart w:id="98" w:name="page99"/>
    <w:bookmarkEnd w:id="98"/>
    <w:p>
      <w:pPr>
        <w:ind w:left="268"/>
        <w:spacing w:after="0"/>
        <w:rPr>
          <w:sz w:val="20"/>
          <w:szCs w:val="20"/>
          <w:color w:val="auto"/>
        </w:rPr>
      </w:pPr>
      <w:r>
        <w:rPr>
          <w:rFonts w:ascii="Courier New" w:cs="Courier New" w:eastAsia="Courier New" w:hAnsi="Courier New"/>
          <w:sz w:val="15"/>
          <w:szCs w:val="15"/>
          <w:color w:val="auto"/>
        </w:rPr>
        <w:t>98</w:t>
      </w:r>
    </w:p>
    <w:p>
      <w:pPr>
        <w:spacing w:after="0" w:line="177"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PRINCIPAL STOCKHOLDERS OF USA WASTE AND CHAMBERS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information with respect to the beneficial ownership of USA Waste Common Stock as of the Record Date by each owner of more than 5% of the outstanding USA Waste Common Stock, and the percentage of USA Waste Common Stock after consummation of the Merger.</w:t>
      </w:r>
    </w:p>
    <w:p>
      <w:pPr>
        <w:spacing w:after="0" w:line="200" w:lineRule="exact"/>
        <w:rPr>
          <w:sz w:val="20"/>
          <w:szCs w:val="20"/>
          <w:color w:val="auto"/>
        </w:rPr>
      </w:pPr>
    </w:p>
    <w:p>
      <w:pPr>
        <w:spacing w:after="0" w:line="322"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PERCENTAGE OF CLASS</w:t>
            </w:r>
          </w:p>
        </w:tc>
      </w:tr>
      <w:tr>
        <w:trPr>
          <w:trHeight w:val="173"/>
        </w:trPr>
        <w:tc>
          <w:tcPr>
            <w:tcW w:w="3420" w:type="dxa"/>
            <w:vAlign w:val="bottom"/>
          </w:tcPr>
          <w:p>
            <w:pPr>
              <w:spacing w:after="0"/>
              <w:rPr>
                <w:sz w:val="15"/>
                <w:szCs w:val="15"/>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AMOUNT OF</w:t>
            </w: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BENEFICIAL</w:t>
            </w:r>
          </w:p>
        </w:tc>
        <w:tc>
          <w:tcPr>
            <w:tcW w:w="17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BEFORE THE</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AFTER THE</w:t>
            </w:r>
          </w:p>
        </w:tc>
      </w:tr>
      <w:tr>
        <w:trPr>
          <w:trHeight w:val="173"/>
        </w:trPr>
        <w:tc>
          <w:tcPr>
            <w:tcW w:w="3420" w:type="dxa"/>
            <w:vAlign w:val="bottom"/>
          </w:tcPr>
          <w:p>
            <w:pPr>
              <w:ind w:left="900"/>
              <w:spacing w:after="0"/>
              <w:rPr>
                <w:sz w:val="20"/>
                <w:szCs w:val="20"/>
                <w:color w:val="auto"/>
              </w:rPr>
            </w:pPr>
            <w:r>
              <w:rPr>
                <w:rFonts w:ascii="Courier New" w:cs="Courier New" w:eastAsia="Courier New" w:hAnsi="Courier New"/>
                <w:sz w:val="15"/>
                <w:szCs w:val="15"/>
                <w:color w:val="auto"/>
              </w:rPr>
              <w:t>NAME AND ADDRESS</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OWNERSHIP</w:t>
            </w:r>
          </w:p>
        </w:tc>
        <w:tc>
          <w:tcPr>
            <w:tcW w:w="17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MERGER</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MERGER(1)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Robert F. Smith......................</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2,845,107(2)</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12.2%</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31725 North Route 83</w:t>
            </w:r>
          </w:p>
        </w:tc>
        <w:tc>
          <w:tcPr>
            <w:tcW w:w="1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Grayslake, Illinois 62030</w:t>
            </w:r>
          </w:p>
        </w:tc>
        <w:tc>
          <w:tcPr>
            <w:tcW w:w="1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Donald F. Moorehead, Jr..............</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2,129,027(3)</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9.1%</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5000 Quorum Drive, Suite 300</w:t>
            </w:r>
          </w:p>
        </w:tc>
        <w:tc>
          <w:tcPr>
            <w:tcW w:w="1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Dallas, Texas 75240</w:t>
            </w:r>
          </w:p>
        </w:tc>
        <w:tc>
          <w:tcPr>
            <w:tcW w:w="1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1,301,614(4)</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5.6%</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500 Quorum Drive, Suite 300</w:t>
            </w:r>
          </w:p>
        </w:tc>
        <w:tc>
          <w:tcPr>
            <w:tcW w:w="1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Dallas, Texas 75240</w:t>
            </w:r>
          </w:p>
        </w:tc>
        <w:tc>
          <w:tcPr>
            <w:tcW w:w="1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199" w:hanging="368"/>
        <w:spacing w:after="0" w:line="244" w:lineRule="auto"/>
        <w:tabs>
          <w:tab w:leader="none" w:pos="3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Merger, assuming no change occurs in shares owned as of the indicated date and that 50,796,281 shares of USA Waste Common Stock are outstanding on the Effective Time.</w:t>
      </w:r>
    </w:p>
    <w:p>
      <w:pPr>
        <w:spacing w:after="0" w:line="175" w:lineRule="exact"/>
        <w:rPr>
          <w:rFonts w:ascii="Courier New" w:cs="Courier New" w:eastAsia="Courier New" w:hAnsi="Courier New"/>
          <w:sz w:val="15"/>
          <w:szCs w:val="15"/>
          <w:color w:val="auto"/>
        </w:rPr>
      </w:pPr>
    </w:p>
    <w:p>
      <w:pPr>
        <w:jc w:val="both"/>
        <w:ind w:left="368" w:right="3279" w:hanging="368"/>
        <w:spacing w:after="0" w:line="244" w:lineRule="auto"/>
        <w:tabs>
          <w:tab w:leader="none" w:pos="3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338,500 shares of USA Waste Common Stock that may be acquired by Mr. Smith pursuant to warrants and stock options exercisable currently or within 60 days.</w:t>
      </w:r>
    </w:p>
    <w:p>
      <w:pPr>
        <w:spacing w:after="0" w:line="175" w:lineRule="exact"/>
        <w:rPr>
          <w:rFonts w:ascii="Courier New" w:cs="Courier New" w:eastAsia="Courier New" w:hAnsi="Courier New"/>
          <w:sz w:val="15"/>
          <w:szCs w:val="15"/>
          <w:color w:val="auto"/>
        </w:rPr>
      </w:pPr>
    </w:p>
    <w:p>
      <w:pPr>
        <w:ind w:left="368" w:right="3199" w:hanging="368"/>
        <w:spacing w:after="0" w:line="244" w:lineRule="auto"/>
        <w:tabs>
          <w:tab w:leader="none" w:pos="3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505,000 shares of USA Waste Common Stock that may be acquired by Mr. Moorehead pursuant to warrants and stock options exercisable currently or within 60 days, 122,974 shares owned by Mr. Moorehead's spouse and children, and an aggregate of 3,394 shares issuable upon conversion of convertible subordinated debentures owned by Mr. Moorehead's spouse and children.</w:t>
      </w:r>
    </w:p>
    <w:p>
      <w:pPr>
        <w:spacing w:after="0" w:line="177"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241,500 shares of USA Waste Common Stock that may be acquired by Mr. Drury pursuant to warrants exercisable currently or within 60 days, and 5,176 shares owned by Mr. Drury's spouse.</w:t>
      </w:r>
    </w:p>
    <w:p>
      <w:pPr>
        <w:spacing w:after="0" w:line="175"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information with respect to the beneficial ownership of Chambers Common Stock and Chambers Class A Common Stock as of December 31, 1994, by each owner of more than 5% of the outstanding shares of each said class and the percentage of USA Waste Common Stock after consummation of the Merger.</w:t>
      </w:r>
    </w:p>
    <w:p>
      <w:pPr>
        <w:spacing w:after="0" w:line="200" w:lineRule="exact"/>
        <w:rPr>
          <w:sz w:val="20"/>
          <w:szCs w:val="20"/>
          <w:color w:val="auto"/>
        </w:rPr>
      </w:pPr>
    </w:p>
    <w:p>
      <w:pPr>
        <w:spacing w:after="0" w:line="323" w:lineRule="exact"/>
        <w:rPr>
          <w:sz w:val="20"/>
          <w:szCs w:val="20"/>
          <w:color w:val="auto"/>
        </w:rPr>
      </w:pPr>
    </w:p>
    <w:p>
      <w:pPr>
        <w:ind w:left="3608"/>
        <w:spacing w:after="0"/>
        <w:tabs>
          <w:tab w:leader="none" w:pos="6467" w:val="left"/>
        </w:tabs>
        <w:rPr>
          <w:sz w:val="20"/>
          <w:szCs w:val="20"/>
          <w:color w:val="auto"/>
        </w:rPr>
      </w:pPr>
      <w:r>
        <w:rPr>
          <w:rFonts w:ascii="Courier New" w:cs="Courier New" w:eastAsia="Courier New" w:hAnsi="Courier New"/>
          <w:sz w:val="15"/>
          <w:szCs w:val="15"/>
          <w:color w:val="auto"/>
        </w:rPr>
        <w:t>TITLE OF CLASS AND</w:t>
      </w:r>
      <w:r>
        <w:rPr>
          <w:sz w:val="20"/>
          <w:szCs w:val="20"/>
          <w:color w:val="auto"/>
        </w:rPr>
        <w:tab/>
      </w:r>
      <w:r>
        <w:rPr>
          <w:rFonts w:ascii="Courier New" w:cs="Courier New" w:eastAsia="Courier New" w:hAnsi="Courier New"/>
          <w:sz w:val="15"/>
          <w:szCs w:val="15"/>
          <w:color w:val="auto"/>
        </w:rPr>
        <w:t>PERCENTAGE OF CLASS</w:t>
      </w:r>
    </w:p>
    <w:p>
      <w:pPr>
        <w:spacing w:after="0" w:line="3" w:lineRule="exact"/>
        <w:rPr>
          <w:sz w:val="20"/>
          <w:szCs w:val="20"/>
          <w:color w:val="auto"/>
        </w:rPr>
      </w:pPr>
    </w:p>
    <w:p>
      <w:pPr>
        <w:ind w:left="4148"/>
        <w:spacing w:after="0"/>
        <w:tabs>
          <w:tab w:leader="none" w:pos="5927"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3428"/>
        <w:spacing w:after="0"/>
        <w:tabs>
          <w:tab w:leader="none" w:pos="7907" w:val="left"/>
        </w:tabs>
        <w:rPr>
          <w:sz w:val="20"/>
          <w:szCs w:val="20"/>
          <w:color w:val="auto"/>
        </w:rPr>
      </w:pPr>
      <w:r>
        <w:rPr>
          <w:rFonts w:ascii="Courier New" w:cs="Courier New" w:eastAsia="Courier New" w:hAnsi="Courier New"/>
          <w:sz w:val="15"/>
          <w:szCs w:val="15"/>
          <w:color w:val="auto"/>
        </w:rPr>
        <w:t>OF BENEFICIAL OWNERSHIP</w:t>
      </w:r>
      <w:r>
        <w:rPr>
          <w:sz w:val="20"/>
          <w:szCs w:val="20"/>
          <w:color w:val="auto"/>
        </w:rPr>
        <w:tab/>
      </w:r>
      <w:r>
        <w:rPr>
          <w:rFonts w:ascii="Courier New" w:cs="Courier New" w:eastAsia="Courier New" w:hAnsi="Courier New"/>
          <w:sz w:val="15"/>
          <w:szCs w:val="15"/>
          <w:color w:val="auto"/>
        </w:rPr>
        <w:t>USA WASTE</w:t>
      </w:r>
    </w:p>
    <w:p>
      <w:pPr>
        <w:spacing w:after="0" w:line="3" w:lineRule="exact"/>
        <w:rPr>
          <w:sz w:val="20"/>
          <w:szCs w:val="20"/>
          <w:color w:val="auto"/>
        </w:rPr>
      </w:pPr>
    </w:p>
    <w:p>
      <w:pPr>
        <w:ind w:left="3428"/>
        <w:spacing w:after="0"/>
        <w:tabs>
          <w:tab w:leader="none" w:pos="5927" w:val="left"/>
          <w:tab w:leader="none" w:pos="808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5"/>
          <w:szCs w:val="15"/>
          <w:color w:val="auto"/>
        </w:rPr>
        <w:t>COMMON</w:t>
      </w:r>
    </w:p>
    <w:p>
      <w:pPr>
        <w:spacing w:after="0" w:line="3" w:lineRule="exact"/>
        <w:rPr>
          <w:sz w:val="20"/>
          <w:szCs w:val="20"/>
          <w:color w:val="auto"/>
        </w:rPr>
      </w:pPr>
    </w:p>
    <w:p>
      <w:pPr>
        <w:ind w:left="3508"/>
        <w:spacing w:after="0"/>
        <w:tabs>
          <w:tab w:leader="none" w:pos="6107" w:val="left"/>
          <w:tab w:leader="none" w:pos="8087" w:val="left"/>
        </w:tabs>
        <w:rPr>
          <w:sz w:val="20"/>
          <w:szCs w:val="20"/>
          <w:color w:val="auto"/>
        </w:rPr>
      </w:pPr>
      <w:r>
        <w:rPr>
          <w:rFonts w:ascii="Courier New" w:cs="Courier New" w:eastAsia="Courier New" w:hAnsi="Courier New"/>
          <w:sz w:val="15"/>
          <w:szCs w:val="15"/>
          <w:color w:val="auto"/>
        </w:rPr>
        <w:t>CLASS A</w:t>
      </w:r>
      <w:r>
        <w:rPr>
          <w:sz w:val="20"/>
          <w:szCs w:val="20"/>
          <w:color w:val="auto"/>
        </w:rPr>
        <w:tab/>
      </w: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STOCK</w:t>
      </w:r>
    </w:p>
    <w:p>
      <w:pPr>
        <w:spacing w:after="0" w:line="3" w:lineRule="exact"/>
        <w:rPr>
          <w:sz w:val="20"/>
          <w:szCs w:val="20"/>
          <w:color w:val="auto"/>
        </w:rPr>
      </w:pPr>
    </w:p>
    <w:p>
      <w:pPr>
        <w:ind w:left="728"/>
        <w:spacing w:after="0"/>
        <w:tabs>
          <w:tab w:leader="none" w:pos="3487" w:val="left"/>
          <w:tab w:leader="none" w:pos="4767" w:val="left"/>
          <w:tab w:leader="none" w:pos="5927" w:val="left"/>
          <w:tab w:leader="none" w:pos="6927" w:val="left"/>
          <w:tab w:leader="none" w:pos="7907" w:val="left"/>
        </w:tabs>
        <w:rPr>
          <w:sz w:val="20"/>
          <w:szCs w:val="20"/>
          <w:color w:val="auto"/>
        </w:rPr>
      </w:pPr>
      <w:r>
        <w:rPr>
          <w:rFonts w:ascii="Courier New" w:cs="Courier New" w:eastAsia="Courier New" w:hAnsi="Courier New"/>
          <w:sz w:val="15"/>
          <w:szCs w:val="15"/>
          <w:color w:val="auto"/>
        </w:rPr>
        <w:t>NAME AND ADDRESS OF</w:t>
      </w:r>
      <w:r>
        <w:rPr>
          <w:sz w:val="20"/>
          <w:szCs w:val="20"/>
          <w:color w:val="auto"/>
        </w:rPr>
        <w:tab/>
      </w: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5"/>
          <w:szCs w:val="15"/>
          <w:color w:val="auto"/>
        </w:rPr>
        <w:t>AFTER THE</w:t>
      </w:r>
    </w:p>
    <w:p>
      <w:pPr>
        <w:spacing w:after="0" w:line="3" w:lineRule="exact"/>
        <w:rPr>
          <w:sz w:val="20"/>
          <w:szCs w:val="20"/>
          <w:color w:val="auto"/>
        </w:rPr>
      </w:pPr>
    </w:p>
    <w:p>
      <w:pPr>
        <w:ind w:left="908"/>
        <w:spacing w:after="0"/>
        <w:tabs>
          <w:tab w:leader="none" w:pos="3587" w:val="left"/>
          <w:tab w:leader="none" w:pos="4847" w:val="left"/>
          <w:tab w:leader="none" w:pos="5927" w:val="left"/>
          <w:tab w:leader="none" w:pos="6927" w:val="left"/>
          <w:tab w:leader="none" w:pos="7907" w:val="left"/>
        </w:tabs>
        <w:rPr>
          <w:sz w:val="20"/>
          <w:szCs w:val="20"/>
          <w:color w:val="auto"/>
        </w:rPr>
      </w:pPr>
      <w:r>
        <w:rPr>
          <w:rFonts w:ascii="Courier New" w:cs="Courier New" w:eastAsia="Courier New" w:hAnsi="Courier New"/>
          <w:sz w:val="15"/>
          <w:szCs w:val="15"/>
          <w:color w:val="auto"/>
        </w:rPr>
        <w:t>BENEFICIAL OWNER</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MERGER(1)</w:t>
      </w:r>
    </w:p>
    <w:p>
      <w:pPr>
        <w:spacing w:after="0" w:line="3" w:lineRule="exact"/>
        <w:rPr>
          <w:sz w:val="20"/>
          <w:szCs w:val="20"/>
          <w:color w:val="auto"/>
        </w:rPr>
      </w:pPr>
    </w:p>
    <w:p>
      <w:pPr>
        <w:ind w:left="8"/>
        <w:spacing w:after="0"/>
        <w:tabs>
          <w:tab w:leader="none" w:pos="3587" w:val="left"/>
          <w:tab w:leader="none" w:pos="4847" w:val="left"/>
          <w:tab w:leader="none" w:pos="6107" w:val="left"/>
          <w:tab w:leader="none" w:pos="7107" w:val="left"/>
          <w:tab w:leader="none" w:pos="8087"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8"/>
        <w:spacing w:after="0"/>
        <w:tabs>
          <w:tab w:leader="none" w:pos="3407" w:val="left"/>
          <w:tab w:leader="none" w:pos="4667" w:val="left"/>
          <w:tab w:leader="none" w:pos="6027" w:val="left"/>
          <w:tab w:leader="none" w:pos="7007" w:val="left"/>
          <w:tab w:leader="none" w:pos="8187" w:val="left"/>
        </w:tabs>
        <w:rPr>
          <w:sz w:val="20"/>
          <w:szCs w:val="20"/>
          <w:color w:val="auto"/>
        </w:rPr>
      </w:pPr>
      <w:r>
        <w:rPr>
          <w:rFonts w:ascii="Courier New" w:cs="Courier New" w:eastAsia="Courier New" w:hAnsi="Courier New"/>
          <w:sz w:val="15"/>
          <w:szCs w:val="15"/>
          <w:color w:val="auto"/>
        </w:rPr>
        <w:t>John G. Rangos, Sr..................</w:t>
        <w:tab/>
        <w:t>8,963,120</w:t>
      </w:r>
      <w:r>
        <w:rPr>
          <w:sz w:val="20"/>
          <w:szCs w:val="20"/>
          <w:color w:val="auto"/>
        </w:rPr>
        <w:tab/>
      </w:r>
      <w:r>
        <w:rPr>
          <w:rFonts w:ascii="Courier New" w:cs="Courier New" w:eastAsia="Courier New" w:hAnsi="Courier New"/>
          <w:sz w:val="15"/>
          <w:szCs w:val="15"/>
          <w:color w:val="auto"/>
        </w:rPr>
        <w:t>9,598,120</w:t>
      </w:r>
      <w:r>
        <w:rPr>
          <w:sz w:val="20"/>
          <w:szCs w:val="20"/>
          <w:color w:val="auto"/>
        </w:rPr>
        <w:tab/>
      </w:r>
      <w:r>
        <w:rPr>
          <w:rFonts w:ascii="Courier New" w:cs="Courier New" w:eastAsia="Courier New" w:hAnsi="Courier New"/>
          <w:sz w:val="15"/>
          <w:szCs w:val="15"/>
          <w:color w:val="auto"/>
        </w:rPr>
        <w:t>17.5%</w:t>
      </w:r>
      <w:r>
        <w:rPr>
          <w:sz w:val="20"/>
          <w:szCs w:val="20"/>
          <w:color w:val="auto"/>
        </w:rPr>
        <w:tab/>
      </w:r>
      <w:r>
        <w:rPr>
          <w:rFonts w:ascii="Courier New" w:cs="Courier New" w:eastAsia="Courier New" w:hAnsi="Courier New"/>
          <w:sz w:val="15"/>
          <w:szCs w:val="15"/>
          <w:color w:val="auto"/>
        </w:rPr>
        <w:t>61.6%</w:t>
      </w:r>
      <w:r>
        <w:rPr>
          <w:sz w:val="20"/>
          <w:szCs w:val="20"/>
          <w:color w:val="auto"/>
        </w:rPr>
        <w:tab/>
      </w:r>
      <w:r>
        <w:rPr>
          <w:rFonts w:ascii="Courier New" w:cs="Courier New" w:eastAsia="Courier New" w:hAnsi="Courier New"/>
          <w:sz w:val="14"/>
          <w:szCs w:val="14"/>
          <w:color w:val="auto"/>
        </w:rPr>
        <w:t>15.2%</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10700 Frankstown Road</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Pittsburgh, PA 15235</w:t>
      </w:r>
    </w:p>
    <w:p>
      <w:pPr>
        <w:spacing w:after="0" w:line="3" w:lineRule="exact"/>
        <w:rPr>
          <w:sz w:val="20"/>
          <w:szCs w:val="20"/>
          <w:color w:val="auto"/>
        </w:rPr>
      </w:pPr>
    </w:p>
    <w:p>
      <w:pPr>
        <w:ind w:left="8"/>
        <w:spacing w:after="0"/>
        <w:tabs>
          <w:tab w:leader="none" w:pos="3407" w:val="left"/>
          <w:tab w:leader="none" w:pos="4667" w:val="left"/>
          <w:tab w:leader="none" w:pos="6107" w:val="left"/>
          <w:tab w:leader="none" w:pos="7007" w:val="left"/>
          <w:tab w:leader="none" w:pos="8267" w:val="left"/>
        </w:tabs>
        <w:rPr>
          <w:sz w:val="20"/>
          <w:szCs w:val="20"/>
          <w:color w:val="auto"/>
        </w:rPr>
      </w:pPr>
      <w:r>
        <w:rPr>
          <w:rFonts w:ascii="Courier New" w:cs="Courier New" w:eastAsia="Courier New" w:hAnsi="Courier New"/>
          <w:sz w:val="15"/>
          <w:szCs w:val="15"/>
          <w:color w:val="auto"/>
        </w:rPr>
        <w:t>John G. Rangos, Jr.(2)(3)...........</w:t>
        <w:tab/>
        <w:t>2,237,940</w:t>
      </w:r>
      <w:r>
        <w:rPr>
          <w:sz w:val="20"/>
          <w:szCs w:val="20"/>
          <w:color w:val="auto"/>
        </w:rPr>
        <w:tab/>
      </w:r>
      <w:r>
        <w:rPr>
          <w:rFonts w:ascii="Courier New" w:cs="Courier New" w:eastAsia="Courier New" w:hAnsi="Courier New"/>
          <w:sz w:val="15"/>
          <w:szCs w:val="15"/>
          <w:color w:val="auto"/>
        </w:rPr>
        <w:t>2,646,040</w:t>
      </w:r>
      <w:r>
        <w:rPr>
          <w:sz w:val="20"/>
          <w:szCs w:val="20"/>
          <w:color w:val="auto"/>
        </w:rPr>
        <w:tab/>
      </w: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17.0%</w:t>
      </w:r>
      <w:r>
        <w:rPr>
          <w:sz w:val="20"/>
          <w:szCs w:val="20"/>
          <w:color w:val="auto"/>
        </w:rPr>
        <w:tab/>
      </w:r>
      <w:r>
        <w:rPr>
          <w:rFonts w:ascii="Courier New" w:cs="Courier New" w:eastAsia="Courier New" w:hAnsi="Courier New"/>
          <w:sz w:val="15"/>
          <w:szCs w:val="15"/>
          <w:color w:val="auto"/>
        </w:rPr>
        <w:t>4.0%</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10700 Frankstown Road</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Pittsburgh, PA 15235</w:t>
      </w:r>
    </w:p>
    <w:p>
      <w:pPr>
        <w:spacing w:after="0" w:line="3" w:lineRule="exact"/>
        <w:rPr>
          <w:sz w:val="20"/>
          <w:szCs w:val="20"/>
          <w:color w:val="auto"/>
        </w:rPr>
      </w:pPr>
    </w:p>
    <w:p>
      <w:pPr>
        <w:ind w:left="8"/>
        <w:spacing w:after="0"/>
        <w:tabs>
          <w:tab w:leader="none" w:pos="3407" w:val="left"/>
          <w:tab w:leader="none" w:pos="4667" w:val="left"/>
          <w:tab w:leader="none" w:pos="6107" w:val="left"/>
          <w:tab w:leader="none" w:pos="7007" w:val="left"/>
          <w:tab w:leader="none" w:pos="8267" w:val="left"/>
        </w:tabs>
        <w:rPr>
          <w:sz w:val="20"/>
          <w:szCs w:val="20"/>
          <w:color w:val="auto"/>
        </w:rPr>
      </w:pPr>
      <w:r>
        <w:rPr>
          <w:rFonts w:ascii="Courier New" w:cs="Courier New" w:eastAsia="Courier New" w:hAnsi="Courier New"/>
          <w:sz w:val="15"/>
          <w:szCs w:val="15"/>
          <w:color w:val="auto"/>
        </w:rPr>
        <w:t>Alexander W. Rangos(2)(3)...........</w:t>
        <w:tab/>
        <w:t>2,148,340</w:t>
      </w:r>
      <w:r>
        <w:rPr>
          <w:sz w:val="20"/>
          <w:szCs w:val="20"/>
          <w:color w:val="auto"/>
        </w:rPr>
        <w:tab/>
      </w:r>
      <w:r>
        <w:rPr>
          <w:rFonts w:ascii="Courier New" w:cs="Courier New" w:eastAsia="Courier New" w:hAnsi="Courier New"/>
          <w:sz w:val="15"/>
          <w:szCs w:val="15"/>
          <w:color w:val="auto"/>
        </w:rPr>
        <w:t>2,666,040</w:t>
      </w:r>
      <w:r>
        <w:rPr>
          <w:sz w:val="20"/>
          <w:szCs w:val="20"/>
          <w:color w:val="auto"/>
        </w:rPr>
        <w:tab/>
      </w: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17.1%</w:t>
      </w:r>
      <w:r>
        <w:rPr>
          <w:sz w:val="20"/>
          <w:szCs w:val="20"/>
          <w:color w:val="auto"/>
        </w:rPr>
        <w:tab/>
      </w:r>
      <w:r>
        <w:rPr>
          <w:rFonts w:ascii="Courier New" w:cs="Courier New" w:eastAsia="Courier New" w:hAnsi="Courier New"/>
          <w:sz w:val="15"/>
          <w:szCs w:val="15"/>
          <w:color w:val="auto"/>
        </w:rPr>
        <w:t>4.0%</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10700 Frankstown Road</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Pittsburgh, PA 15235</w:t>
      </w:r>
    </w:p>
    <w:p>
      <w:pPr>
        <w:spacing w:after="0" w:line="3" w:lineRule="exact"/>
        <w:rPr>
          <w:sz w:val="20"/>
          <w:szCs w:val="20"/>
          <w:color w:val="auto"/>
        </w:rPr>
      </w:pPr>
    </w:p>
    <w:p>
      <w:pPr>
        <w:ind w:left="8"/>
        <w:spacing w:after="0"/>
        <w:tabs>
          <w:tab w:leader="none" w:pos="3407" w:val="left"/>
          <w:tab w:leader="none" w:pos="5307" w:val="left"/>
          <w:tab w:leader="none" w:pos="6107" w:val="left"/>
          <w:tab w:leader="none" w:pos="7187" w:val="left"/>
          <w:tab w:leader="none" w:pos="8267" w:val="left"/>
        </w:tabs>
        <w:rPr>
          <w:sz w:val="20"/>
          <w:szCs w:val="20"/>
          <w:color w:val="auto"/>
        </w:rPr>
      </w:pPr>
      <w:r>
        <w:rPr>
          <w:rFonts w:ascii="Courier New" w:cs="Courier New" w:eastAsia="Courier New" w:hAnsi="Courier New"/>
          <w:sz w:val="15"/>
          <w:szCs w:val="15"/>
          <w:color w:val="auto"/>
        </w:rPr>
        <w:t>Lindner Fund, Inc.(4)...............</w:t>
        <w:tab/>
        <w:t>4,699,800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7711 Carondelet Avenue</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Suite 700</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St. Louis, MO 63105</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left="368" w:right="3199" w:hanging="368"/>
        <w:spacing w:after="0" w:line="244" w:lineRule="auto"/>
        <w:tabs>
          <w:tab w:leader="none" w:pos="36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Merger, assuming no change occurs in shares owned as of the indicated date and that 50,796,282 shares of USA Waste Common Stock are outstanding on the Effective Time.</w:t>
      </w:r>
    </w:p>
    <w:p>
      <w:pPr>
        <w:sectPr>
          <w:pgSz w:w="11900" w:h="16838" w:orient="portrait"/>
          <w:cols w:equalWidth="0" w:num="1">
            <w:col w:w="10227"/>
          </w:cols>
          <w:pgMar w:left="232" w:top="291" w:right="1440" w:bottom="382" w:gutter="0" w:footer="0" w:header="0"/>
        </w:sectPr>
      </w:pP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27"/>
          </w:cols>
          <w:pgMar w:left="232" w:top="291" w:right="1440" w:bottom="382" w:gutter="0" w:footer="0" w:header="0"/>
          <w:type w:val="continuous"/>
        </w:sectPr>
      </w:pPr>
    </w:p>
    <w:bookmarkStart w:id="99" w:name="page100"/>
    <w:bookmarkEnd w:id="99"/>
    <w:p>
      <w:pPr>
        <w:ind w:left="268"/>
        <w:spacing w:after="0"/>
        <w:rPr>
          <w:sz w:val="20"/>
          <w:szCs w:val="20"/>
          <w:color w:val="auto"/>
        </w:rPr>
      </w:pPr>
      <w:r>
        <w:rPr>
          <w:rFonts w:ascii="Courier New" w:cs="Courier New" w:eastAsia="Courier New" w:hAnsi="Courier New"/>
          <w:sz w:val="15"/>
          <w:szCs w:val="15"/>
          <w:color w:val="auto"/>
        </w:rPr>
        <w:t>99</w:t>
      </w:r>
    </w:p>
    <w:p>
      <w:pPr>
        <w:spacing w:after="0" w:line="178" w:lineRule="exact"/>
        <w:rPr>
          <w:sz w:val="20"/>
          <w:szCs w:val="20"/>
          <w:color w:val="auto"/>
        </w:rPr>
      </w:pPr>
    </w:p>
    <w:p>
      <w:pPr>
        <w:ind w:left="368" w:right="3099" w:hanging="368"/>
        <w:spacing w:after="0" w:line="244" w:lineRule="auto"/>
        <w:tabs>
          <w:tab w:leader="none" w:pos="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and percentages shown include the registered holdings of such person and, in addition, 1,452,000 shares of each class beneficially owned as a result of ownership of stock of John Rangos Development Corporation, Inc., the sole stockholders of which are John G. Rangos, Jr. and Alexander W. Rangos, individually and as trustees for Jenica A. Rangos, daughter of John G. Rangos, Sr. As a result, for both Chambers Common Stock and Chambers Class A Common Stock, the same 1,452,000 shares are included above for each of John G. Rangos, Jr. and Alexander W. Rangos.</w:t>
      </w:r>
    </w:p>
    <w:p>
      <w:pPr>
        <w:spacing w:after="0" w:line="179"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107,000 shares of Class A Common Stock that may be acquired by each of John G. Rangos, Jr. and Alexander W. Rangos pursuant to stock options exercisable currently or within 60 days of this report.</w:t>
      </w:r>
    </w:p>
    <w:p>
      <w:pPr>
        <w:spacing w:after="0" w:line="175" w:lineRule="exact"/>
        <w:rPr>
          <w:rFonts w:ascii="Courier New" w:cs="Courier New" w:eastAsia="Courier New" w:hAnsi="Courier New"/>
          <w:sz w:val="15"/>
          <w:szCs w:val="15"/>
          <w:color w:val="auto"/>
        </w:rPr>
      </w:pPr>
    </w:p>
    <w:p>
      <w:pPr>
        <w:ind w:left="368" w:right="3459" w:hanging="368"/>
        <w:spacing w:after="0" w:line="243" w:lineRule="auto"/>
        <w:tabs>
          <w:tab w:leader="none" w:pos="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a report on Schedule 13G received by Chambers on February 3, 1995. Lindner Fund, Inc. is an investment company.</w:t>
      </w:r>
    </w:p>
    <w:p>
      <w:pPr>
        <w:spacing w:after="0" w:line="176"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As of the date of this Joint Proxy Statement and Prospectus, 4,817,167 shares of USA Waste Common Stock are eligible for sale pursuant to two effective shelf registration statements covering shares held by seven shareholders of USA Waste, including 2,531,607 shares of USA Waste Common Stock held by Robert F.</w:t>
      </w:r>
    </w:p>
    <w:p>
      <w:pPr>
        <w:spacing w:after="0" w:line="1" w:lineRule="exact"/>
        <w:rPr>
          <w:sz w:val="20"/>
          <w:szCs w:val="20"/>
          <w:color w:val="auto"/>
        </w:rPr>
      </w:pPr>
    </w:p>
    <w:p>
      <w:pPr>
        <w:jc w:val="both"/>
        <w:ind w:left="8" w:right="3019"/>
        <w:spacing w:after="0" w:line="244" w:lineRule="auto"/>
        <w:rPr>
          <w:sz w:val="20"/>
          <w:szCs w:val="20"/>
          <w:color w:val="auto"/>
        </w:rPr>
      </w:pPr>
      <w:r>
        <w:rPr>
          <w:rFonts w:ascii="Courier New" w:cs="Courier New" w:eastAsia="Courier New" w:hAnsi="Courier New"/>
          <w:sz w:val="15"/>
          <w:szCs w:val="15"/>
          <w:color w:val="auto"/>
        </w:rPr>
        <w:t>Smith, a principal shareholder. Future sales of substantial amounts of USA Waste Common Stock in the public market could adversely affect market prices from time to time.</w:t>
      </w:r>
    </w:p>
    <w:p>
      <w:pPr>
        <w:spacing w:after="0" w:line="175"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MARKET PRICE DATA</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 INFORMATION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USA Waste Common Stock is traded on the NYSE under the symbol "UW." Prior to July 20, 1993, USA Waste Common Stock was quoted on Nasdaq. Chambers Common Stock and Chambers Class A Common Stock are traded on the AMEX under the symbols "CDVB" and "CDVA," respectively. The following table sets forth the range of high and low closing sale prices for the USA Waste Common Stock, as reported on the NYSE, and the Chambers Common Stock and Chambers Class A Common Stock, as reported on the AMEX. For periods prior to July 20, 1993, prices indicated for USA Waste Common Stock reflect high and low sales prices as quoted on the Nasdaq.</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CHAMBERS</w:t>
            </w:r>
          </w:p>
        </w:tc>
        <w:tc>
          <w:tcPr>
            <w:tcW w:w="1160" w:type="dxa"/>
            <w:vAlign w:val="bottom"/>
          </w:tcPr>
          <w:p>
            <w:pPr>
              <w:spacing w:after="0"/>
              <w:rPr>
                <w:sz w:val="14"/>
                <w:szCs w:val="14"/>
                <w:color w:val="auto"/>
              </w:rPr>
            </w:pPr>
          </w:p>
        </w:tc>
      </w:tr>
      <w:tr>
        <w:trPr>
          <w:trHeight w:val="173"/>
        </w:trPr>
        <w:tc>
          <w:tcPr>
            <w:tcW w:w="3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CLASS A COMMON</w:t>
            </w:r>
          </w:p>
        </w:tc>
      </w:tr>
      <w:tr>
        <w:trPr>
          <w:trHeight w:val="173"/>
        </w:trPr>
        <w:tc>
          <w:tcPr>
            <w:tcW w:w="3420" w:type="dxa"/>
            <w:vAlign w:val="bottom"/>
          </w:tcPr>
          <w:p>
            <w:pPr>
              <w:spacing w:after="0"/>
              <w:rPr>
                <w:sz w:val="15"/>
                <w:szCs w:val="15"/>
                <w:color w:val="auto"/>
              </w:rPr>
            </w:pPr>
          </w:p>
        </w:tc>
        <w:tc>
          <w:tcPr>
            <w:tcW w:w="18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USA WASTE</w:t>
            </w:r>
          </w:p>
        </w:tc>
        <w:tc>
          <w:tcPr>
            <w:tcW w:w="15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COMMON STOCK</w:t>
            </w:r>
          </w:p>
        </w:tc>
        <w:tc>
          <w:tcPr>
            <w:tcW w:w="100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STOCK</w:t>
            </w:r>
          </w:p>
        </w:tc>
      </w:tr>
      <w:tr>
        <w:trPr>
          <w:trHeight w:val="173"/>
        </w:trPr>
        <w:tc>
          <w:tcPr>
            <w:tcW w:w="3420" w:type="dxa"/>
            <w:vAlign w:val="bottom"/>
          </w:tcPr>
          <w:p>
            <w:pPr>
              <w:spacing w:after="0"/>
              <w:rPr>
                <w:sz w:val="15"/>
                <w:szCs w:val="15"/>
                <w:color w:val="auto"/>
              </w:rPr>
            </w:pPr>
          </w:p>
        </w:tc>
        <w:tc>
          <w:tcPr>
            <w:tcW w:w="18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HIGH</w:t>
            </w: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LOW</w:t>
            </w: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HIGH</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LOW</w:t>
            </w:r>
          </w:p>
        </w:tc>
      </w:tr>
      <w:tr>
        <w:trPr>
          <w:trHeight w:val="173"/>
        </w:trPr>
        <w:tc>
          <w:tcPr>
            <w:tcW w:w="342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$14.50</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$13.25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13.75</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15.00</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12.50</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13.38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15.13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15.13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$12.25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$4.69</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$3.63</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(through May 15,</w:t>
            </w: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4.44</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bl>
    <w:p>
      <w:pPr>
        <w:spacing w:after="0" w:line="200" w:lineRule="exact"/>
        <w:rPr>
          <w:sz w:val="20"/>
          <w:szCs w:val="20"/>
          <w:color w:val="auto"/>
        </w:rPr>
      </w:pPr>
    </w:p>
    <w:p>
      <w:pPr>
        <w:spacing w:after="0" w:line="324"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On November 25, 1994, the last trading day prior to announcement by USA Waste and Chambers that they had reached an agreement concerning the Merger, the closing sale price of USA Waste Common Stock as reported on the NYSE was $14.00 per share; and the closing sale prices of Chambers Common Stock and Chambers Class A Common Stock as reported by the AMEX were $3.13 and $3.00 per share, respectively. The equivalent per share price of both Chambers Common Stock and Chambers Class A Common Stock on November 25, 1994, calculated by multiplying the closing sale price of USA Waste Common Stock on the same date by the Exchange Ratio, was $5.83.</w:t>
      </w:r>
    </w:p>
    <w:p>
      <w:pPr>
        <w:sectPr>
          <w:pgSz w:w="11900" w:h="16838" w:orient="portrait"/>
          <w:cols w:equalWidth="0" w:num="1">
            <w:col w:w="10227"/>
          </w:cols>
          <w:pgMar w:left="232" w:top="291" w:right="1440" w:bottom="1440" w:gutter="0" w:footer="0" w:header="0"/>
        </w:sectPr>
      </w:pP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27"/>
          </w:cols>
          <w:pgMar w:left="232" w:top="291" w:right="1440" w:bottom="1440" w:gutter="0" w:footer="0" w:header="0"/>
          <w:type w:val="continuous"/>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100</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May 15, 1995, the closing sale price of USA Waste Common Stock as reported on the NYSE was $15.38 per share; and the closing sale prices of Chambers Common Stock and Chambers Class A Common Stock as reported by the AMEX were $5.88 and $5.75, respectively. The number of record holders of USA Waste Common Stock, Chambers Common Stock and Chambers Class A Common Stock as of the Record Date, were 858, 521 and 3,400, respectively.</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Following the Merger, USA Waste Common Stock will continue to trade on the NYSE under the symbol "UW", and the listing of Chambers Common Stock and Chambers Class A Common Stock on the AMEX will be terminated.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INFORMATION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has never paid cash dividends on its Common Stock. Envirofil paid stock dividends on its preferred stock prior to its acquisition by USA Waste; the holders of such preferred stock received USA Waste Common Stock in that acquisition, and no dividends have been paid by USA Waste. The Board of Directors of USA Waste presently intends to retain any earnings in the foreseeable future for USA Waste's business. In addition, payment of dividends on the USA Waste Common Stock is restricted by the terms of USA Waste's bank credit agreement.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paid a cash dividend of $.01 per share on Chambers Class A Common Stock on November 14, 1990, and has not paid any dividends since that date. Chambers has not made any commitment to pay cash dividends on either Chambers Class A Common Stock or Chambers Common Stock. Chambers is currently precluded by the terms of its credit facility and senior note agreements from paying dividends to stockholders. See "Management's Discussion and Analysis of Chambers' Financial Condition and Results of Operations -- Liquidity and Capital Resources."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291"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101</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DESCRIPTION OF USA WASTE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is an integrated solid waste management company operating in the non-hazardous segment of the industry. USA Waste provides integrated solid waste management services consisting of solid waste collection, transfer, recycling, disposal and soil remediation to the full spectrum of commercial, industrial, municipal, and residential customers with operations in twelve states. Based on revenues, USA Waste is currently the sixth largest publicly traded non-hazardous solid waste management company in the United States.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conducts operations in 19 operating districts in twelve states, and employs approximately 1,200 persons. USA Waste has a diversified customer base with no single customer accounting for more than 5% of USA Waste's revenues or income from continuing operations during 1994.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non-hazardous solid waste segment of the waste management industry accounts for an estimated $30 billion per year in revenues. Despite the sheer size of the waste management industry, it has historically been a fragmented industry, with a multitude of primarily local operators servicing relatively small areas. In recent years, however, the industry has undergone a period of significant consolidation.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One of the principal forces driving consolidation within the solid waste management industry is increased regulation and enforcement of collection and disposal activities. In October 1991, the Environmental Protection Agency ("EPA") adopted new regulations pursuant to Subtitle D of the Resource Conservation and Recovery Act governing the disposal of solid waste. These regulations led to a variety of requirements applicable to landfill disposal sites, including the construction of liners and the installation of leachate collection systems, groundwater monitoring systems and methane gas recovery systems. The regulations also required enhanced control systems to monitor more closely the waste streams being disposed of at the landfills, extensive post-closure monitoring of sites and financial assurances that landfill operators will be able to comply with the stringent regulations. The result of these regulatory requirements has been increased costs throughout the various segments of the industry, with particularly dramatic increases for landfill operators.</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Compliance with the regulations currently in effect for the non-hazardous solid waste industry requires significant capital expenditures. Many industry participants have found the increased costs difficult, if not impossible to bear. A large number of smaller, independent operators have decided to either close down their operations or sell them to stronger operators, and some municipalities have chosen to discontinue or are considering discontinuing their operations and turning the management of solid waste services over to private concerns.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rising costs associated with the new industry regulations have tended to promote consolidation and acquisition activity within the industry. Larger waste management companies, with sufficient financial resources to absorb the initial costs of bringing operations into compliance, have taken advantage of discontinuations and divestitures by acquiring those operations which either complement existing businesses or otherwise increase overall strength and flexibility. Second, compliance costs at the landfill/disposal level have directly affected costs in the upstream, collection segment of the market as landfill operators pass them on through higher fees for dumping or "tipping". In addition, companies active in various segments of the industry continue to seek vertical integration to enable them to become more cost effective and competitive. Finally, the higher cost structure has also led to the merger of a number of independent collection operations to enhance financial strength and improve operating efficiencies.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78"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USA Waste seeks to capitalize on the trend of consolidation in the non-hazardous solid waste industry in several ways. One of the key elements of USA Waste's strategy involves expansion of USA Waste's integrated solid waste management services in selected markets through the acquisition of additional solid waste collection operations, landfills, transfer stations, and other related businesses that can be effectively integrated with each other and with USA Waste's existing operations to provide an overall improvement of operating</w:t>
      </w:r>
    </w:p>
    <w:p>
      <w:pPr>
        <w:sectPr>
          <w:pgSz w:w="11900" w:h="16838" w:orient="portrait"/>
          <w:cols w:equalWidth="0" w:num="1">
            <w:col w:w="10219"/>
          </w:cols>
          <w:pgMar w:left="240" w:top="291" w:right="1440" w:bottom="1440" w:gutter="0" w:footer="0" w:header="0"/>
        </w:sectPr>
      </w:pP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91" w:right="1440" w:bottom="1440" w:gutter="0" w:footer="0" w:header="0"/>
          <w:type w:val="continuous"/>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results. In addition, acquisitions in new geographic areas will be pursued where opportunities exist to strengthen USA Waste's competitive position or, where opportunities exist, to apply USA Waste's operating and management expertise to enhance the performance of acquired operations and better utilize an existing base of assets. USA Waste also intends to expand its operations in the areas that it serves through the development of landfills, collection, and transfer station operations, and the development of or participation in recycling and composting services where appropriate. USA Waste also focuses on growth of its existing operations and growth of acquired businesses. During 1994, USA Waste experienced both volume and price improvements which led to double digit internal growth rates for its comparable 1993 operations.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Another key element of USA Waste's strategy is to implement a variety of measures through which USA Waste is able to achieve administrative and operating efficiencies and improve profitability of the businesses it acquires, with the objective of becoming the low cost operator in each of its markets. These measures include consolidating and implementing uniform administrative and management systems, restructuring and consolidating collection route systems, improving equipment utilization, and increasing employee productivity through incentive compensation programs. USA Waste's management believes that its ability to serve markets as a low cost operator is fundamental to achieving sustainable internal growth.</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Since August 1990, USA Waste has acquired nine landfills, 17 collection operations, two transfer stations, a recycled materials brokerage operation, and two soil remediation facilities and assumed operation of one municipal landfill. As a result of the Merger, USA Waste will emerge as a national solid waste management company, which, in the opinion of USA Waste's management, will enable it to capitalize on Chambers' landfill ownership position and participate more effectively in the consolidation of the solid waste industry.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USA Waste provides collection, transfer and recycling, disposal, and soil remediation services to municipal, commercial, industrial and residential customers in California, Illinois, Indiana, Missouri, New Jersey, North Dakota, Ohio, Oklahoma, Pennsylvania, Texas, Washington and West Virginia.</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Management of USA Waste's solid waste operations is achieved through a divisional alignment that currently includes four divisions organized by geographic area. Each division is headed by a divisional vice president. Each divisional vice president is responsible for the oversight of the following departments: sales and marketing, administration and financial, operations, and maintenance. In addition, each divisional vice president typically has a small staff that works interactively with the corporate office to ensure proper regulatory compliance and reporting, engineering services, internal and external development, and strategic planning. Geographically, a division generally may encompass a multi-state area and may have a concentration of between five to fifteen districts. Divisions are divided into districts headed by a district manager. Each district manager is responsible for the day to day oversight of the Company's field operations, with direct responsibility for customer satisfaction, employee motivation, labor and equipment productivity, internal growth, financial budgets, and profit and loss activity. A district generally encompasses a city, county, or metropolitan area.</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current strategy with respect to the acquisition of landfill and collection operations calls for the retention or development of a locally recognizable name and decentralized management controls. Each collection unit or division maintains its own computer operations and collection service functions utilizing uniform programs and systems. These local computer operations are linked to USA Waste's corporate office and are integrated with a centralized corporate financial reporting system.</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Solid Waste Landfills. Municipal solid waste landfills are the primary depository for solid waste in North America. These disposal facilities are located on approved types of land (i.e., with geological and hydrological properties that limit the possibility of water pollution and are operated under prescribed procedures). A landfill must be maintained carefully to meet federal, state, and local regulations. Maintenance includes excavation, continuous spreading and compacting of waste, and covering of waste with earth or other inert material at least once a day. The cost of transferring solid waste to a disposal location places a geographic restriction on solid waste companies. Access to a disposal facility, such as a landfill, is a requirement for all</w:t>
      </w:r>
    </w:p>
    <w:p>
      <w:pPr>
        <w:sectPr>
          <w:pgSz w:w="11900" w:h="16838" w:orient="portrait"/>
          <w:cols w:equalWidth="0" w:num="1">
            <w:col w:w="10219"/>
          </w:cols>
          <w:pgMar w:left="240" w:top="291" w:right="1440" w:bottom="1440" w:gutter="0" w:footer="0" w:header="0"/>
        </w:sectPr>
      </w:pPr>
    </w:p>
    <w:p>
      <w:pPr>
        <w:spacing w:after="0" w:line="1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91" w:right="1440" w:bottom="1440" w:gutter="0" w:footer="0" w:header="0"/>
          <w:type w:val="continuous"/>
        </w:sectPr>
      </w:pPr>
    </w:p>
    <w:bookmarkStart w:id="103" w:name="page104"/>
    <w:bookmarkEnd w:id="103"/>
    <w:p>
      <w:pPr>
        <w:ind w:left="268"/>
        <w:spacing w:after="0"/>
        <w:rPr>
          <w:sz w:val="20"/>
          <w:szCs w:val="20"/>
          <w:color w:val="auto"/>
        </w:rPr>
      </w:pPr>
      <w:r>
        <w:rPr>
          <w:rFonts w:ascii="Courier New" w:cs="Courier New" w:eastAsia="Courier New" w:hAnsi="Courier New"/>
          <w:sz w:val="15"/>
          <w:szCs w:val="15"/>
          <w:color w:val="auto"/>
        </w:rPr>
        <w:t>103</w:t>
      </w:r>
    </w:p>
    <w:p>
      <w:pPr>
        <w:spacing w:after="0" w:line="178" w:lineRule="exact"/>
        <w:rPr>
          <w:sz w:val="20"/>
          <w:szCs w:val="20"/>
          <w:color w:val="auto"/>
        </w:rPr>
      </w:pPr>
    </w:p>
    <w:p>
      <w:pPr>
        <w:ind w:left="8" w:right="460"/>
        <w:spacing w:after="0" w:line="244" w:lineRule="auto"/>
        <w:rPr>
          <w:sz w:val="20"/>
          <w:szCs w:val="20"/>
          <w:color w:val="auto"/>
        </w:rPr>
      </w:pPr>
      <w:r>
        <w:rPr>
          <w:rFonts w:ascii="Courier New" w:cs="Courier New" w:eastAsia="Courier New" w:hAnsi="Courier New"/>
          <w:sz w:val="15"/>
          <w:szCs w:val="15"/>
          <w:color w:val="auto"/>
        </w:rPr>
        <w:t>solid waste management companies. While access can be obtained to disposal facilities owned or operated by unaffiliated parties, USA Waste believes that it is generally preferable for collection companies to own or operate their own disposal facilities so that access can be assured on favorable terms. Customers are charged tipping fees or disposal charges based on the amount and type of solid waste deposited and the type and size of vehicles used in the conveyance of solid waste.</w:t>
      </w:r>
    </w:p>
    <w:p>
      <w:pPr>
        <w:spacing w:after="0" w:line="178" w:lineRule="exact"/>
        <w:rPr>
          <w:sz w:val="20"/>
          <w:szCs w:val="20"/>
          <w:color w:val="auto"/>
        </w:rPr>
      </w:pPr>
    </w:p>
    <w:p>
      <w:pPr>
        <w:ind w:left="8" w:right="540" w:firstLine="451"/>
        <w:spacing w:after="0" w:line="244" w:lineRule="auto"/>
        <w:rPr>
          <w:sz w:val="20"/>
          <w:szCs w:val="20"/>
          <w:color w:val="auto"/>
        </w:rPr>
      </w:pPr>
      <w:r>
        <w:rPr>
          <w:rFonts w:ascii="Courier New" w:cs="Courier New" w:eastAsia="Courier New" w:hAnsi="Courier New"/>
          <w:sz w:val="15"/>
          <w:szCs w:val="15"/>
          <w:color w:val="auto"/>
        </w:rPr>
        <w:t>USA Waste currently owns and operates nine non-hazardous solid waste landfills and operates one municipal landfill. The following table summarizes certain information concerning the 10 landfills owned or operated by USA Waste.</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APPROXIMATE</w:t>
            </w:r>
          </w:p>
        </w:tc>
      </w:tr>
      <w:tr>
        <w:trPr>
          <w:trHeight w:val="173"/>
        </w:trPr>
        <w:tc>
          <w:tcPr>
            <w:tcW w:w="2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PERMITTED</w:t>
            </w:r>
          </w:p>
        </w:tc>
      </w:tr>
      <w:tr>
        <w:trPr>
          <w:trHeight w:val="173"/>
        </w:trPr>
        <w:tc>
          <w:tcPr>
            <w:tcW w:w="2420" w:type="dxa"/>
            <w:vAlign w:val="bottom"/>
          </w:tcPr>
          <w:p>
            <w:pPr>
              <w:ind w:left="540"/>
              <w:spacing w:after="0"/>
              <w:rPr>
                <w:sz w:val="20"/>
                <w:szCs w:val="20"/>
                <w:color w:val="auto"/>
              </w:rPr>
            </w:pPr>
            <w:r>
              <w:rPr>
                <w:rFonts w:ascii="Courier New" w:cs="Courier New" w:eastAsia="Courier New" w:hAnsi="Courier New"/>
                <w:sz w:val="15"/>
                <w:szCs w:val="15"/>
                <w:color w:val="auto"/>
              </w:rPr>
              <w:t>LANDFILL NAME</w:t>
            </w:r>
          </w:p>
        </w:tc>
        <w:tc>
          <w:tcPr>
            <w:tcW w:w="2900" w:type="dxa"/>
            <w:vAlign w:val="bottom"/>
          </w:tcPr>
          <w:p>
            <w:pPr>
              <w:ind w:left="1000"/>
              <w:spacing w:after="0"/>
              <w:rPr>
                <w:sz w:val="20"/>
                <w:szCs w:val="20"/>
                <w:color w:val="auto"/>
              </w:rPr>
            </w:pPr>
            <w:r>
              <w:rPr>
                <w:rFonts w:ascii="Courier New" w:cs="Courier New" w:eastAsia="Courier New" w:hAnsi="Courier New"/>
                <w:sz w:val="15"/>
                <w:szCs w:val="15"/>
                <w:color w:val="auto"/>
              </w:rPr>
              <w:t>LOCATION</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ACQUIRED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ACRES</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Pinecrest................</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McLain County, Oklahoma</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1987</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73(1)</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Ellis County.............</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Ellis County, Texas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1991</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98</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Countryside..............</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Lake County, Illinois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1991</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80(2)</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Dakota...................</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Sargeant County, North Dakota</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1991</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Ellis Scott..............</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Henry County, Missouri</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1991</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Leroy Brown..............</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McDonough County, Illinois</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1991</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80</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Earthmovers..............</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Elkhart County, Indiana</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97</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Olympic View.............</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Kitsap County, Washington</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65</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Liberty..................</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White County, Indiana</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Charleston...............</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Charleston, West Virginia</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50(3)</w:t>
            </w:r>
          </w:p>
        </w:tc>
      </w:tr>
      <w:tr>
        <w:trPr>
          <w:trHeight w:val="173"/>
        </w:trPr>
        <w:tc>
          <w:tcPr>
            <w:tcW w:w="2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ind w:left="900"/>
              <w:spacing w:after="0"/>
              <w:rPr>
                <w:sz w:val="20"/>
                <w:szCs w:val="20"/>
                <w:color w:val="auto"/>
              </w:rPr>
            </w:pPr>
            <w:r>
              <w:rPr>
                <w:rFonts w:ascii="Courier New" w:cs="Courier New" w:eastAsia="Courier New" w:hAnsi="Courier New"/>
                <w:sz w:val="15"/>
                <w:szCs w:val="15"/>
                <w:color w:val="auto"/>
              </w:rPr>
              <w:t>Total..........</w:t>
            </w:r>
          </w:p>
        </w:tc>
        <w:tc>
          <w:tcPr>
            <w:tcW w:w="2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698</w:t>
            </w:r>
          </w:p>
        </w:tc>
      </w:tr>
      <w:tr>
        <w:trPr>
          <w:trHeight w:val="173"/>
        </w:trPr>
        <w:tc>
          <w:tcPr>
            <w:tcW w:w="2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448" w:right="540" w:hanging="448"/>
        <w:spacing w:after="0" w:line="244" w:lineRule="auto"/>
        <w:tabs>
          <w:tab w:leader="none" w:pos="4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owns approximately five acres of this site and leases the remaining acreage. The lease expires in December 1996, but may be extended at USA Waste's option for two additional five-year periods, each on the same terms and conditions.</w:t>
      </w:r>
    </w:p>
    <w:p>
      <w:pPr>
        <w:spacing w:after="0" w:line="175" w:lineRule="exact"/>
        <w:rPr>
          <w:rFonts w:ascii="Courier New" w:cs="Courier New" w:eastAsia="Courier New" w:hAnsi="Courier New"/>
          <w:sz w:val="15"/>
          <w:szCs w:val="15"/>
          <w:color w:val="auto"/>
        </w:rPr>
      </w:pPr>
    </w:p>
    <w:p>
      <w:pPr>
        <w:ind w:left="448" w:right="720" w:hanging="448"/>
        <w:spacing w:after="0" w:line="243" w:lineRule="auto"/>
        <w:tabs>
          <w:tab w:leader="none" w:pos="4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1994, USA Waste filed an application with the Illinois EPA to expand the landfill permit to 145 acres.</w:t>
      </w:r>
    </w:p>
    <w:p>
      <w:pPr>
        <w:spacing w:after="0" w:line="176" w:lineRule="exact"/>
        <w:rPr>
          <w:rFonts w:ascii="Courier New" w:cs="Courier New" w:eastAsia="Courier New" w:hAnsi="Courier New"/>
          <w:sz w:val="15"/>
          <w:szCs w:val="15"/>
          <w:color w:val="auto"/>
        </w:rPr>
      </w:pPr>
    </w:p>
    <w:p>
      <w:pPr>
        <w:ind w:left="448" w:right="640" w:hanging="448"/>
        <w:spacing w:after="0" w:line="244" w:lineRule="auto"/>
        <w:tabs>
          <w:tab w:leader="none" w:pos="4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1994, USA Waste entered into an agreement with the City of Charleston to manage and operate the municipal landfill. The management agreement is for a term of 25 years. The City has the option to terminate the agreement at the end of the fifth and tenth years.</w:t>
      </w:r>
    </w:p>
    <w:p>
      <w:pPr>
        <w:spacing w:after="0" w:line="176" w:lineRule="exact"/>
        <w:rPr>
          <w:sz w:val="20"/>
          <w:szCs w:val="20"/>
          <w:color w:val="auto"/>
        </w:rPr>
      </w:pPr>
    </w:p>
    <w:p>
      <w:pPr>
        <w:ind w:left="8" w:right="460" w:firstLine="451"/>
        <w:spacing w:after="0" w:line="244" w:lineRule="auto"/>
        <w:rPr>
          <w:sz w:val="20"/>
          <w:szCs w:val="20"/>
          <w:color w:val="auto"/>
        </w:rPr>
      </w:pPr>
      <w:r>
        <w:rPr>
          <w:rFonts w:ascii="Courier New" w:cs="Courier New" w:eastAsia="Courier New" w:hAnsi="Courier New"/>
          <w:sz w:val="15"/>
          <w:szCs w:val="15"/>
          <w:color w:val="auto"/>
        </w:rPr>
        <w:t>Of the 10 landfills owned or operated by USA Waste, the average remaining life based on remaining permit capacity and current average monthly disposal volumes is approximately 15 years. This average does not include recent local approval of a vertical and horizontal site expansion for the Countryside landfill which will extend the total life expectancy of such facility to in excess of 20 years. An application has been filed with the Illinois Environmental Protection Agency requesting state approval of the design and other technical aspects of the Countryside expansion. The state approval process is expected to be finalized in the next five to 12 months.</w:t>
      </w:r>
    </w:p>
    <w:p>
      <w:pPr>
        <w:spacing w:after="0" w:line="179" w:lineRule="exact"/>
        <w:rPr>
          <w:sz w:val="20"/>
          <w:szCs w:val="20"/>
          <w:color w:val="auto"/>
        </w:rPr>
      </w:pPr>
    </w:p>
    <w:p>
      <w:pPr>
        <w:ind w:left="8" w:right="460" w:firstLine="451"/>
        <w:spacing w:after="0" w:line="244" w:lineRule="auto"/>
        <w:rPr>
          <w:sz w:val="20"/>
          <w:szCs w:val="20"/>
          <w:color w:val="auto"/>
        </w:rPr>
      </w:pPr>
      <w:r>
        <w:rPr>
          <w:rFonts w:ascii="Courier New" w:cs="Courier New" w:eastAsia="Courier New" w:hAnsi="Courier New"/>
          <w:sz w:val="15"/>
          <w:szCs w:val="15"/>
          <w:color w:val="auto"/>
        </w:rPr>
        <w:t>The ownership or lease of a landfill site enables USA Waste to dispose of waste without payment of disposal fees to others. USA Waste does not own or lease a landfill site in every metropolitan area in which it is engaged in waste collection. To date, USA Waste has not experienced excessive difficulty securing the use of disposal facilities owned or operated by others in those metropolitan areas in which it does not own or operate its own landfill. USA Waste's landfills are also used by other waste collection companies and government agencies on a contract or noncontract basis.</w:t>
      </w:r>
    </w:p>
    <w:p>
      <w:pPr>
        <w:spacing w:after="0" w:line="178" w:lineRule="exact"/>
        <w:rPr>
          <w:sz w:val="20"/>
          <w:szCs w:val="20"/>
          <w:color w:val="auto"/>
        </w:rPr>
      </w:pPr>
    </w:p>
    <w:p>
      <w:pPr>
        <w:ind w:left="8" w:right="460" w:firstLine="451"/>
        <w:spacing w:after="0" w:line="244" w:lineRule="auto"/>
        <w:rPr>
          <w:sz w:val="20"/>
          <w:szCs w:val="20"/>
          <w:color w:val="auto"/>
        </w:rPr>
      </w:pPr>
      <w:r>
        <w:rPr>
          <w:rFonts w:ascii="Courier New" w:cs="Courier New" w:eastAsia="Courier New" w:hAnsi="Courier New"/>
          <w:sz w:val="15"/>
          <w:szCs w:val="15"/>
          <w:color w:val="auto"/>
        </w:rPr>
        <w:t>Collection. Solid waste collection is provided under two primary types of arrangement, depending on the customer being served. Commercial and industrial collection services are generally performed under one to three-year service agreements, and fees are determined by such factors as collection frequency, type of collection equipment furnished by USA Waste, the type and volume or weight of the waste collected and the distance to the disposal facility and cost of disposal. Most residential solid waste collection services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5"/>
          <w:szCs w:val="15"/>
          <w:color w:val="auto"/>
        </w:rPr>
        <w:t>APPROXIMATE</w:t>
      </w:r>
    </w:p>
    <w:p>
      <w:pPr>
        <w:spacing w:after="0" w:line="3"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5"/>
          <w:szCs w:val="15"/>
          <w:color w:val="auto"/>
        </w:rPr>
        <w:t>TOTAL</w:t>
      </w:r>
    </w:p>
    <w:p>
      <w:pPr>
        <w:spacing w:after="0" w:line="3"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5"/>
          <w:szCs w:val="15"/>
          <w:color w:val="auto"/>
        </w:rPr>
        <w:t>ACRES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198</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398</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345</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320</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606</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530</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277</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420</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88</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180</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3,362</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7632" w:lineRule="exact"/>
        <w:rPr>
          <w:sz w:val="20"/>
          <w:szCs w:val="20"/>
          <w:color w:val="auto"/>
        </w:rPr>
      </w:pPr>
    </w:p>
    <w:p>
      <w:pPr>
        <w:sectPr>
          <w:pgSz w:w="11900" w:h="16838" w:orient="portrait"/>
          <w:cols w:equalWidth="0" w:num="2">
            <w:col w:w="7668" w:space="440"/>
            <w:col w:w="2119"/>
          </w:cols>
          <w:pgMar w:left="232" w:top="291" w:right="1440" w:bottom="1440" w:gutter="0" w:footer="0" w:header="0"/>
        </w:sectPr>
      </w:pPr>
    </w:p>
    <w:p>
      <w:pPr>
        <w:ind w:left="3508"/>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27"/>
          </w:cols>
          <w:pgMar w:left="232" w:top="291" w:right="1440" w:bottom="1440" w:gutter="0" w:footer="0" w:header="0"/>
          <w:type w:val="continuous"/>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104</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performed under contracts with, or franchises granted by, municipalities or regional authorities that give USA Waste exclusive rights to service all or a portion of the homes in their respective jurisdictions. Such contracts or franchises usually range in duration from one to five years. Recently, some municipalities have bid their residential collection contracts based on the volume of waste collected. Residential collection fees are either paid by the municipalities out of tax revenues or service charges or are paid directly by the residents receiving the service.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part of its services, USA Waste provides steel containers to most of its commercial and industrial customers to store solid waste. These containers, ranging in size from one to 45 cubic yards, are designed to be lifted mechanically and emptied into a collection vehicle's compaction hopper. The use of containers enables USA Waste to service most of its commercial and industrial customers with collection vehicles operated by a single employee.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often obtains waste collection accounts through acquisitions, including the purchase of customer lists, routes, and equipment. Once a collection operation is acquired, programs designed to improve equipment utilization, employee productivity, operating efficiencies, and overall profitability are implemented. USA Waste also solicits commercial and industrial customers in areas surrounding acquired residential collection markets as a means of further improving operating efficiencies and increasing volumes of solid waste collection.</w:t>
      </w:r>
    </w:p>
    <w:p>
      <w:pPr>
        <w:spacing w:after="0" w:line="178"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USA Waste operates collection operations that are integrated with six of its landfills. The landfills and metropolitan areas served are:</w:t>
      </w:r>
    </w:p>
    <w:p>
      <w:pPr>
        <w:spacing w:after="0" w:line="3"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Countryside -- Lake County, Illinois and the North suburbs of Chicago; Olympic View -- City of Bremerton and Kitsap, Skagit and Snohomish Counties, Washington; Ellis County -- the Cities of Ennis and Corsicana and Ellis County, Texas; Pinecrest -- the Cities of Moore and Norman and McClain County, Oklahoma; Liberty -- City of Brookston and White County, Indiana; and Leroy Brown -- City of Macomb and McDonough County, Illinois. The percentage of landfill volumes derived from local collections operations in these areas ranges from 20% to 88%. USA Waste also provides nonintegrated residential and/or commercial collection services in the following seven metropolitan markets: Central New Jersey; San Antonio, Houston, and Fort Worth, Texas; Chicago, Illinois; and Sacramento and Stockton, California. Waste collected in these markets is delivered to a municipal, county or privately owned, unaffiliated landfill or transfer station.</w:t>
      </w:r>
    </w:p>
    <w:p>
      <w:pPr>
        <w:spacing w:after="0" w:line="16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Transfer Stations. A transfer station is a facility where solid waste is received from collection vehicles and then transferred to and compacted in large, specially-constructed trailers for transportation to disposal facilities. This consolidation reduces costs by improving utilization of collection personnel and equipment, and is a standard procedure in the solid waste industry. Fees are generally based upon such factors as the type and volume or weight of the waste transferred and the transport distance involved. USA Waste operates two transfer stations in connection with its Oklahoma operations and two transfer stations in the Chicago area.</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Recycling. In response to the increasing public environmental awareness and expanding federal and state regulations pertaining to waste recycling, USA Waste has developed recycling as a component of its environmentally responsible integrated solid waste management plan. Curbside collection of recyclable materials for residential customers, commercial and industrial collection of recyclable materials, and material recovery/waste reduction facilities are services in which USA Waste has become involved to complement its collection and transfer operations, and additional opportunities for expansion in these areas will continue to be evaluated.</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Participating commercial and industrial operations use containers to separate recyclable paper, glass, plastic, and metal wastes for collection, processing, and sale. Curbside recycling services involve the use of specially designed, compartmentalized vehicles to collect recyclable paper, glass, plastic, and metal waste materials, which may be separated by residents into different containers provided to them for such purpose. The recyclable materials are then deposited at a local facility where they are sorted and processed for resale. Fees are determined by such considerations as market factors, frequency of collection, the type and volume or weight of recycled material, the distance the recycled material must be transported, and the value of the recycled material.</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291"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105</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operates curbside recycling programs in connection with its residential collection operations in six markets and its transfer station in Crestwood, Illinois. USA Waste also owns a 25% interest in Automated Recycling Technologies, which operates two recycling and sorting facilities in Ocean County, New Jersey. Through its subsidiary Waste Recovery Corporation, USA Waste also arranges for the sale of recycled materials in bulk by waste collection companies, including USA Waste, to the end-users of such materials.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Soil Remediation. The owners of petroleum refineries and underground petroleum storage tanks, such as gasoline service stations, are required to dispose of soil that has been contaminated with oil, gasoline, or other petroleum hydrocarbons from leaks and spills. Historically, such non-hazardous contaminated soil has been disposed of, or used as a cover material, in landfills. However, because of the need of owners of contaminated soil to eliminate their continuing liability with respect to contaminated soil even if disposed of in a landfill, and the high cost of disposal and the demand for clean fill dirt in certain areas, the use of a thermal process to treat contaminated soil in order to remove impurities has developed. For a fee comparable to landfill tipping fees, contaminated soil is delivered to a remediation facility and heated in a furnace under a carefully controlled process to remove the impurities. The decontaminated soil is then picked up by the owner or sold to third parties as a clean soil product for a variety of uses.</w:t>
      </w:r>
    </w:p>
    <w:p>
      <w:pPr>
        <w:spacing w:after="0" w:line="183" w:lineRule="exact"/>
        <w:rPr>
          <w:sz w:val="20"/>
          <w:szCs w:val="20"/>
          <w:color w:val="auto"/>
        </w:rPr>
      </w:pPr>
    </w:p>
    <w:p>
      <w:pPr>
        <w:jc w:val="both"/>
        <w:ind w:right="3019" w:firstLine="451"/>
        <w:spacing w:after="0" w:line="267" w:lineRule="auto"/>
        <w:rPr>
          <w:sz w:val="20"/>
          <w:szCs w:val="20"/>
          <w:color w:val="auto"/>
        </w:rPr>
      </w:pPr>
      <w:r>
        <w:rPr>
          <w:rFonts w:ascii="Courier New" w:cs="Courier New" w:eastAsia="Courier New" w:hAnsi="Courier New"/>
          <w:sz w:val="14"/>
          <w:szCs w:val="14"/>
          <w:color w:val="auto"/>
        </w:rPr>
        <w:t>USA Waste owns and operates soil remediation facilities in Philadelphia and Fairless Hills, Pennsylvania. The Philadelphia facility began operations in 1992 and the Fairless Hills facility began operations in 1994. Both facilities serve the greater Philadelphia metropolitan area, New Jersey, and southern New York.</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Management Information System. USA Waste utilizes a sophisticated package of computer software programs developed specifically for solid waste management operations. The programs include billing and accounts receivable systems and a customer service system that are integrated with a corporate financial reporting system. The computer management information system can be especially valuable when implemented in conjunction with an acquisition, enabling USA Waste to improve operating efficiencies and profitability by: (1) consolidating and implementing uniform administrative and management systems, (2) restructuring and consolidating routing, (3) improving equipment utilization, and (4) increasing employee productivity.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USA Waste emphasizes providing quality services as well as customer satisfaction and retention and believes that it will attract customers in the future because of its reputation for quality service. USA Waste markets its services principally through the direct efforts of its sales and marketing personnel. Each of USA Waste's current service areas has from one to six salespersons depending upon its size and customer mix.</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solid waste industry is highly competitive and requires substantial amounts of capital. The industry is comprised of two large national waste management companies, WMX Technologies, Inc. (formerly Waste Management, Inc.) and BFI, which currently account for approximately 23% of the estimated annual market of $30 billion, as well as a number of regional companies and numerous local companies, municipalities, and other local authorities and large commercial and industrial companies handling their own waste collection or disposal operations. The national waste management companies and some of the regional companies have significantly larger operations and greater financial resources than USA Waste. Municipalities and counties are often able to offer lower direct charges to the customer for the same service by subsidizing the cost of such services through the use of tax revenues and tax-exempt financing. Generally, however, municipalities do not provide significant commercial and industrial collection or waste disposal.</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competes for landfill business on the basis of tipping fees, geographical location, and quality of operations. USA Waste's ability to obtain landfill business may be limited by the fact that some major collection companies also own or operate landfills, to which they send their waste. USA Waste will compete for collection accounts primarily on the basis of price and the quality of its services. From time to time, competitors may reduce the price of their services in an effort to expand market share or to win competitively bid contracts.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291" w:right="1440" w:bottom="1440" w:gutter="0" w:footer="0" w:header="0"/>
          <w:type w:val="continuous"/>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106</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provides residential collection services under a number of municipal contracts. As is the case in the industry, such contracts come up for competitive bidding periodically and there is no assurance that USA Waste will be the successful bidder and will be able to retain such contracts. If USA Waste is unable to replace any contract lost through the competitive bidding process with a comparable contract within a reasonable time period or to use any surplus equipment in other service areas, the earnings of USA Waste could be adversely affected. However, during 1994, no one commercial customer or municipal contract accounted for more than 5% of the total revenue of USA Waste. As USA Waste continues to grow, the loss of any one contract will have less of an impact on USA Waste's operations as a whole.</w:t>
      </w:r>
    </w:p>
    <w:p>
      <w:pPr>
        <w:spacing w:after="0" w:line="180"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Because of increasing costs for solid waste management services resulting from increased regulation, reductions in federal revenue sharing, and the developing ability of private firms to provide specialized services, municipalities are increasingly "privatizing," or contracting with private companies, their responsibility for residential, commercial, and industrial collection services.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Increased public environmental awareness and certain mandated state regulations have resulted in increased recycling efforts in many different areas of the country that are currently and will in the future reduce the amount of solid waste destined for landfills. The EPA estimates that the recovery of municipal solid waste through recycling will increase as a percentage of disposal volumes from approximately 13% in 1988 to between 20% and 28% by 1995. In addition, USA Waste could face competition from waste management companies engaged in incineration and other technologically advanced alternatives to landfill disposal. Although USA Waste believes that landfills will continue to be the primary depository for solid waste well into the future, there can be no assurance that recycling, incineration, and waste reduction efforts will not affect future landfill disposal volumes. The effect, if any, on such volumes could also vary between different regions of the country as well as within individual market areas in each region.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Operating costs, disposal costs, and collection fees vary widely throughout the geographic areas in which USA Waste operates. The prices that USA Waste charges are determined locally, and typically by the volume or weight, and type of waste collected, treatment requirements, risks involved in the handling or disposing of waste, frequency of collections, costs of disposal, distance to final disposal sites, amount and type of equipment furnished to the customer and prices charged for similar services by competitors. Under contract periods of one year or longer, USA Waste's ability to pass on cost increases is sometimes limited by contract terms. Long-term solid waste collection contracts typically contain a formula, generally based on published price indices, for automatic adjustment of fees to cover increases in some, but not all, operating costs.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351"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At December 31, 1994, USA Waste had approximately 1,200 full-time employees, of which 200 were employed in clerical, administrative, and sales positions, 97 in management, and the balance in collection, transfer, and disposal operations. Approximately 315 of USA Waste's employees at 6 operating locations are covered by collective bargaining agreements. Management has not experienced a work stoppage and considers its employee relations to be good.</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AND PERFORMANCE BONDS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carries a broad range of insurance coverage, which management considers appropriate for the protection of USA Waste's assets and operations. The coverage currently includes a $2,000,000 comprehensive general liability policy, a $50,000,000 umbrella policy, and a property damage policy covering all real and personal property, unlicensed contractor's equipment, automobile physical damage (excluding collision as to which USA Waste is self-insured), and electronic data processing hardware and software. USA Waste maintains workers' compensation insurance in accordance with laws of the various states in which it has employees. USA Waste also currently maintains an environmental impairment liability insurance policy on certain of its landfills and transfer stations that provides coverage against clean-up costs and bodily injury to nonemployees and property damage caused by off-site pollution emanating from such landfills or transfer</w:t>
      </w:r>
    </w:p>
    <w:p>
      <w:pPr>
        <w:sectPr>
          <w:pgSz w:w="11900" w:h="16838" w:orient="portrait"/>
          <w:cols w:equalWidth="0" w:num="1">
            <w:col w:w="10219"/>
          </w:cols>
          <w:pgMar w:left="240" w:top="291" w:right="1440" w:bottom="1440" w:gutter="0" w:footer="0" w:header="0"/>
        </w:sectPr>
      </w:pP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291" w:right="1440" w:bottom="1440" w:gutter="0" w:footer="0" w:header="0"/>
          <w:type w:val="continuous"/>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stations. This policy provides $1,000,000 of coverage per incident with a</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$2,000,000 aggregate limit. To date, USA Waste has not had any difficulty in obtaining insurance. However, if USA Waste is unable to obtain adequate insurance, or decides to operate without insurance, a partially or completely uninsured claim against USA Waste, if successful and of sufficient magnitude, could have a material adverse effect upon USA Waste's business or its financial condition. Difficulty in obtaining insurance could also impair USA Waste's ability to secure future contracts, which may be conditioned upon the availability of adequate insurance coverage.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Municipal and governmental waste management contracts typically require performance bonds or bank letters of credit to secure performance. In addition, USA Waste is required to provide financial assurance to secure its closure and post-closure obligations with respect to each landfill. USA Waste has not experienced difficulty in obtaining performance bonds or letters of credit for its current operations. At December 31, 1994, USA Waste had provided various regulatory authorities with bonds of approximately $21,642,000 and letters of credit of approximately $3,697,000 to secure its obligations. If USA Waste were unable to obtain surety bonds or letters of credit in sufficient amounts or at acceptable rates, it may be precluded from entering into additional municipal collection contracts or obtaining or retaining landfill operating permits.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General. All of USA Waste's principal business activities are subject to extensive and evolving environmental, health, safety, and transportation laws and regulations at the state, local and, to a lesser degree, federal levels. These regulations are administered by the EPA and various other federal, state, and local environmental, zoning, health, and safety agencies, many of which periodically examine USA Waste's operations to monitor compliance with such laws and regulations.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development, expansion, and operation of landfills, transfer stations, and other disposal and remediation facilities generally are subject to extensive regulations governing siting, design, operations, monitoring, site maintenance, corrective actions, financial assurance, and closure and post-closure obligations. In order to construct, expand, and operate a landfill, transfer station or soil remediation facility, USA Waste must obtain and maintain one or more construction or operating permits and licenses and, in certain instances, applicable zoning approvals. Obtaining the necessary permits and approvals in connection with the acquisition, development or expansion of a landfill, transfer station, or soil remediation facility is difficult, time-consuming (often taking two to three years or more), and expensive, and is frequently opposed by local citizen and/or environmentalist groups. Once obtained, operating permits are subject to modification and revocation by the issuing agency. Compliance with current and future regulatory requirements may require USA Waste, as well as others in the waste management industry, from time to time, to make significant capital and operating expenditures.</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collection segment of the industry, regulation takes such forms as licensing collection vehicles, health and safety requirements, vehicular weight limitations, and, in certain localities, limitations on weight, area, and time and frequency of collection.</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Governmental authorities have the power to enforce compliance with regulations and permit conditions and to obtain injunctions or impose fines in case of violations. During the ordinary course of its operations, USA Waste may from time to time receive citations or notices from such authorities that a facility is not in full compliance with applicable environmental or health and safety regulations. Upon receipt of such citations or notices, USA Waste will work with the authorities to attempt to resolve the issues raised. Failure to correct the problems to the satisfaction of the authorities could lead to monetary penalties, curtailed operations, criminal sanctions, facility closure, permit modification or termination, or inability to obtain permits for additional sites.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believes that it is currently in material compliance with applicable federal, state and local laws, permits, orders, and regulations. USA Waste believes there will be increased regulation and legislation related to the waste management industry, especially at the federal level. USA Waste attempts to anticipate future regulatory requirements and plans accordingly to remain in compliance with the regulatory framework.</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291"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108</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USA Waste expects to grow in part by acquiring existing landfills, transfer stations, and collection operations. Although USA Waste conducts due diligence investigations of the past waste management practices of the businesses that it acquires, there can be no assurance that, through its investigation, it will identify all potential environmental problems or risks. As a result, USA Waste may have acquired, or may in the future acquire, landfills that have unknown environmental problems and related liabilities. USA Waste will be subject to similar risks and uncertainties in connection with the acquisition of closed facilities that had been operated by businesses acquired by USA Waste. USA Waste seeks to mitigate the foregoing risks by obtaining environmental representations and indemnities from the sellers of the businesses that it acquires. However, there can be no assurance that USA Waste will be able to realize on any such indemnities if an environmental liability exists.</w:t>
      </w:r>
    </w:p>
    <w:p>
      <w:pPr>
        <w:spacing w:after="0" w:line="16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Federal, state, and local governments have also from time to time proposed or adopted other types of laws, regulations, or initiatives with respect to the environmental services industry, including laws, regulations, and initiatives to ban or restrict the interstate or intrastate shipment of wastes, impose higher taxes on out-of-site waste shipments than on in-site shipments, reclassify certain categories of hazardous waste as non-hazardous, and regulate disposal facilities as public utilities. Congress has from time to time considered legislation that would enable or facilitate such bans, restrictions, taxes, and regulations. USA Waste cannot predict the extent to which any legislation or regulation that may be enacted or enforced in the future may affect its operations.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result of changing government attitudes in the area of environmental enforcement, management anticipates that continually changing requirements in health, safety and environmental protection laws will require USA Waste and others engaged in the solid waste management industry to continually modify or replace various facilities and alter methods of operation at costs that may be substantial. Most of USA Waste's expenditures incurred in the operation of its landfills relate to complying with the requirements of laws concerning the environment. The majority of these expenditures are made in the normal course of USA Waste's business and neither materially adversely affect USA Waste's earnings nor place USA Waste at any competitive disadvantage. While USA Waste has not expended any material amount to remedy potential harm to the public or the environment in 1994 or 1993 and USA Waste, to the best of its knowledge, is currently in compliance in all material respects with all applicable state and local permits, laws, regulations, and orders affecting its operations, there is no assurance that USA Waste will not be required to expend substantial amounts for such remedies in the future.</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Environmental Matters. The landfill sites currently or previously owned or operated by USA Waste are subject to regulation under the Comprehensive Environmental Response, Compensation, and Liability Act of 1980, as amended ("CERCLA"). CERCLA, among other things, provides for the cleanup of sites from which there is a release or threatened release of a hazardous substance into the environment. CERCLA imposes joint and several liability for the costs of cleanup and for damages to natural resources upon: (a) any person who currently owns or operates a facility or site from which there is a release or threatened release of hazardous substances; (b) any person who owned or operated such a facility or site at the time hazardous substances were disposed of; (c) any person who by contract, agreement or otherwise, arranged for the disposal or treatment (or for transport for disposal or treatment) of hazardous substances owned or possessed by such person at such facility or site; and (d) any person who accepts or accepted hazardous substances for transport for treatment or disposal at such a facility or site selected by such person (including a contract carrier who has accepted a hazardous substance for transportation during such transportation). Under the authority of CERCLA and its implementing regulations, detailed requirements apply to the manner and degree of remediation of facilities and sites where hazardous substances have been or are threatened to be released into the environment.</w:t>
      </w:r>
    </w:p>
    <w:p>
      <w:pPr>
        <w:spacing w:after="0" w:line="18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Liability under CERCLA is not dependent upon the intentional disposal of "hazardous wastes," as defined under RCRA. It can be founded upon the release or threatened release, even as a result of lawful, unintentional and non-negligent action, of any one of more than 700 "hazardous substances," including very small quantities of such substances. CERCLA requires the EPA to establish a National Priorities List ("NPL") of sites at which hazardous substances have been or are threatened to be released and which require investigation or cleanup. More than 20% of the sites on the NPL are solid waste landfills that ostensibly never</w:t>
      </w:r>
    </w:p>
    <w:p>
      <w:pPr>
        <w:spacing w:after="0" w:line="1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291"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received any regulated "hazardous wastes." Thus, even if USA Waste's landfills have never received "hazardous wastes" as such, it is likely that one or more hazardous substances have come to be located at its landfills. Because of the extremely broad definition of "hazardous substances," the same is true of other industrial properties with which USA Waste or its predecessors has been, or with which USA Waste may become, associated as an owner or operator. If this is the case, and if there is a release or threatened release of such substances into the environment, USA Waste could be liable under CERCLA for the cost of removing such hazardous substances at the sites, remediation of impacted soil or groundwater, and for damages to natural resources, even if those substances were deposited at USA Waste's facilities before USA Waste acquired or operated them. The costs of a CERCLA cleanup can be very substantial. Given the limited amount of environmental impairment liability insurance maintained by USA Waste, a finding of such liability could have a material adverse impact on USA Waste's business and financial condition.</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Although USA Waste would not be liable under CERCLA for the cleanup of a disposal site containing hazardous wastes transported to such site by USA Waste so long as the site was selected by the generator of such waste, USA Waste would be responsible for any hazardous waste during actual transportation. Also, USA Waste could be liable under CERCLA for off-site environmental contamination caused by the release of pollutants or hazardous substances transported by USA Waste, or a waste transporter acquired by USA Waste, where the transporter selected the disposal site.</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EPA's primary way of determining whether a site is to be included on the NPL is the Hazard Ranking System ("HRS"), which evaluates the relative potential for uncontrolled hazardous substances to pose a threat to human health or the environment pursuant to a scoring system based on factors grouped into three factor categories: (1) likelihood of release, (2) waste characteristics, and (3) targets. The EPA follows a three-step process prior to determining whether a site should undergo an HRS evaluation: identification or discovery, preliminary assessment, and site inspection, including soil sampling and ground water testing. As of December 1989, the EPA has proposed or identified approximately 30,000 sites for preliminary assessment (including approximately 6,500 solid waste landfills). These sites are compiled on the Comprehensive Environmental Response, Compensation and Liability Information System ("CERCLIS") list. The identification of a site on the CERCLIS list indicates only that the site has been brought to the attention of the EPA and does not necessarily mean that an actual health or environmental threat currently exists or has ever existed. As were many of the landfills in the State of Illinois, both the Countryside and Leroy Brown landfills were placed on the CERCLIS list.</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Countryside landfill was proposed for preliminary assessment in 1979 and underwent a preliminary assessment in 1983 and a site inspection in 1986 under the EPA's program. Pending promulgation of the revised HRS, the EPA has not taken any further action with respect to the evaluation of the Countryside landfill since 1986. USA Waste was previously advised that the EPA expected to complete a preliminary evaluation of the numerous sites located in the region where the Countryside landfill is located prior to September 30, 1992. However, USA Waste has not received any communications from the EPA concerning this matter. The purpose of these preliminary evaluations is to determine whether any further action is needed to resolve the status of such landfills under CERCLA. This preliminary evaluation could result in a determination that no further action is required, that additional studies should be conducted, or that remedial or corrective action needs to be undertaken. Based on its review of the wastes deposited at the Countryside landfill, the hydrogeological structure of the site, the facility's design, and a report received by USA Waste from its independent environmental consultant at the time USA Waste acquired the landfill, USA Waste does not believe that the outcome of the EPA's evaluation of the Countryside landfill will result in the Countryside landfill being proposed for listing on the NPL or have any material adverse impact on the operation of such landfill or USA Waste's financial condition.</w:t>
      </w:r>
    </w:p>
    <w:p>
      <w:pPr>
        <w:spacing w:after="0" w:line="1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Envirofil's records indicated that in 1977 and 1978, the Leroy Brown landfill accepted 40 55-gallon drums of material which would now be classified as hazardous waste, and a small quantity of hazardous waste was located at the landfill between 1987 and 1989. A screening site inspection was performed by the Illinois Environmental Protection Agency ("IEPA") in 1989. That inspection and further testing disclosed the presence of minimal contamination of groundwater beneath the landfill. The results of the screening site inspection were forwarded to the EPA, which approved them without comment. At this time, neither the EPA</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291" w:right="1440" w:bottom="1440" w:gutter="0" w:footer="0" w:header="0"/>
          <w:type w:val="continuous"/>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110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nor the IEPA has recommended or required any remedial action, beyond normal closure and post-closure monitoring, on the part of USA Waste with respect to any hazardous substance present at the disposal facility. However, because of the acceptance of the drums and the location of the limited amount of hazardous waste at the site, the IEPA could demand that USA Waste obtain a permit for a hazardous waste facility. The process of securing this permit could take several years and could result in significant expenditures, the extent of which are uncertain at this time. Further, the IEPA could also require USA Waste to develop and execute a closure and post-closure plan, which is separate and apart from the closure and post-closure plan already approved by the IEPA for the non-hazardous landfill. This requirement would not necessarily mean that the landfill would be precluded from continuing to accept waste. The costs of developing and executing a new closure and post-closure plan are dependent, in part, on the area of the existing site that would be required to be closed and monitored as a hazardous waste facility and are uncertain at this time.</w:t>
      </w:r>
    </w:p>
    <w:p>
      <w:pPr>
        <w:spacing w:after="0" w:line="183"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November 1993, Envirofil acquired Kitsap County Sanitary Landfill, Inc. ("KCSL"), which owns the Olympic View landfill. Landfill operations at the Olympic View landfill began in the 1960s, at which time the site was known as the "Barney White" site. The 20-acre Barney White site was closed in 1985 after reaching its capacity. A flexible membrane liner was installed in late 1991, as an enhancement to the existing natural soil cap, in order to minimize the production of leachate following detection of a small amount of hazardous materials in groundwater monitoring wells downgradient from the site. Samples collected from the on-site monitoring wells at the Barney White site by the previous owner of the Olympic View landfill show that the levels of contamination found in the groundwater decrease significantly as the distance from the old site increases and recent testing near the site boundary revealed no contaminants above regulatory levels. USA Waste has implemented a groundwater monitoring program and has commenced a program of institutional controls at the site. USA Waste believes that these remedies are sufficient to mitigate environmental risks and provide a long-term solution to costly remediation.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from May 1979 to May 1994 KCSL operated the Hansville County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landfill under a lease agreement with Kitsap County, Washington.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KCSL was required to operate the landfill until 1989, when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 was replaced by a transfer station. The lease agreement does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 provisions relating to closure costs and post-closure monitoring.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KCSL funded the closure costs and, at the request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landfill-permitting agency, implemented certain measures in response to minor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groundwater contamination detected near the site. USA Waste believes KCSL has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 its obligation by implementing such measures. There can be no assurance,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state or federal environmental authorities will not require KCSL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finance additional investigation of the site or remedial action at the site.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KCSL has been indemnified by its previous owner against costs in excess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 that may be incurred by KCSL to mitigate any required action. Envirofil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placed $500,000 in escrow at the closing of its acquisition of KCSL to fund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KCSL may be required to bear relating to the Hansville County landfill.</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State and Local Regulation. The states in which USA Waste operates have their own laws and regulations governing hazardous and non-hazardous solid waste disposal, water and air pollution, and, in most cases, releases and cleanup of hazardous substances and liability for such matters. The states also have adopted regulations governing the siting, design, operation, maintenance, closure, and post-closure maintenance of landfills and transfer stations. USA Waste's facilities and operations are likely to be subject to many, if not all, of these types of requirements. In addition, USA Waste's collection and landfill operations may be affected by the trend in many states toward requiring the development of waste reduction and recycling programs. For example, several states recently have enacted laws that require counties to adopt comprehensive plans to reduce, through waste planning, composting, recycling, or other programs, the volume of solid waste deposited in landfills. Additionally, the disposal of yard waste in solid waste landfills has recently been banned in several states. Legislative and regulatory measures to mandate or encourage waste reduction at the source and waste recycling have also been considered from time to time by Congress and the EPA.</w:t>
      </w:r>
    </w:p>
    <w:p>
      <w:pPr>
        <w:spacing w:after="0" w:line="1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Various states have enacted, or are considering enacting, laws that restrict the disposal within the state of hazardous and non-hazardous solid wastes generated outside the state. While laws that overtly discriminate against out-of-state waste have been found to be unconstitutional, some laws that are less overtly discriminatory have been upheld in court. Certain state and local governments have enacted "flow control" regulations, which attempt to require that all waste generated within the state or local jurisdiction go to specific disposal</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291" w:right="1440" w:bottom="1440" w:gutter="0" w:footer="0" w:header="0"/>
          <w:type w:val="continuous"/>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111</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sites. In May 1994, the U.S. Supreme Court ruled that a flow control ordinance was unconstitutional. Challenges to other such laws are pending. The outcome of pending litigation and the likelihood that other such laws will be passed and will survive constitutional challenge are uncertain. In addition, Congress has considered legislation authorizing states to adopt such restrictions. If state laws restricting the interstate disposal of solid waste are passed and upheld, USA Waste's ability to expand landfill operations acquired in certain areas could be adversely affected.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Many states and local jurisdictions in which USA Waste operates have enacted "fitness" laws that allow agencies having jurisdiction over waste services contracts or site permits to decline to award such contracts or deny or revoke such permits on the basis of an applicant's environmental and legal compliance history. These laws authorize the agencies to make determinations of an applicant's fitness to be awarded a contract or to operate a facility and to deny or revoke a contract or permit because of unfitness absent a showing that the applicant has been rehabilitated through the adoption of various operating policies and procedures to assure future compliance with applicable laws and regulations.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principal property and equipment of USA Waste consists of land (primarily landfill sites, transfer stations, and bases for collection operations), buildings, soil remediation facilities, and vehicles and equipment. The nine landfill operations owned by USA Waste are situated on sites owned by USA Waste, with the exception of the Pinecrest landfill, which is partially leased under a lease that expires in December 1996, but may be extended by USA Waste until 2006.</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leases approximately 11,500 square feet of office space in Dallas for its executive office under a five-year lease expiring in 1999. USA Waste owns real estate, buildings, and other physical properties that it employs in substantially all of its solid waste collection operations. USA Waste also leases a portion of its transfer stations, offices, and garage and shop facilities.</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USA Waste owns approximately 640 items of equipment including waste collection vehicles and related support vehicles, as well as bulldozers, compactors, earth movers, and related heavy equipment and vehicles used in landfill operations. USA Waste has more than 50,000 steel containers in use, ranging from two to 40 cubic yards, and a number of stationary compactors and self-dumping hoppers.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is a party to various litigation matters arising in the ordinary course of business, including claims for personal injury and property damage arising out of accidents involving its vehicles. Management believes that the ultimate resolution of these matters will not have a material adverse impact on USA Waste's financial condition. In the normal course of its business and as a result of the extensive government regulation of the solid waste industry, USA Waste periodically may become subject to various judicial and administrative proceedings involving federal, state, or local agencies. To date, USA Waste has not been required to pay any material fine or had a judgment entered against it for violation of any environmental law. From time to time USA Waste also may be subjected to actions brought by citizen's groups in connection with the permitting of landfills or transfer stations, or alleging violations of the permits pursuant to which USA Waste operates. A lawsuit, Elaine Manheimer, et al. v. Port of Bremerton et al., cause no. 95-2-006661, has been filed in Superior Court of Thurston County, Washington on March 10, 1995 and was served on Kitsap County Sanitary Landfill ("KCSL") on April 11, 1995. The complaint is styled as a class action for property damage, medical monitoring and injunctive relief against all defendants. KCSL owns and operates the Olympic View Sanitary Landfill. Plaintiffs claim that releases of contaminants from the landfill into the air, water, or soil have decreased the value of their properties, caused them to incur response costs under either the state Model Toxics Control Act or the federal Comprehensive Environmental Response Compensation and Liability Act, and necessitate medical monitoring for possible health action. No discovery has been conducted to date with respect to this lawsuit. Accordingly, although USA Waste does not believe that the existence or ultimate resolution of this suit will have a material adverse effect on the financial condition of USA Waste, USA Waste cannot predict the outcome of such suit.</w:t>
      </w:r>
    </w:p>
    <w:p>
      <w:pPr>
        <w:sectPr>
          <w:pgSz w:w="11900" w:h="16838" w:orient="portrait"/>
          <w:cols w:equalWidth="0" w:num="1">
            <w:col w:w="10219"/>
          </w:cols>
          <w:pgMar w:left="240" w:top="291" w:right="1440" w:bottom="1440" w:gutter="0" w:footer="0" w:header="0"/>
        </w:sectPr>
      </w:pPr>
    </w:p>
    <w:p>
      <w:pPr>
        <w:spacing w:after="0" w:line="19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291" w:right="1440" w:bottom="1440" w:gutter="0" w:footer="0" w:header="0"/>
          <w:type w:val="continuous"/>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112</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Since the announcement of the Merger, three cases have been filed in the Court of Chancery of the State of Delaware in New Castle County against Chambers, its officers and directors and USA Waste and Envirofil. These cases include Smith v. Rangos et al., C. A. No. 13906, Krim v. Rangos et al., C. A. No. 13985, and Adams v. Rangos et al., C. A. No. 13909. Each of these actions relates to the Merger and all of them seek substantially similar relief. Accordingly, a consolidation order was entered by the Court of Chancery on March 1, 1995. The cases have been consolidated for all purposes under Smith v. Rangos, et al. at C. A. No. 13906 and the caption of the consolidated case is In Re Chambers Development Company, Inc. Shareholders Litigation, Consolidated C. A. No. 13906.</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complaint which will govern the consolidated action is the complaint filed in the Krim action. The Krim complaint is brought as a purported class action on behalf of the plaintiff and all similarly situated Chambers security holders, excluding defendants and any person, firm, corporation or similar entity related to or affiliated with any of the defendants. The complaint alleges that the individual defendants, inter alia, engaged in unfair dealing to the detriment of the putative class; the Merger is grossly unfair to the members of the putative class; the members of the putative class would be irreparably damaged if the Merger were to be consummated; and the defendants' conduct constituted a breach of fiduciary and other common law duties allegedly owed to the putative class. The complaint alleges that the Merger consideration is inadequate for various reasons and that the individual defendants failed to maximize shareholder value.</w:t>
      </w:r>
    </w:p>
    <w:p>
      <w:pPr>
        <w:spacing w:after="0" w:line="182"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and experts' fees.</w:t>
      </w:r>
    </w:p>
    <w:p>
      <w:pPr>
        <w:spacing w:after="0" w:line="16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291" w:right="1440" w:bottom="1440" w:gutter="0" w:footer="0" w:header="0"/>
        </w:sectPr>
      </w:pPr>
    </w:p>
    <w:bookmarkStart w:id="113" w:name="page114"/>
    <w:bookmarkEnd w:id="113"/>
    <w:p>
      <w:pPr>
        <w:ind w:left="268"/>
        <w:spacing w:after="0"/>
        <w:rPr>
          <w:sz w:val="20"/>
          <w:szCs w:val="20"/>
          <w:color w:val="auto"/>
        </w:rPr>
      </w:pPr>
      <w:r>
        <w:rPr>
          <w:rFonts w:ascii="Courier New" w:cs="Courier New" w:eastAsia="Courier New" w:hAnsi="Courier New"/>
          <w:sz w:val="15"/>
          <w:szCs w:val="15"/>
          <w:color w:val="auto"/>
        </w:rPr>
        <w:t>113</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HISTORICAL CONSOLIDATED FINANCIAL DATA OF USA WASTE</w:t>
      </w:r>
    </w:p>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following selected historical consolidated financial data for USA Waste for each of the five years in the period ended December 31, 1994 has been derived from its historical audited consolidated financial statements and for the three months ended March 31, 1994 and 1995, have been derived from historical unaudited consolidated financial statements. This selected information should be read in conjunction with the separate consolidated financial statements and the notes thereto of USA Waste located elsewhere herein. The unaudited data includes, in the opinion of USA Waste's management, all adjustments necessary to present fairly the information for such periods. The results for the three-month period ended March 31, 1995 are not necessarily indicative of the results that may be expected for the full year. The data set forth below include the accounts of USA Waste and the businesses acquired in transactions accounted for as poolings of interests as if such businesses had always been members of the same operating group. Businesses acquired in transactions accounted for under the purchase method of accounting are included from their respective dates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740" w:type="dxa"/>
            <w:vAlign w:val="bottom"/>
          </w:tcPr>
          <w:p>
            <w:pPr>
              <w:spacing w:after="0"/>
              <w:rPr>
                <w:sz w:val="15"/>
                <w:szCs w:val="15"/>
                <w:color w:val="auto"/>
              </w:rPr>
            </w:pPr>
          </w:p>
        </w:tc>
      </w:tr>
      <w:tr>
        <w:trPr>
          <w:trHeight w:val="173"/>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right"/>
              <w:ind w:right="48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35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3"/>
                <w:szCs w:val="3"/>
                <w:color w:val="auto"/>
                <w:w w:val="90"/>
              </w:rPr>
              <w:t>-------------------------------------------------</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305"/>
              <w:spacing w:after="0"/>
              <w:rPr>
                <w:sz w:val="20"/>
                <w:szCs w:val="20"/>
                <w:color w:val="auto"/>
              </w:rPr>
            </w:pPr>
            <w:r>
              <w:rPr>
                <w:rFonts w:ascii="Courier New" w:cs="Courier New" w:eastAsia="Courier New" w:hAnsi="Courier New"/>
                <w:sz w:val="15"/>
                <w:szCs w:val="15"/>
                <w:color w:val="auto"/>
                <w:w w:val="94"/>
              </w:rPr>
              <w:t>1990</w:t>
            </w:r>
          </w:p>
        </w:tc>
        <w:tc>
          <w:tcPr>
            <w:tcW w:w="180" w:type="dxa"/>
            <w:vAlign w:val="bottom"/>
          </w:tcPr>
          <w:p>
            <w:pPr>
              <w:spacing w:after="0"/>
              <w:rPr>
                <w:sz w:val="15"/>
                <w:szCs w:val="15"/>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1991</w:t>
            </w:r>
          </w:p>
        </w:tc>
        <w:tc>
          <w:tcPr>
            <w:tcW w:w="24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1992</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80" w:type="dxa"/>
            <w:vAlign w:val="bottom"/>
            <w:gridSpan w:val="9"/>
          </w:tcPr>
          <w:p>
            <w:pPr>
              <w:jc w:val="right"/>
              <w:ind w:right="545"/>
              <w:spacing w:after="0"/>
              <w:rPr>
                <w:sz w:val="20"/>
                <w:szCs w:val="20"/>
                <w:color w:val="auto"/>
              </w:rPr>
            </w:pPr>
            <w:r>
              <w:rPr>
                <w:rFonts w:ascii="Courier New" w:cs="Courier New" w:eastAsia="Courier New" w:hAnsi="Courier New"/>
                <w:sz w:val="15"/>
                <w:szCs w:val="15"/>
                <w:color w:val="auto"/>
              </w:rPr>
              <w:t>(IN THOUSANDS, EXCEPT PER SHARE AMOUNTS)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DATA(1):</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$10,594</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$20,653</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$57,049</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$ 93,753</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$176,235</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38,205</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46,508</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3,794</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8,564</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28,128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49,251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101,069</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21,915</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25,496</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3,737</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5,424</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11,612</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17,497</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23,463</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5,321</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6,087</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Nonrecurring charges................</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4,166</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6,756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3,782</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992</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3,598</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10,588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18,785</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4,393</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5,408</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8,523</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21,272</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52,272</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78,229</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147,099</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31,629</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36,991</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(loss) from operations.........</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2,071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(1,099)</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4,777</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15,524</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29,136</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6,576</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9,517</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(918)</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(2,899)</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(4,212)</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(6,856)</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(10,385)</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(2,457)</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(3,152)</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62</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544</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591</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288</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822</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2,249</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947</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(786)</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(2,225)</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(3,587)</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(4,921)</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(7,545)</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(2,236)</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(1,917)</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(loss) before income taxes.....</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1,285</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(3,324)</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10,603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21,591</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4,340</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7,600</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466</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1,313</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5,413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7,760</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1,636</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2,812</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819</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(4,637)</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(2,765)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13,831</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2,704</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4,788</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(loss) from discontinued</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 net of income taxes.....</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(2,751)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(2,810)</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Extraordinary income from forgiveness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debt, net of income taxes........</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10,066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(1,932)</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(7,447)</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8,198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13,831</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2,704</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4,788</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Preferred dividends...................</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220</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582</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565</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(loss) available to common</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shareholders........................</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$(2,152)</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$(7,447)</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$ 8,046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4,608</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4,788</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 per common share.........</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(0.10)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0.46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0.21</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(loss) per common share........</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(0.26)</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(0.74)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0.21</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Weighted average common and common</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 shares...................</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8,164</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10,051</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14,878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18,056</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21,842</w:t>
            </w:r>
          </w:p>
        </w:tc>
        <w:tc>
          <w:tcPr>
            <w:tcW w:w="22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19,408</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23,259</w:t>
            </w:r>
          </w:p>
        </w:tc>
      </w:tr>
      <w:tr>
        <w:trPr>
          <w:trHeight w:val="173"/>
        </w:trPr>
        <w:tc>
          <w:tcPr>
            <w:tcW w:w="3500" w:type="dxa"/>
            <w:vAlign w:val="bottom"/>
          </w:tcPr>
          <w:p>
            <w:pPr>
              <w:spacing w:after="0"/>
              <w:rPr>
                <w:sz w:val="15"/>
                <w:szCs w:val="15"/>
                <w:color w:val="auto"/>
              </w:rPr>
            </w:pPr>
          </w:p>
        </w:tc>
        <w:tc>
          <w:tcPr>
            <w:tcW w:w="92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BALANCE SHEET DATA (AT END OF</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2265"/>
              <w:spacing w:after="0"/>
              <w:rPr>
                <w:sz w:val="20"/>
                <w:szCs w:val="20"/>
                <w:color w:val="auto"/>
              </w:rPr>
            </w:pPr>
            <w:r>
              <w:rPr>
                <w:rFonts w:ascii="Courier New" w:cs="Courier New" w:eastAsia="Courier New" w:hAnsi="Courier New"/>
                <w:sz w:val="15"/>
                <w:szCs w:val="15"/>
                <w:color w:val="auto"/>
              </w:rPr>
              <w:t>PERIOD)(1):</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Working capital (deficit).............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(642)</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$ 8,828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8,619</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$ 19,042</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w w:val="96"/>
              </w:rPr>
              <w:t>29,443</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69,235</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141,466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238,819</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323,167</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338,224</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w w:val="96"/>
              </w:rPr>
              <w:t>11,523</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37,694</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58,505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115,174</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155,733</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169,450</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5"/>
                <w:szCs w:val="15"/>
                <w:color w:val="auto"/>
              </w:rPr>
            </w:pPr>
          </w:p>
        </w:tc>
        <w:tc>
          <w:tcPr>
            <w:tcW w:w="740" w:type="dxa"/>
            <w:vAlign w:val="bottom"/>
          </w:tcPr>
          <w:p>
            <w:pPr>
              <w:jc w:val="right"/>
              <w:ind w:right="125"/>
              <w:spacing w:after="0"/>
              <w:rPr>
                <w:sz w:val="20"/>
                <w:szCs w:val="20"/>
                <w:color w:val="auto"/>
              </w:rPr>
            </w:pPr>
            <w:r>
              <w:rPr>
                <w:rFonts w:ascii="Courier New" w:cs="Courier New" w:eastAsia="Courier New" w:hAnsi="Courier New"/>
                <w:sz w:val="15"/>
                <w:szCs w:val="15"/>
                <w:color w:val="auto"/>
                <w:w w:val="96"/>
              </w:rPr>
              <w:t>11,802</w:t>
            </w:r>
          </w:p>
        </w:tc>
        <w:tc>
          <w:tcPr>
            <w:tcW w:w="1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22,939</w:t>
            </w:r>
          </w:p>
        </w:tc>
        <w:tc>
          <w:tcPr>
            <w:tcW w:w="24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56,677</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78,081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107,986</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113,346</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448" w:right="3019" w:hanging="448"/>
        <w:spacing w:after="0" w:line="244" w:lineRule="auto"/>
        <w:tabs>
          <w:tab w:leader="none" w:pos="35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statement of operations and balance sheet data have been restated to include certain acquisitions accounted for as poolings of interests. See Note 2 to the Consolidated Financial Statements of USA Waste located elsewhere herein.</w:t>
      </w:r>
    </w:p>
    <w:p>
      <w:pPr>
        <w:sectPr>
          <w:pgSz w:w="11900" w:h="16838" w:orient="portrait"/>
          <w:cols w:equalWidth="0" w:num="1">
            <w:col w:w="10227"/>
          </w:cols>
          <w:pgMar w:left="232" w:top="291" w:right="1440" w:bottom="0" w:gutter="0" w:footer="0" w:header="0"/>
        </w:sectPr>
      </w:pPr>
    </w:p>
    <w:bookmarkStart w:id="114" w:name="page115"/>
    <w:bookmarkEnd w:id="114"/>
    <w:p>
      <w:pPr>
        <w:ind w:left="230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9019"/>
          </w:cols>
          <w:pgMar w:left="1440" w:top="314"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114</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MANAGEMENT'S DISCUSSION AND ANALYSIS OF USA WASTE'S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following discussion reviews USA Waste's operations for the three months ended March 31, 1994 and 1995 and for the three years ended December 31, 1994, and should be read in conjunction with USA Waste's Consolidated Financial Statements and related notes thereto and Selected Consolidated Financial Data.</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USA Waste has restated its previously issued financial statements to reflect the acquisition of Envirofil consummated on May 27, 1994, and accounted for using the pooling of interests method of accounting.</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actually provided. Fees for residential services are normally based on the type and frequency of service, however, in a few instances, the fees are based on the volume of waste collected. Fees for commercial and industrial services are normally based on the type and frequency of service and the volume of solid waste collected.</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revenues from its landfill operations consist of disposal fees (known as tipping fees) charged to third parties and are normally billed monthly. Tipping fees are based on the volume or weight of solid waste being disposed of at USA Waste's landfill sites. USA Waste also operates transfer stations where solid waste is deposited by collection vehicles and then loaded into larger trucks and transported to landfills for disposal. Fees are charged at the transfer stations based on the volume of solid waste deposited, taking into account USA Waste's cost of loading, trucking, and disposing of the solid waste at its landfills. Intercompany revenues between USA Waste's landfill and collection operations have been eliminated in the financial statements presented herein.</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certain landfill fees and taxes, and accruals for future landfill closure costs. Certain direct landfill development expenses are capitalized and amortized over the estimated useful life of the site as capacity is consumed, and include acquisition, engineering, upgrading, construction, and permitting costs. All indirect development expenses, such as administrative salaries and general corporate overhead, are expensed in the period incurred.</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USA Waste's marketing and sales force.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19"/>
          </w:cols>
          <w:pgMar w:left="240" w:top="291"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115</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 for the various Consolidated Statements of Income items of USA Waste.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9"/>
              </w:rPr>
              <w:t>PERIOD TO PERIOD CHANGE</w:t>
            </w: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3500" w:type="dxa"/>
            <w:vAlign w:val="bottom"/>
          </w:tcPr>
          <w:p>
            <w:pPr>
              <w:spacing w:after="0"/>
              <w:rPr>
                <w:sz w:val="15"/>
                <w:szCs w:val="15"/>
                <w:color w:val="auto"/>
              </w:rPr>
            </w:pPr>
          </w:p>
        </w:tc>
        <w:tc>
          <w:tcPr>
            <w:tcW w:w="19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6"/>
              </w:rPr>
              <w:t>---------------------------------------</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FOR THE THREE</w:t>
            </w:r>
          </w:p>
        </w:tc>
      </w:tr>
      <w:tr>
        <w:trPr>
          <w:trHeight w:val="173"/>
        </w:trPr>
        <w:tc>
          <w:tcPr>
            <w:tcW w:w="3500" w:type="dxa"/>
            <w:vAlign w:val="bottom"/>
          </w:tcPr>
          <w:p>
            <w:pPr>
              <w:spacing w:after="0"/>
              <w:rPr>
                <w:sz w:val="15"/>
                <w:szCs w:val="15"/>
                <w:color w:val="auto"/>
              </w:rPr>
            </w:pPr>
          </w:p>
        </w:tc>
        <w:tc>
          <w:tcPr>
            <w:tcW w:w="19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FOR THE YEARS</w:t>
            </w: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FOR THE YEARS</w:t>
            </w:r>
          </w:p>
        </w:tc>
        <w:tc>
          <w:tcPr>
            <w:tcW w:w="17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MONTHS ENDED</w:t>
            </w:r>
          </w:p>
        </w:tc>
      </w:tr>
      <w:tr>
        <w:trPr>
          <w:trHeight w:val="173"/>
        </w:trPr>
        <w:tc>
          <w:tcPr>
            <w:tcW w:w="3500" w:type="dxa"/>
            <w:vAlign w:val="bottom"/>
          </w:tcPr>
          <w:p>
            <w:pPr>
              <w:spacing w:after="0"/>
              <w:rPr>
                <w:sz w:val="15"/>
                <w:szCs w:val="15"/>
                <w:color w:val="auto"/>
              </w:rPr>
            </w:pPr>
          </w:p>
        </w:tc>
        <w:tc>
          <w:tcPr>
            <w:tcW w:w="19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ENDED DECEMBER</w:t>
            </w: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ENDED DECEMBER</w:t>
            </w:r>
          </w:p>
        </w:tc>
        <w:tc>
          <w:tcPr>
            <w:tcW w:w="17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MARCH 31, 1994</w:t>
            </w:r>
          </w:p>
        </w:tc>
      </w:tr>
      <w:tr>
        <w:trPr>
          <w:trHeight w:val="173"/>
        </w:trPr>
        <w:tc>
          <w:tcPr>
            <w:tcW w:w="3500" w:type="dxa"/>
            <w:vAlign w:val="bottom"/>
          </w:tcPr>
          <w:p>
            <w:pPr>
              <w:spacing w:after="0"/>
              <w:rPr>
                <w:sz w:val="15"/>
                <w:szCs w:val="15"/>
                <w:color w:val="auto"/>
              </w:rPr>
            </w:pPr>
          </w:p>
        </w:tc>
        <w:tc>
          <w:tcPr>
            <w:tcW w:w="19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31, 1992 AND 1993</w:t>
            </w: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31, 1993 AND 1994</w:t>
            </w:r>
          </w:p>
        </w:tc>
        <w:tc>
          <w:tcPr>
            <w:tcW w:w="17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AND 1995</w:t>
            </w:r>
          </w:p>
        </w:tc>
      </w:tr>
      <w:tr>
        <w:trPr>
          <w:trHeight w:val="173"/>
        </w:trPr>
        <w:tc>
          <w:tcPr>
            <w:tcW w:w="3500" w:type="dxa"/>
            <w:vAlign w:val="bottom"/>
          </w:tcPr>
          <w:p>
            <w:pPr>
              <w:spacing w:after="0"/>
              <w:rPr>
                <w:sz w:val="15"/>
                <w:szCs w:val="15"/>
                <w:color w:val="auto"/>
              </w:rPr>
            </w:pPr>
          </w:p>
        </w:tc>
        <w:tc>
          <w:tcPr>
            <w:tcW w:w="19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$36,704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64.3%</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$82,482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$8,303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73"/>
        </w:trPr>
        <w:tc>
          <w:tcPr>
            <w:tcW w:w="35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21,123</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75.1</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51,818</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3,581</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5,885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50.7</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5,966</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34.1</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Nonrecurring charges................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(5,833)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(86.3)</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2,859</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309.8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4,782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82.8</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8,227</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w:t>
            </w:r>
          </w:p>
        </w:tc>
      </w:tr>
      <w:tr>
        <w:trPr>
          <w:trHeight w:val="173"/>
        </w:trPr>
        <w:tc>
          <w:tcPr>
            <w:tcW w:w="35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r>
        <w:trPr>
          <w:trHeight w:val="173"/>
        </w:trPr>
        <w:tc>
          <w:tcPr>
            <w:tcW w:w="35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25,957</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49.7</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68,870</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5,362</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w:t>
            </w:r>
          </w:p>
        </w:tc>
      </w:tr>
      <w:tr>
        <w:trPr>
          <w:trHeight w:val="173"/>
        </w:trPr>
        <w:tc>
          <w:tcPr>
            <w:tcW w:w="35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from operations................</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10,747</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225.0</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13,612</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87.7</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2,941</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w:t>
            </w:r>
          </w:p>
        </w:tc>
      </w:tr>
      <w:tr>
        <w:trPr>
          <w:trHeight w:val="173"/>
        </w:trPr>
        <w:tc>
          <w:tcPr>
            <w:tcW w:w="35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 net...............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(2,644)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(62.8)</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(3,529)</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28.3</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income.....................</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503</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147.4</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807</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538.0</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1,427</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173.6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842</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809.6</w:t>
            </w:r>
          </w:p>
        </w:tc>
      </w:tr>
      <w:tr>
        <w:trPr>
          <w:trHeight w:val="173"/>
        </w:trPr>
        <w:tc>
          <w:tcPr>
            <w:tcW w:w="35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r>
        <w:trPr>
          <w:trHeight w:val="173"/>
        </w:trPr>
        <w:tc>
          <w:tcPr>
            <w:tcW w:w="3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(1,334)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3"/>
        </w:trPr>
        <w:tc>
          <w:tcPr>
            <w:tcW w:w="35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before provision for income</w:t>
            </w: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9,413</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791.0</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10,988</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3,260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75.1</w:t>
            </w: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Provision for income taxes............</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1,458</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36.9</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2,347</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71.9</w:t>
            </w:r>
          </w:p>
        </w:tc>
      </w:tr>
      <w:tr>
        <w:trPr>
          <w:trHeight w:val="173"/>
        </w:trPr>
        <w:tc>
          <w:tcPr>
            <w:tcW w:w="35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r>
        <w:trPr>
          <w:trHeight w:val="173"/>
        </w:trPr>
        <w:tc>
          <w:tcPr>
            <w:tcW w:w="3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$ 7,955</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287.7</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$ 8,641</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166.5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$2,084</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77.1</w:t>
            </w:r>
          </w:p>
        </w:tc>
      </w:tr>
      <w:tr>
        <w:trPr>
          <w:trHeight w:val="173"/>
        </w:trPr>
        <w:tc>
          <w:tcPr>
            <w:tcW w:w="3500" w:type="dxa"/>
            <w:vAlign w:val="bottom"/>
          </w:tcPr>
          <w:p>
            <w:pPr>
              <w:spacing w:after="0"/>
              <w:rPr>
                <w:sz w:val="15"/>
                <w:szCs w:val="15"/>
                <w:color w:val="auto"/>
              </w:rPr>
            </w:pP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Consolidated Statements of Income items of USA Waste bear to operating revenues.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3"/>
              </w:rPr>
              <w:t>ENDED</w:t>
            </w:r>
          </w:p>
        </w:tc>
      </w:tr>
      <w:tr>
        <w:trPr>
          <w:trHeight w:val="173"/>
        </w:trPr>
        <w:tc>
          <w:tcPr>
            <w:tcW w:w="3960" w:type="dxa"/>
            <w:vAlign w:val="bottom"/>
          </w:tcPr>
          <w:p>
            <w:pPr>
              <w:spacing w:after="0"/>
              <w:rPr>
                <w:sz w:val="15"/>
                <w:szCs w:val="15"/>
                <w:color w:val="auto"/>
              </w:rPr>
            </w:pPr>
          </w:p>
        </w:tc>
        <w:tc>
          <w:tcPr>
            <w:tcW w:w="306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YEAR ENDED DECEMBER 31,</w:t>
            </w:r>
          </w:p>
        </w:tc>
        <w:tc>
          <w:tcPr>
            <w:tcW w:w="19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3960" w:type="dxa"/>
            <w:vAlign w:val="bottom"/>
          </w:tcPr>
          <w:p>
            <w:pPr>
              <w:spacing w:after="0"/>
              <w:rPr>
                <w:sz w:val="15"/>
                <w:szCs w:val="15"/>
                <w:color w:val="auto"/>
              </w:rPr>
            </w:pPr>
          </w:p>
        </w:tc>
        <w:tc>
          <w:tcPr>
            <w:tcW w:w="19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2"/>
              </w:rPr>
              <w:t>-----------------------------</w:t>
            </w:r>
          </w:p>
        </w:tc>
        <w:tc>
          <w:tcPr>
            <w:tcW w:w="1080" w:type="dxa"/>
            <w:vAlign w:val="bottom"/>
          </w:tcPr>
          <w:p>
            <w:pPr>
              <w:spacing w:after="0"/>
              <w:rPr>
                <w:sz w:val="15"/>
                <w:szCs w:val="15"/>
                <w:color w:val="auto"/>
              </w:rPr>
            </w:pPr>
          </w:p>
        </w:tc>
        <w:tc>
          <w:tcPr>
            <w:tcW w:w="1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1992</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1993</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9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Disposal.................................</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23.0%</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Waste collection.........................</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75.0</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67.5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71.0</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69.9</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68.6</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100.0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49.3</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57.3</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54.8</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20.4</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11.8</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10.1</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10.7</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91.6</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83.5</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82.8</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79.5</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8.4</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 net....................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(7.4)</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1.1</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net...............................</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0.0</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(6.3)</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provision for income taxes...</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6.9</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(4.8)%</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3"/>
        </w:trPr>
        <w:tc>
          <w:tcPr>
            <w:tcW w:w="396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1" w:right="1440" w:bottom="208" w:gutter="0" w:footer="0" w:header="0"/>
        </w:sect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291" w:right="1440" w:bottom="208" w:gutter="0" w:footer="0" w:header="0"/>
          <w:type w:val="continuous"/>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116</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MONTHS ENDED MARCH 31, 1994 AND 1995</w:t>
      </w: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Revenues</w:t>
      </w: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revenues for the three months ended March 31, 1995,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$46,508,000, representing an increase of $8,303,000, or 21.7% from 1994. The net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business acquisitions and dispositions accounted for an increase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 over 1994. Operating revenues for comparable operations increased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13.6% during 1995 compared to 1994, as a result of increases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and 10.7% in prices and volume, respectively. The increase in operating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due to volume is the result of intensive marketing efforts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improved weather conditions in certain market areas in 1995 as compared to 1994.</w:t>
      </w:r>
    </w:p>
    <w:p>
      <w:pPr>
        <w:spacing w:after="0" w:line="200" w:lineRule="exact"/>
        <w:rPr>
          <w:sz w:val="20"/>
          <w:szCs w:val="20"/>
          <w:color w:val="auto"/>
        </w:rPr>
      </w:pPr>
    </w:p>
    <w:p>
      <w:pPr>
        <w:spacing w:after="0" w:line="33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Costs and Expenses</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operating costs and expenses for the three months ended March 31, 1995, of $25,496,000 represented an increase of $3,581,000, or 16.3%, compared to the corresponding period of 1994. The net effect of business acquisitions and dispositions accounted for an increase of 9.2% over 1994. Operating costs and expenses for comparable operations accounted for an 7.1% increase. Operating costs and expenses as a percentage of revenues decreased from 57.4% during the first quarter of 1994 to 54.8% for the same period of 1995, primarily as a result of two factors. The decrease in the operating costs and expenses as a percentage of revenues is due in part to the increase in operating revenues, including the volume increases in market areas which were negatively affected by the severe weather conditions in the first quarter of 1994. In addition, the decrease in operating costs and expenses is due in part to the effect of USA Waste's strategic business decision to exit the Phoenix market, which experienced low operating margins in 1994. In addition, several of USA Waste's businesses were acquired in 1994 and operating efficiencies and cost improvements have been implemented to improve margins as these companies are integrated into USA Waste's operations.</w:t>
      </w: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 and Administrative</w:t>
      </w:r>
    </w:p>
    <w:p>
      <w:pPr>
        <w:spacing w:after="0" w:line="200" w:lineRule="exact"/>
        <w:rPr>
          <w:sz w:val="20"/>
          <w:szCs w:val="20"/>
          <w:color w:val="auto"/>
        </w:rPr>
      </w:pPr>
    </w:p>
    <w:p>
      <w:pPr>
        <w:spacing w:after="0" w:line="32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General and administrative expenses for the three months ended March 31, 1995, increased $766,000, or 14.4%, over the same period of 1994. However, general and administrative expenses as a percentage of operating revenues decreased from approximately 13.9% in the first quarter of 1994 to 13.1% in the comparable period of 1995, due to USA Waste's ability to integrate new acquisition revenues without a corresponding increase in general and administrative expenses and the cost savings resulting from the merger with Envirofil.</w:t>
      </w: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Depreciation and Amortization</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Depreciation and amortization expense increased from $4,393,000 for the three months ended March 31, 1994, to $5,408,000 for the same period of 1995, reflecting an increase of $1,015,000, or 23.1%. The net effect of business acquisitions and dispositions accounted for an increase of $457,000, while existing operations reflected an increase of $558,000, primarily resulting from additional equipment necessary to service USA Waste's contracts. The increase discussed above is net of a change in the useful life of the excess of cost over net assets of acquired businesses from 25 years to 40 years to more appropriately reflect the estimated periods during which the benefit of the excess of the assets will be realized. USA Waste has adopted a useful life of 40 years as of January 1, 1995 to amortize the excess of cost over net assets of acquired businesses. This change had the effect of reducing amortization expense approximately $360,000 for the three months ended March 31, 1995. Depreciation and amortization expense as a percentage of revenues increased slightly from 11.5% in the first quarter of 1994 to 11.6% for the same period in 1995.</w:t>
      </w: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from Operations</w:t>
      </w: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reasons discussed above, income from operations increased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$2,941,000, or 44.7% during the first quarter of 1995 as compared to the same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in 1994.</w:t>
      </w:r>
    </w:p>
    <w:p>
      <w:pPr>
        <w:sectPr>
          <w:pgSz w:w="11900" w:h="16838" w:orient="portrait"/>
          <w:cols w:equalWidth="0" w:num="1">
            <w:col w:w="10219"/>
          </w:cols>
          <w:pgMar w:left="240" w:top="291" w:right="1440" w:bottom="0" w:gutter="0" w:footer="0" w:header="0"/>
        </w:sect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291" w:right="1440" w:bottom="0" w:gutter="0" w:footer="0" w:header="0"/>
          <w:type w:val="continuous"/>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117</w:t>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Income and Expense</w:t>
      </w:r>
    </w:p>
    <w:p>
      <w:pPr>
        <w:spacing w:after="0" w:line="200" w:lineRule="exact"/>
        <w:rPr>
          <w:sz w:val="20"/>
          <w:szCs w:val="20"/>
          <w:color w:val="auto"/>
        </w:rPr>
      </w:pPr>
    </w:p>
    <w:p>
      <w:pPr>
        <w:spacing w:after="0" w:line="32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Other income and expense items consist primarily of interest expense, interest income and other income items, generally from the sale of assets. Interest expense increased to $3,152,000 for the three months ended March 31, 1995, as compared to $2,457,000 for the same period in 1994, an increase of 28.3%. In 1995, interest expense is net of interest capitalized during the period of approximately $337,000. The increase results from the growth in USA Waste's indebtedness incurred to finance USA Waste's accelerated growth through business acquisitions and capital expenditures and an increase in USA Waste's effective average borrowing rate to 8.7% for the three months ended March 31, 1995 as compared to 8.1% for the same period of 1994.</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net increased from $221,000 in the first quarter of 1994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$1,235,000 in the same period of 1995. The other income increase is primarily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of the sale of real estate in the Phoenix, Arizona market in 1995.</w:t>
      </w: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Provision for Income Taxes</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The provision for income taxes increased $1,176,000 for the three months ended March 31, 1995, as compared to 1994. The effective income tax rate was 37.0% for the first quarter of 1995 compared to 37.7% for the same period of 1994. The decrease in the effective tax rate is due to the fact that the periods prior to the Envirofil merger reflect the historical provision for income taxes of the separate companies and, therefore, those periods do not reflect the benefit of losses incurred by Envirofil for financial reporting purposes.</w:t>
      </w: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200" w:lineRule="exact"/>
        <w:rPr>
          <w:sz w:val="20"/>
          <w:szCs w:val="20"/>
          <w:color w:val="auto"/>
        </w:rPr>
      </w:pPr>
    </w:p>
    <w:p>
      <w:pPr>
        <w:spacing w:after="0" w:line="324"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For the reasons discussed above, net income increased $2,084,000, or 77.1% during the first quarter of 1995 as compared to the same period of 1994.</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YEARS ENDED DECEMBER 31, 1994</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Revenues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Operating revenues for the year ended December 31, 1994, were $176,235,000, representing an increase of $82,482,000, or 88.0% from 1993. New business made during 1994 and the full year effect of acquisitions made during 1993 accounted for an increase of 76.8% over 1993. Operating revenues for comparable operations increased approximately 11.2% during 1994 compared to 1993, as a result of increases of 3.8% and 7.4% in prices and volumes, respectively. Although operating revenues increased during 1994, revenues were detrimentally impacted at certain of USA Waste's more profitable markets due to severe weather conditions experienced in such markets during the first quarter of 1994.</w:t>
      </w:r>
    </w:p>
    <w:p>
      <w:pPr>
        <w:spacing w:after="0" w:line="16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Operating revenues for the year ended December 31, 1993, were $93,753,000, representing an increase of $36,704,000, or 64.3% from 1992. New business acquisitions made during 1993 and the full year effect of acquisitions made during 1992 accounted for an increase of 59.1% over 1992. Operating revenues for comparable operations increased approximately 5.2% during 1993 compared to 1992, principally resulting from increases in prices.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Costs and Expenses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operating costs and expenses for the year ended December 31, 1994, of $101,069,000 represented an increase of $51,818,000, or 105.2%, compared to 1993. New business acquisitions made during 1994 and the full-year effect of acquisitions made during 1993 accounted for 92.6% of the increase in operating costs and expenses over 1993. Operating costs and expenses for comparable operations accounted for the remaining 12.6% increase. Operating costs and expenses as a percentage of revenues increased from 52.5% for 1993 to 57.3% for 1994. This overall increase is a result of several factors. USA Waste's operating costs and expenses were higher as a percentage of revenues due to the weather conditions negatively impacting operating revenues at certain more profitable market areas during the first quarter of 1994. In addition, this increase results from a change in USA Waste's mix of revenues to a larger percentage of the revenues being generated from collection operations. Waste collection revenues were approximately 71.0% of total operating revenues</w:t>
      </w:r>
    </w:p>
    <w:p>
      <w:pPr>
        <w:sectPr>
          <w:pgSz w:w="11900" w:h="16838" w:orient="portrait"/>
          <w:cols w:equalWidth="0" w:num="1">
            <w:col w:w="10219"/>
          </w:cols>
          <w:pgMar w:left="240" w:top="291" w:right="1440" w:bottom="902" w:gutter="0" w:footer="0" w:header="0"/>
        </w:sectPr>
      </w:pP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291" w:right="1440" w:bottom="902" w:gutter="0" w:footer="0" w:header="0"/>
          <w:type w:val="continuous"/>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118</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 1994 as compared to 67.5% for 1993. Generally, operating costs and expenses as a percentage of operating revenues tend to be higher for collection operations than for disposal operations and thermal remediation operations. USA Waste also experienced higher operating costs in two of its larger collection operations during the second quarter, principally from higher labor costs and certain variable expenses, which were not offset by a corresponding increase in revenues. In addition, several of USA Waste's businesses were recently acquired and operating efficiencies and costs improvements are being implemented to improve margins as these companies are being integrated into USA Waste's operations.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operating costs and expenses for the year ended December 31, 1993, were $49,251,000, reflecting an increase of $21,123,000, or 75.1%, compared to 1992. New business acquisitions made during 1993 and the full year effect of acquisitions made during 1992 accounted for 69.2% of the increase in operating costs and expenses over 1992. Operating costs and expenses for comparable operations accounted for the remaining 5.9% increase. Operating costs and expenses as a percent of revenues increased to 52.5% for 1993 as compared to 49.3% for 1992. In general, operating costs and expenses as a percentage of operating revenues tend to be higher for collection operations than for disposal and thermal remediation operations. Waste collection revenues for 1993 were approximately 67.5% of operating revenues as compared to 75.0% for 1992, which generally will result in a decrease in operating costs and expenses as a percentage of operating revenues. Offsetting the decrease in operating costs and expenses as a percentage of operating revenues was the effect of USA Waste's entry into new market areas (Phoenix, Arizona; Seattle, Washington; and Northern California), where operating costs and expenses are currently higher than in other USA Waste markets.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 and Administrative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General and administrative expenses for the year ended December 31, 1994, increased approximately $5,966,000, or 34.1%, over 1993. Business acquisitions accounted for an increase in general and administrative expenses of approximately $7,722,000, while comparable operations reflected a decrease of $1,756,000. General and administrative expenses as a percentage of operating revenues decreased from approximately 18.6% in 1993 to 13.3% in 1994. The decrease in general and administrative expenses attributable to comparable operations and the decrease as a percentage of operating revenues is due to USA Waste's ability to integrate new acquisition revenues without a corresponding increase in general and administrative expenses and the cost savings resulting from the merger with Envirofil.</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General and administrative expenses for the year ended December 31, 1993, increased approximately $5,885,000, or 50.7%, over the same period of 1992. Business acquisitions accounted for 39.0% of the increase, while existing operations reflected an increase of 11.7% due primarily to additional corporate staff and expenses necessary manage the growth for the separate USA Waste and Envirofil companies prior to their combination in May 1994.</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Nonrecurring charges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Nonrecurring charges for the year ended December 31, 1994, consist of approximately $3,782,000 for costs related to the Envirofil acquisition. Nonrecurring charges in 1993 consist of approximately $923,000 of stock compensation expenses incurred in connection with the issuance of stock warrants at below market price to certain new officers of Envirofil prior to its acquisition by USA Waste in May 1994. In 1992, the nonrecurring charges consisted of approximately $5,249,000 of stock compensation expenses as a result of granting stock warrants below market price and $1,507,000 of restructuring charges in connection with the reorganization of Envirofil in December 1992.</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Depreciation and Amortization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Depreciation and amortization expense increased from $10,558,000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1993, to $18,785,000 for 1994, reflecting an increase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$8,227,000, or 77.9%. Business acquisitions accounted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$7,417,000 of this increase, while existing operations reflected an increase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$810,000, primarily resulting from additional equipment necessary to service USA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Waste's contracts.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19"/>
          </w:cols>
          <w:pgMar w:left="240" w:top="291"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119</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Depreciation and amortization expense as a percentage of revenues decreased slightly from 11.3% in 1993 to 10.7% for 1994.</w:t>
      </w:r>
    </w:p>
    <w:p>
      <w:pPr>
        <w:spacing w:after="0" w:line="176"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As of January 1, 1995, USA Waste changed the useful life of the excess of cost over net assets of acquired businesses from 25 years to 40 years to more appropriately reflect the estimated periods during which the benefit of the assets will be realized. This change in accounting estimate is expected to have the effect of reducing amortization expense by approximately $1,200,000 in 1995.</w:t>
      </w:r>
    </w:p>
    <w:p>
      <w:pPr>
        <w:spacing w:after="0" w:line="161"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Depreciation and amortization expense increased to $10,558,000 in 1993 from $5,776,000 in 1992, reflecting an increase of approximately $4,782,000, or</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82.8%. Business acquisitions accounted for $4,295,000 of this increase, while existing operations reflected an increase of $487,000, primarily resulting from additional equipment necessary to service USA Waste's contracts. Depreciation and amortization expense as a percentage of revenues increased from 10.1% in 1992 to 11.3% in 1993.</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From Operations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reasons discussed above, income from operations increased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$13,612,000, or 87.7% during 1994 as compared to 1993, and $10,747,000, or 225%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1993 as compared to 1992. Income from operations was 16.5% of operating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for 1994 (18.7%, exclusive of merger costs) as compared to 16.6%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and 8.4% for 1992.</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Income and Expense</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Other income and expense items consist primarily of interest expense, interest income, and other income items, generally from the sale of assets. Interest expense increased to $10,385,000 for the year ended December 31, 1994, as compared to $6,856,000 for 1993, an increase of 51.5%. This increase resulted from the growth in USA Waste's indebtedness incurred to finance USA Waste's accelerated growth through business acquisitions and capital expenditures offset by a decrease in USA Waste's effective average borrowing rates from its bank revolving credit facility. Average outstanding indebtedness and the average effective borrowing rate for 1994 were approximately $138,675,000 and 8.2%, respectively, as compared to approximately $78,837,000 and 8.7% for 1993.</w:t>
      </w:r>
    </w:p>
    <w:p>
      <w:pPr>
        <w:spacing w:after="0" w:line="16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Interest expense was $6,856,000 for the year ended December 31, 1993, as compared to $4,212,000 in 1992, an increase of 62.8%. This increase also resulted from the growth in USA Waste's indebtedness incurred to finance USA Waste's growth through business acquisitions and capital expenditures offset by a decrease in USA Waste's effective average borrowing rates from its bank revolving credit facility and the 8 1/2% Convertible Subordinated Debentures due 2002.</w:t>
      </w:r>
    </w:p>
    <w:p>
      <w:pPr>
        <w:spacing w:after="0" w:line="178"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Other income, net increased from $822,000 in 1993 to $2,249,000 in 1994. The increase is primarily the result of 1994 transactions, which include the sale of substantially all of USA Waste's operating assets in the Phoenix market, the sale of certain routes and customer lists, and the sale of excess equipment.</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provision for income taxes increased $2,347,000 for the year ended December 31, 1994, as compared to 1993 and increased $1,458,000 for the year ended December 31, 1993, as compared to 1992. The effective income tax rate decreased from 332.4% in 1992, to 51.1% in 1993, and then to 35.9% in 1994. The decrease in the effective tax rate and the unusual nature of the 1992 effective tax rate is due to the fact that the restated periods prior to the Envirofil acquisition reflect the historical provision for income taxes of the separate companies and, therefore, those periods do not reflect the benefit of losses incurred by Envirofil for financial reporting purposes.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(Loss) From Continuing 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the reasons discussed above, income from continuing operations increased $8,641,000, or 166.5% during 1994 as compared to 1993, and $7,955,000, or 287.7%, during 1993 as compared to 1992.</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19"/>
          </w:cols>
          <w:pgMar w:left="240" w:top="291"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120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March 31, 1995, USA Waste had working capital of $19,042,000 and a cash balance of $7,620,000, as compared to working capital of $8,619,000 and a cash balance of $6,613,000 as of December 31, 1994. For the three months ended March 31, 1995, cash flows provided by operating activities were $357,000. Cash flows used in investing activities were $3,614,000, which included the funding of capital expenditures of $7,948,000 and investments in other businesses and net advances to others of $9,635,000, offset by the proceeds from asset sales of $3,969,000. For the three months ended March 31, 1995, cash flows provided by financing activities were $14,264,000, which were primarily a result of the net borrowings under USA Waste's revolving credit facility.</w:t>
      </w:r>
    </w:p>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USA Waste's capital expenditure and working capital requirements have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reflecting USA Waste's business strategy of growth through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and development projects. USA Waste's capital expenditures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$40,876,000 for 1994, which included approximately $12,000,000 in expenditures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pertaining to expansion activities at the Countryside landfill. USA Waste has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financed its capital expenditures from its internally generated cash flows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available under its revolving credit facility. USA Waste's capital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for the first quarter of 1995 were $7,948,000, and USA Waste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expects total capital expenditures for 1995 to be approximately $40,000,000. USA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intends to finance the remainder of its 1995 capital requirements through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internally generated cash flow and amounts available under its revolving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is subject to extensive and evolving federal, state, and local environmental laws and regulations that have been enacted in response to technological advances and the public's increased concern over environmental issues. See "Description of USA Waste -- Regulation." As a result of changing governmental attitudes in this area, management anticipates that USA Waste will continually modify or replace facilities and alter methods of operation. The majority of the expenditures necessary to comply with the environmental laws and regulations are made in the normal course of business as discussed below in "-- Environmental Matters."</w:t>
      </w:r>
    </w:p>
    <w:p>
      <w:pPr>
        <w:spacing w:after="0" w:line="35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Waste's revolving credit facility has been increased from $110,000,000 to $150,000,000 as a result of an amended agreement dated November 28, 1994, which also extended the maturity date to November 30, 1997, and added three participating banks. USA Waste anticipates that if additional acquisitions are made, the cash portion of the consideration will be funded from its internally generated cash and its revolving credit facility. At May 12, 1995, USA Waste had approximately $30,000,000 available under such credit facility.</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the terms of USA Waste's revolving credit facility, lender consent is required to consummate the Merger. Chambers is subject to similar consent requirements under its lending agreements. In connection with the Merger, USA Waste anticipates refinancing certain of its and Chambers' outstanding indebtedness, including USA Waste's revolving credit facility and the revolving credit facility, senior notes, and letters of credit of Chambers. Amounts outstanding under Chambers' debt instruments at December 31, 1994, were approximately $364,000,000 in the aggregate. USA Waste is currently engaged in discussions with financing sources regarding financial arrangements to be entered into at or before the date the Merger is consummated.</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the Merger, USA Waste and Chambers have developed a plan for financing certain of Chambers' obligations, including a $6,800,000 obligation that was incurred in January 1995 and $70,000,000 in payments required to fund the settlement of certain shareholder litigation of Chambers. The purpose of the financing plan was to provide Chambers with the ability to fund these payment obligations pending consummation of the Merger and in the event the Merger was not consummated for any reason. To provide for the payment of the $6,800,000 obligation, USA Waste paid $2,500,000 on certain promissory notes owed to Chambers with respect to a previous transaction and entered into a letter of intent providing for USA Waste's purchase of certain of Chambers' assets, including a hauling company in Charlotte, North Carolina and a landfill and a collection facility in Lake, Mississippi for $7,600,000 for which USA Waste made a deposit of $4,300,000 to be applied against the purchase price. To provide for the funding of the initial $25,000,000 settlement payment due upon final approval of the settlement of the shareholder litigation, USA Waste agreed to make an advance purchase of airspace rights at certain of Chambers' landfills in the aggregate amount of $25,000,000. Such payment would be made within 30 days after final approval of the</w:t>
      </w:r>
    </w:p>
    <w:p>
      <w:pPr>
        <w:sectPr>
          <w:pgSz w:w="11900" w:h="16838" w:orient="portrait"/>
          <w:cols w:equalWidth="0" w:num="1">
            <w:col w:w="10219"/>
          </w:cols>
          <w:pgMar w:left="240" w:top="291" w:right="1440" w:bottom="1440" w:gutter="0" w:footer="0" w:header="0"/>
        </w:sectPr>
      </w:pP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291" w:right="1440" w:bottom="1440" w:gutter="0" w:footer="0" w:header="0"/>
          <w:type w:val="continuous"/>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settlement and expiration of the applicable appeal period. To provide for the payment of the balance of $45,000,000, USA Waste and Chambers have agreed to negotiate an agreement for the purchase by USA Waste from Chambers of an asset or group of assets or airspace rights mutually selected by USA Waste and Chambers and having a fair market value of not less than $45,000,000. Payment of such amount is required not later than one year from the date of final approval of the settlement. In the event that Chambers completes a refinancing of its current indebtedness, including amounts due with respect to the shareholder litigation, USA Waste's obligation to finance the $45,000,000 payment will lapse and USA Waste will have an option to require Chambers, and Chambers will have an option to require USA Waste, to buy or sell, as the case may be, any unused airspace purchased in advance by USA Waste.</w:t>
      </w:r>
    </w:p>
    <w:p>
      <w:pPr>
        <w:spacing w:after="0" w:line="181"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USA Waste's business plan is to grow through acquisitions and development projects. USA Waste has issued equity securities in business acquisitions where appropriate and expects to do so in the future. Furthermore, USA Waste's future growth will depend greatly upon its ability to raise additional capital. Management believes that it can arrange the necessary financing required to accomplish its business plan; however, to the extent USA Waste is not successful in its future financing strategies, USA Waste's growth could be limited.</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Although USA Waste regularly engages in discussions relating to potential acquisitions and mergers and has identified several possible acquisition and merger opportunities, other than the previously announced merger with Chambers, USA Waste currently does not have any significant binding commitments or agreements to acquire or merge with any such businesses; however, part of USA Waste's strategy is to continue to participate in the industry consolidation, and as a result, USA Waste will pursue acquisition and merger opportunities and may announce an acquisition or merger transaction at any time.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USA Waste also has material financial commitments for the costs associated with its future closure and post-closure obligations with respect to the landfills it operates or for which it is otherwise responsible. USA Waste bases accruals for these commitments on periodic management reviews, performed at least annually, based on input from its engineers and interpretations of current regulatory requirements and proposed regulatory changes. The accrual for closure and post-closure costs includes a final cap and cover for the site, methane gas control, leachate management and groundwater monitoring, and other operational and maintenance costs to be incurred after each site stops accepting waste.</w:t>
      </w:r>
    </w:p>
    <w:p>
      <w:pPr>
        <w:spacing w:after="0" w:line="16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has estimated that the aggregate closure and post-closure costs will be approximately $25,000,000, which, for each landfill, will be fully accrued at the time the site stops accepting waste and is closed. As of December 31, 1994 and 1993, USA Waste has recorded liabilities of $13,343,000 and $10,100,000, respectively, for closure and post-closure costs of disposal facilities. The difference between the closure and post-closure costs accrued at December 31, 1994, and the total estimated closure and post-closure costs to be incurred will be accrued and charged to expense as airspace is consumed. USA Waste also expects to incur approximately $40,000,000 related to capping activities expected to occur during the operating lives of the disposal sites, which are also being expensed over the useful lives of the disposal sites as airspace is consumed. In addition, at December 31, 1994, USA Waste has recorded a liability of $2,000,000, representing the estimated cost of certain minor remediation activities expected to be incurred at certain of USA Waste's facilities in the future.</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Management believes that the ultimate disposition of these environmental matters will not have a material adverse effect on the financial condition of USA Waste. However, USA Waste's operation of landfills subjects it to certain operational, monitoring, site maintenance, closure and post-closure obligations that could give rise to increased costs for monitoring and corrective measures. USA Waste cannot predict the effect of any regulations or legislation enacted in the future on USA Waste's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Because the volumes of certain types of waste, such as yard clippings and construction debris, tend to be higher in the spring and summer, USA Waste experiences seasonal variations in its revenue. As a result,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291"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122</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during spring and summer, USA Waste's revenues tend to be higher than its revenues in fall and winter. In addition, during the winter, harsh weather conditions often temporarily affect USA Waste's ability to collect, transport, and dispose of waste. The seasonal impact is often offset by revenues added through acquisitions such that USA Waste's reported revenues have historically reflected increases in period to period comparisons.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believes that inflation and changing prices have not had, and are not expected to have, any material adverse effect on the results of operations in the near future.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19"/>
          </w:cols>
          <w:pgMar w:left="240" w:top="291"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123</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DESCRIPTION OF CHAMBERS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is a provider of integrated solid waste services in the United States, with operations or properties at the end of 1994 in selected areas of Florida, Georgia, Illinois, Maryland, Mississippi, New Jersey, North Carolina, Ohio, Pennsylvania, South Carolina, Tennessee, Virginia and West Virginia. Major elements of the business include the operation, management, construction and engineering of solid waste sanitary landfills, transfer stations, recycling facilities and related operations. Chambers also provides services for the collection, hauling and recycling of solid waste for municipal, commercial, industrial and residential customers. Chambers presently owns or operates 14 sanitary landfills, one construction and demolition debris landfill and one medical, special and municipal waste incinerator. Chambers' landfills provide long-term disposal capacity for a majority of its collection and hauling operations.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late 1992, Chambers began a program to divest certain businesses that no longer met strategic and performance objectives. In that regard, in 1993 and 1994, Chambers sold one landfill, one recycling facility, three transfer stations and six collection and hauling businesses, including all of its operations in Rhode Island, Texas, Massachusetts and Indiana, and in 1992 also sold its security services business.</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Chambers was formed in 1971 as a Delaware corporation. Chambers' principal executive offices are located at 10700 Frankstown Road, Pittsburgh, Pennsylvania 15235. Its telephone number is (412) 242-6237.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initially provided disposal services to public utilities and various services to government subdivisions, including recycling, hauling and sales of coal and steel by-products and the disposal of related wastes. After developing the ability to engineer and operate disposal sites for the handling of solid waste in compliance with environmental standards, Chambers expanded its operations to include disposal of municipal solid waste and later to include collection, recycling and hauling of commercial and residential waste and the operation of solid waste transfer stations. Chambers has in past years devoted considerable resources to the development and construction of landfills. However, Chambers currently is focusing its efforts on improving operating efficiencies, with particular emphasis on increasing the volume of waste disposed of in its landfills, in order to achieve greater utilization of those facilities.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Although Chambers' waste services business is described herein as five separate operations -- landfills, transfer stations, collection and hauling, recycling and medical waste -- these operations are in many respects integrated. For example, Chambers' landfills generate revenues from third-party disposal and also support Chambers' local collection and hauling operations; similarly, Chambers' transfer stations and recycling facilities operate in conjunction with both the landfill and collection 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Landfill Operations. Chambers owns or operates 14 sanitary landfills for disposal of nonhazardous solid waste and one construction and demolition debris landfill. Of the sanitary landfills, five are located in Pennsylvania, two each in South Carolina and Virginia and one each in West Virginia, Maryland, Florida, Mississippi and Georgia; all except the Mississippi site are either owned by Chambers or held under long-term lease. The construction and demolition debris landfill is located in Georgia. Chambers' landfills currently provide disposal capacity for a majority of its collection and hauling operations. Most of the landfills are located close to municipal areas served by Chambers' collection operations or are accessible to transfer facilities where waste is consolidated into trailers or rail containers to afford efficient transportation from remote areas to the disposal sites.</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Prior to 1992, Chambers' primary emphasis had been upon developing and constructing new landfills ("greenfield sites"), either independently or in cooperation with the municipal entity within which the property was located. Chambers' management believes that the development and construction of new landfills, while often time-consuming and requiring significant capital expenditures and related indirect expenses, is usually preferable to the acquisition of existing landfill sites, so that the environmental risks often associated with acquired landfills can be avoided. In 1992, Chambers' management reexamined its strategies in light of its financial condition and, recognizing that it held permits to construct sufficient disposal capacity to service its anticipated needs for a substantial period of time, decided to focus Chambers' efforts on increasing the</w:t>
      </w:r>
    </w:p>
    <w:p>
      <w:pPr>
        <w:sectPr>
          <w:pgSz w:w="11900" w:h="16838" w:orient="portrait"/>
          <w:cols w:equalWidth="0" w:num="1">
            <w:col w:w="10219"/>
          </w:cols>
          <w:pgMar w:left="240" w:top="291" w:right="1440" w:bottom="1440" w:gutter="0" w:footer="0" w:header="0"/>
        </w:sectPr>
      </w:pP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19"/>
          </w:cols>
          <w:pgMar w:left="240" w:top="291" w:right="1440" w:bottom="1440" w:gutter="0" w:footer="0" w:header="0"/>
          <w:type w:val="continuous"/>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utilization of its existing landfills. In addition, Chambers' management recognized that Chambers' ability to independently develop additional greenfield sites would be limited in the near term as Chambers' access to the capital markets would be restricted. See "Management's Discussion and Analysis of Chambers' Financial Condition and Results of Operations."</w:t>
      </w:r>
    </w:p>
    <w:p>
      <w:pPr>
        <w:spacing w:after="0" w:line="177"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Landfill Operational Activity. Fees from third-party solid waste collectors and generators, consisting of landfill tipping fees and in certain instances subcontracted hauling fees, accounted for approximately 23%, 28% and 32% of Chambers' revenues in 1992, 1993 and 1994, respectively. Tipping fees are based on the weight or volume and the type of waste disposed of at the landfills.</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While Chambers' landfills are made available to numerous waste generators and third-party solid waste collectors, Chambers has sought to obtain long-term contracts principally with governmental entities in order to create a predictable waste flow to its landfills. In this regard, for example, Chambers has handled the disposal of the residential municipal solid waste from the City of Richmond, Virginia, since 1989 (including the operation of two transfer stations), and from Fort Pierce, Florida, since 1993.</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an agreement entered into in early 1991 with Bergen County, New Jersey, during 1993 Chambers transported and disposed of the ash generated by the Essex County, New Jersey incinerator, as well as that portion of the Bergen County solid waste which was not disposed of at the Essex County incinerator. In March 1994, Chambers commenced performance under a new three-year contract for the disposal of the municipal solid waste from Bergen County. The contract provides the county with options for two one-year renewal periods. The Bergen County contract produced $16.6 million, or 6%, of Chambers' 1994 revenues. Commencing in 1989, Chambers had also provided disposal and transportation of solid waste from Union County, New Jersey under contracts which were renegotiated in early 1991 and were terminated pursuant to their terms in December 1993. Chambers had also provided disposal of the municipal solid waste from Passaic County, New Jersey, from December 1987 until December 1993. See "Management's Discussion and Analysis of Chambers' Financial Conditions and Results of Operations" regarding the impact of the expiration of these contracts.</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continues to place emphasis on the disposal of special wastes, which consist of non-hazardous waste materials such as sewage sludges, contaminated soils, incinerator ash and certain industrial residues. Following a proposal process initiated by the New York City Department of Environmental Protection, Chambers commenced service in January 1992 under a six and one-half year contract to transport and dispose of sewage sludge. In 1994, amounts of sewage sludge transported and disposed of pursuant to this contract ranged from 0 to 330 tons per day. The sewage sludge is being transported by truck in intermodal containers designed for leakproof waste transportation to a Chambers landfill.</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Landfill Development and Construction Activity. Chambers has invested substantial capital to develop landfills with strict environmental controls. Development activities include site selection and site feasibility studies, environmental assessments (including hydrological and geological reviews), land acquisition, engineering and design work for the site as a whole, and the design and construction of the landfill infrastructure. The infrastructure consists of roadway or rail access systems, initial clearing and site preparation, leachate and methane collection and treatment systems, and stormwater and surface water management systems. A large portion of the infrastructure expenditures with respect to each site is nonrecurring, required only at the initial phase in order to prepare the site for the receipt of waste and to support the operation of the landfill throughout its useful life.</w:t>
      </w:r>
    </w:p>
    <w:p>
      <w:pPr>
        <w:spacing w:after="0" w:line="181"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As the operation of a landfill commences, site preparation, including excavation and the installation of a liner system at the base elevation of the site, requires significant capital expenditures, often exceeding $200,000 per acre. However, once a particular area of the site has been lined, limited additional investment is required with respect to overlaying waste on the lined areas. The daily filling activities normally provide for the sequential deposit of waste on the base liner system in adjacent areas within the site (typically referred to as "cells"). The construction of adjacent cells permits the creation of additional space over previously constructed cells, which provides Chambers additional airspace to accept waste with limited additional investment. This technique of overlaying waste materials on areas already lined reduces the ongoing capital requirements for facilities which are currently operational.</w:t>
      </w:r>
    </w:p>
    <w:p>
      <w:pPr>
        <w:sectPr>
          <w:pgSz w:w="11900" w:h="16838" w:orient="portrait"/>
          <w:cols w:equalWidth="0" w:num="1">
            <w:col w:w="10219"/>
          </w:cols>
          <w:pgMar w:left="240" w:top="291" w:right="1440" w:bottom="1440" w:gutter="0" w:footer="0" w:header="0"/>
        </w:sectPr>
      </w:pP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291" w:right="1440" w:bottom="1440" w:gutter="0" w:footer="0" w:header="0"/>
          <w:type w:val="continuous"/>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125</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performs design and construction work in various phases of landfill development, including excavation and compaction of soils, and stormwater and surface water management. Chambers has found that performing portions of its own landfill construction is cost effective in certain instances. In order to maintain sanitary conditions at the landfills operated by Chambers, heavy equipment is also used to spread, compact and cover the waste daily with soil or other approved cover material. All currently required groundwater monitoring devices and other environmental controls are in place at all of the sanitary landfills operated by Chambers. Landfill operations are subject to increasingly strict and costly environmental regulation, and to numerous uncertainties resulting from legislative, regulatory and local land use restrictions, as well as increasing public attention and market changes. See "-- Regulation" for information concerning evolving environmental laws and regulations and "Management's Discussion and Analysis of Chambers' Financial Condition and Results of Operations" for a discussion of related capital expenditures and constraints on expansion of landfill operations.</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Transfer Station Operations. Transfer stations are facilities located in areas which are not convenient to, or which do not have ready access to, solid waste disposal sites. Residential and commercial collection vehicles operating within such areas, including Chambers' vehicles in some cases, discharge their solid waste loads at these facilities. The waste is then consolidated and loaded into larger capacity transfer trailers or rail containers for more efficient transportation to disposal sites, including landfills owned and operated by Chambers. Transfer station operations accounted for approximately 20%, 19% and 20% of Chambers' revenues for 1992, 1993 and 1994, respectively.</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owns or operates eight solid waste transfer stations, with four in New Jersey, two in Virginia and one each in Pennsylvania and South Carolina. In December 1993, Chambers sold its two transfer stations in Morris County, New Jersey, to the Morris County Municipal Utilities Authority (the "MCMUA") but continues to operate both transfer stations and provide transportation services under a contract with the MCMUA until the county's long-term solid waste system is in operation or December 31, 1996, if later.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Operations at the transfer stations in Morris County, New Jersey, began in January 1988, and these facilities have processed an aggregate of approximately 325,000 tons of municipal solid waste annually. Under its contracts with Morris County, during 1988 through 1994 Chambers operated the transfer stations and provided long-distance transportation of waste from the transfer stations to disposal sites. Commencing in January 1995, the contract for disposal of waste has been awarded to a competitor of Chambers, but Chambers will continue to operate the transfer stations in 1995 and, provided the county's solid waste system is not yet in operation, in 1996. Chambers' rates and revenues from the Morris County transfer station operations are subject to the ratemaking authority of the New Jersey Department of Environmental Protection and Energy. The two Morris County transfer station operations produced approximately 14% of Chambers' 1994 revenues; however, revenues attributable to these operations are expected to decline in 1995.</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Collection and Hauling Operations. Waste collection and hauling generally support Chambers' landfill and transfer station operations, although in certain areas, operations involve disposal at commercial or municipal landfills. Fees for collection and hauling services are based on such factors as the type and frequency of service, the volume or weight of the waste, the type of waste, disposal costs and the distance traveled.</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Collection and hauling for residential, municipal, commercial and industrial customers accounted for 52%, 47% and 41% of revenues in 1992, 1993 and 1994, respectively, which includes transportation revenues derived from certain of Chambers' contracts. In the majority of areas, Chambers services commercial and industrial accounts without the requirement of prior municipal approval and, as such, competes with other operators and negotiates rates directly with individual customers. Chambers typically contracts with commercial customers for collection, hauling and disposal of solid waste for a multi-year period. In limited areas, Chambers competes for municipally-awarded franchises which include commercial and industrial accounts. Such contract awards may be in the form of exclusive or nonexclusive franchises for several years. Residential and municipal services are performed primarily under exclusive contracts granted by municipalities on the basis of competitive bids.</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291"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126</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competitive nature of the waste industry, the varying availability of landfills and disposal capacity, and the financial condition of Chambers are expected to affect the ability of Chambers to secure and maintain municipal contracts in the future. See "-- Regulation" and "Management's Discussion and Analysis of Chambers' Financial Condition and Results of Operations -- Liquidity and Capital Resources."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late 1992, Chambers began a program to divest certain businesses that no longer met strategic and performance objectives, and in March 1993, as an initial part of that program, sold substantially all of the assets of its collection, hauling and transfer station operations in Rhode Island, Massachusetts and Texas. Chambers sold its landfill and collection and hauling operations in Indiana to USA Waste in September 1993, sold its collection and hauling operations in Conway, South Carolina, in November 1993, and sold its Columbus, Georgia, collection and hauling operations in December 1993.</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Recycling Operations. Chambers recognizes the importance of recycling materials recovered from solid waste streams where consistent with viable market conditions. Chambers has engaged in recycling efforts in order to complement its range of waste management services. While extensive recycling is likely to reduce the size of the waste stream available for disposal in Chambers' landfills, and although the market for recyclables is in many instances depressed due to an excessive supply of recovered materials, recycling has aided Chambers' efforts to market its other waste services. Recycling operations accounted for 3% of revenues in each of the last three years. In August 1994, Chambers sold its recycling facility in Pennsylvania, and it continues to own and operate a recycling facility in Virginia.</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Medical Waste Operations. Through its subsidiary, Chambers Medical Technologies, Inc. ("CMTI"), Chambers owns and operates a medical, special and municipal waste incineration facility in Hampton, South Carolina. The facility is permitted to incinerate 200 tons per day of medical waste, municipal solid waste and other approved non-hazardous special wastes. CMTI is implementing a plan to maximize utilization of the facility in response to changing market conditions. CMTI is currently focusing its marketing on higher priced, higher fuel value special wastes such as pharmaceuticals, petrochemicals and scrap tires. State legislation restricts the facility's permitted incineration capacity to the greater of (i) 50 tons per day of medical waste or (ii) per month, 1/12 of the estimated amount of medical waste generated within the State of South Carolina within one year. CMTI has undertaken a constitutional challenge to the state's imposition of the limitation, as well as to certain provisions of the South Carolina Infectious Waste Management Act and the regulations promulgated thereunder. At the trial level CMTI was successful in its challenge to certain fee requirements under the regulations; however, CMTI was not successful in having the volume limitation ruled unconstitutional. CMTI filed a motion for a stay pending appeal of the implementation of the volume limitation, which stay pending appeal was granted. The appellate court has remanded the case to the trial court. CMTI accounted for 2%, 3% and 4% of revenues for 1992, 1993 and 1994, respectively.</w:t>
      </w:r>
    </w:p>
    <w:p>
      <w:pPr>
        <w:spacing w:after="0" w:line="18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Research and Development. Chambers has explored technologies and related business opportunities attendant to the disposal and recycling processes, including but not limited to refuse derived fuel, landfill methane gas recovery and related systems, and tire reclamation and recycling. Chambers has also helped to develop, and holds an exclusive license to use, an intermodal containerized transportation system for the economical and environmentally safe transportation of solid waste by rail and truck.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Solid waste management is a very competitive business which requires substantial investment in labor and capital resources. The sources of competition vary by locality and by the type of services provided, and originate from national, regional and local companies. Several national waste management companies are much larger and have far greater resources than Chambers. Major competitors in the waste industry include WMX Technologies, Inc. and BFI, each of which is substantially larger than Chambers. Chambers also competes with municipalities and commercial facilities which provide their own waste hauling and disposal services. Disposal operations compete primarily on the basis of proximity to collection and hauling operations and on the basis of disposal cost. To acquire new collection contracts and to retain old ones, Chambers competes on the basis of price, service and disposal capacity. Chambers anticipates that competition in the disposal business will increasingly include an emphasis on safeguards with respect to the environment, and</w:t>
      </w:r>
    </w:p>
    <w:p>
      <w:pPr>
        <w:sectPr>
          <w:pgSz w:w="11900" w:h="16838" w:orient="portrait"/>
          <w:cols w:equalWidth="0" w:num="1">
            <w:col w:w="10219"/>
          </w:cols>
          <w:pgMar w:left="240" w:top="291" w:right="1440" w:bottom="1440" w:gutter="0" w:footer="0" w:header="0"/>
        </w:sectPr>
      </w:pPr>
    </w:p>
    <w:p>
      <w:pPr>
        <w:spacing w:after="0" w:line="3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19"/>
          </w:cols>
          <w:pgMar w:left="240" w:top="291"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intends to continue its policy of constructing and operating landfills with high levels of environmental protection and monitoring. Chambers has experienced competition from incineration and other waste recovery processes. However, it believes that its landfill operations can complement certain of these processes, in that landfills serve as receptacles for incinerator ash and nonrecoverable materials.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Chambers experiences intense competitive pressure on landfill prices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many markets, partly due to increased landfill capacity in the marketplace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partly as a result of the rapid use of existing capacity by many older landfills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currently operate under less stringent standards of environmental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protection than those utilized by Chambers. As a result of revisions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under Subtitle D of the Resource Conservation and Recovery Act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1976 ("RCRA") and to state regulations, Chambers expects that more stringent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regulations will be mandated in these markets, with the initial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dates under Subtitle D having become effective in late 1993.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Regulation." In the long term, Chambers anticipates that this strengthening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environmental standards should have a positive effect on its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because Chambers has designed and constructed all of its landfills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intention of meeting these requirements.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Before entering a new solid waste management market, Chambers evaluates potential business which would be compatible with current operations. Chambers establishes new commercial and industrial accounts through direct solicitation. New municipal business depends on identifying and winning competitive bids. Price, service and disposal capacity are key factors in developing new business and retaining customers. Marketing and operational efficiencies are achieved through Chambers' consolidation of residential and commercial business on a regional basis.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operation of landfills, waste incinerators and transfer stations, the collection and hauling of solid waste and the recycling of solid waste are subject to various local, state and federal requirements which seek to regulate and maintain health, safety, the environment, zoning and land use. Operating permits are required for waste disposal facilities and certain collection vehicles. Some of these permits could be subject to modification, renewal and/or revocation if significant operational and environmental violations occur. Chambers' operation of landfills subjects it to operational, closure, post-closure, monitoring and site maintenance obligations. Governmental authorities have the power to enforce compliance with these regulations and to obtain injunctions and impose fines in the case of violations. While Chambers is in substantial compliance with regulatory requirements, from time to time in the ordinary course of its operations, Chambers receives citations or notices from authorities that such operations may not be in strict specific compliance with applicable environmental regulations. Upon such receipt, Chambers has and will continue to make every effort to resolve amicably and quickly the issues raised by such citations or notices.</w:t>
      </w:r>
    </w:p>
    <w:p>
      <w:pPr>
        <w:spacing w:after="0" w:line="18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Governmental authorities, including the EPA, various state agencies and county and local authorities acting in conjunction with such federal and state agencies, impose restrictions to control or prohibit air and water pollution and, in most states, Chambers and other operators are required to post bonds or provide other financial assurances covering closure, monitoring and potential corrective measures for its landfills. While Chambers is in substantial compliance with regulatory requirements applicable to its business, if significant regulatory changes are made it may be required to increase capital and/or operating expenditures in order to maintain operations or initiate new operations. Depending on the degree of future regulatory changes, Chambers may be required to curtail certain operations until a particular problem is remedied.</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regulatory framework in the solid waste business, particularly as it relates to the disposal of solid waste, varies substantially from jurisdiction to jurisdiction, and is changing frequently and becoming increasingly complex in nearly all locations. As a result, both current operations and development projects involve certain risks and uncertainties inherent in the industry, as discussed below. Amendments to current laws and regulations governing Chambers' operations could have an adverse economic effect on Chambers or require substantial capital expenditures to comply with such laws and regulations.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19"/>
          </w:cols>
          <w:pgMar w:left="240" w:top="291" w:right="1440" w:bottom="1440" w:gutter="0" w:footer="0" w:header="0"/>
          <w:type w:val="continuous"/>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October 1991, the EPA promulgated revisions to regulations under RCRA. In revisions to regulations under Subtitle D of RCRA, the EPA announced comprehensive solid waste management standards including location standards, facility design and operating criteria, closure and post-closure requirements, financial assurance standards, methane gas and groundwater monitoring, and corrective action standards which had not been historically required or enforced at landfills. State standards can be, and in a majority of the states where Chambers operates already are, more stringent than the federal requirements. Because some portions of the revisions to regulations under Subtitle D of RCRA are expected to be phased in over as many as five years, the full impact of the revisions may not be felt until 1998. Current landfill design and construction by Chambers has been performed in anticipation of those requirements. More stringent regulation, while requiring greater expenditures by landfill operators, is expected to increase opportunities for Chambers and others who have landfills which comply with these regulations, as noncomplying landfills will be required to close. The 1988 Pennsylvania regulations, which were similar in scope to the revisions to regulations under Subtitle D of RCRA, had a significant adverse impact on the operations of Chambers' Pennsylvania landfills from 1988 through 1991. However, Chambers does not anticipate significant disruption of any of its businesses as a result of the promulgation of the revisions to Subtitle D. Pending development of state standards and evaluation of those standards by the EPA, management of Chambers believes that most of its landfills are currently designed and operated in material compliance with those revisions.</w:t>
      </w:r>
    </w:p>
    <w:p>
      <w:pPr>
        <w:spacing w:after="0" w:line="18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While Chambers believes that the states in which it operates landfills have revised or will revise their landfill regulations to meet or exceed the requirements of the revisions to Subtitle D of RCRA, there can be no assurances that the state regulations will be approved by the EPA. Although Chambers may require additional capital expenditures to comply with potentially inconsistent state and federal regulations applicable to the same facility, Chambers does not believe such inconsistent regulations would have a material adverse effect on Chambers' 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Revisions to health, safety and environmental protection laws will continue to require Chambers and others in the industry to make substantial expenditures to construct waste facilities in compliance with such laws. Substantial capital and operating expenditures to develop landfills and maintain compliance with environmental protection regulations are necessary for Chambers and any party in the waste industry. These costs are incurred in the ordinary course of business, but could increase as laws and regulations change. See "Management's Discussion and Analysis of Chambers' Financial Condition and Results of Operations" for a discussion of anticipated capital expenditures.</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Proposed federal legislation and various proposed state laws include provisions that would allow states to ban or impose differential fees on interstate shipments of solid waste. Chambers cannot currently predict whether such legislation will be enacted and, if enacted, the extent to which it may affect Chambers' operations.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to potentially costly and restrictive regulations, there are a number of risks and factors, often having unforeseen ramifications, which could result in increased costs to Chambers' waste management business or, in some circumstances, delay or prevent certain operations or planned projects. These factors include varying degrees of governmental and public opposition to the siting and operation of landfills, which in many locations can contribute to a shortage of sites and facilities; increased regulation aimed at reducing dependence on landfilling and promoting other methods of disposal such as incineration or recycling; and risks related to potential adverse environmental effects attributable to landfill operations.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Complex regulatory requirements, together with potential community opposition (often resulting in litigation), may make it increasingly difficult to open new landfills or expand existing sites. While Chambers attempts to avail itself of opportunities to acquire or expand landfills at reasonable cost, there can be no assurance regarding the extent to which such opportunities will be present in the future, nor can there be any assurance in the near term that Chambers will be able to avail itself of such opportunities without the generation of additional capital. Nevertheless, Chambers believes that, due to the receipt during 1990, 1991 and 1992 of permits for landfill sites which had been under development in prior periods, it now holds permits to construct sufficient disposal capacity to meet its needs and those of its customers for a substantial period of</w:t>
      </w:r>
    </w:p>
    <w:p>
      <w:pPr>
        <w:sectPr>
          <w:pgSz w:w="11900" w:h="16838" w:orient="portrait"/>
          <w:cols w:equalWidth="0" w:num="1">
            <w:col w:w="10219"/>
          </w:cols>
          <w:pgMar w:left="240" w:top="291" w:right="1440" w:bottom="1440" w:gutter="0" w:footer="0" w:header="0"/>
        </w:sectPr>
      </w:pP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19"/>
          </w:cols>
          <w:pgMar w:left="240" w:top="291" w:right="1440" w:bottom="1440" w:gutter="0" w:footer="0" w:header="0"/>
          <w:type w:val="continuous"/>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129</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time. See "Management's Discussion and Analysis of Chambers'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BONDING AND INSURANCE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Bid and Performance Bonds. In order to submit a bid to a governmental entity for solid waste collection, hauling and disposal services, Chambers is usually required to submit bonds, in the form of a bid bond and, upon contract award, a bond to secure its performance of the contract. Commercial customers contracting for collection, hauling and solid waste disposal services with Chambers do not generally require either bid or performance bonds. Over the past several years, Chambers' bonding requirements have increased as the size and length of the contracts have increased. It is important for Chambers to bid successfully on large multi-year contracts to ensure a consistent flow of waste into its landfills.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Firms that provide such bonds to the solid waste disposal industry are limited in number. Chambers has in the past relied on, and expects in the future to rely on, a single outside source for its bid and performance bonding requirements. Management believes that Chambers' current bid and performance bond coverage and future capacity is adequate; however, there can be no assurance that future bonding will be available when required by Chambers.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Closure and Post-Closure Financial Assurances. Most states have enacted legislation that requires landfill operators and owners to guarantee minimum financial capabilities to insure that a landfill is properly closed in accordance with environmental requirements. The form of the guarantee varies from state to state but generally consists of either trust funds, letters of credit or surety bonds. Chambers has employed all of these options in various locations. Management believes that its current financial position is adequate to meet the closure and post-closure requirements of its current landfills. However, there is no assurance that Chambers' financial position or the availability of surety bonds or letters of credit in the future will be adequate to meet this significant component of Chambers' business.</w:t>
      </w:r>
    </w:p>
    <w:p>
      <w:pPr>
        <w:spacing w:after="0" w:line="180"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Insurance. Chambers carries a broad range of insurance coverages which management considers sufficient to protect the assets and operations of Chambers that could otherwise be negatively affected in the event of a loss. The coverages are intended to provide Chambers with comprehensive financial protection. Insurance coverages are currently in effect to protect Chambers from financial losses resulting from bodily injury, personal injury and property damage, including but not limited to workers' compensation, comprehensive general liability, fire and casualty, vehicle and other related coverages. Commercial excess liability coverage is maintained as well. Chambers has determined that it is in its best interests to self-insure certain portions of liability and workers' compensation risks, while in some instances maintaining third-party coverage to protect against catastrophic loss. Chambers also maintains directors' and officers' insurance coverage. Because of the litigation arising out of the change in accounting method announced by Chambers in 1992 and the subsequent restatement of its prior years' financial statements (see</w:t>
      </w:r>
    </w:p>
    <w:p>
      <w:pPr>
        <w:spacing w:after="0" w:line="16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 Legal Proceedings"), Chambers has incurred significantly higher costs with respect to its directors' and officers' coverage.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result of limited availability in the insurance marketplace as well as costly premium assessments, Chambers, along with most companies in the waste industry, has experienced difficulty in obtaining environmental impairment liability insurance. Chambers will continue to undertake efforts to obtain this type of insurance coverage if such coverage is commercially available at premium levels which are reasonable in light of the business and financial risks involved. Chambers does not believe that the limited availability of comprehensive environmental impairment liability insurance should have a material adverse effect upon the operation of its business at this time.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December 31, 1994, Chambers had approximately 1,440 employees, approximately 300 of whom were represented by unions under collective bargaining agreements. Chambers is a party to union contracts at its Monroeville and Washington locations in Pennsylvania, and at its Morris County, New Jersey, locations. The employees at the remaining locations of Chambers are not represented by unions. Chambers has not experienced any work stoppages.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19"/>
          </w:cols>
          <w:pgMar w:left="240" w:top="291"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130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principal fixed assets of Chambers consist of real property interests, real property improvements, and vehicles and equipment. The vehicles and equipment, which are owned and leased, included, at December 31, 1994, approximately 430 collection and disposal vehicles, 160 light vehicles, 60 over-the-road tractors and 470 trailers, 80 rail trailers, 120 railcars and 580 rail containers, 67,000 waste collection containers and roll-off boxes, 51,000 recycling collection containers and 430 portable and stationary compactors, in addition to approximately 300 pieces of heavy equipment used in landfill construction and operations.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December 31, 1994, Chambers owned 11,172 acres of land and leased 1,217 acres of land, 10,814 acres of which are or could be used for landfill operations, 33 acres are used for recycling and transfer station operations and 1,542 acres of real property are or could be used for garages, offices and other facilities for business operations. Chambers owns and leases facilities where it provides complete maintenance, repair, fabrication, rebuilding and painting services for its vehicles and equipment. In connection with the restructuring of its financing agreements, Chambers has granted security interests in substantially all of its assets as collateral for Chambers' long-term borrowings and performance bonds. See "Management's Discussion and Analysis of Chambers' Financial Condition and Results of Operations -- Liquidity and Capital Resources."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Between March 18, 1992 and May 7, 1992, various Chambers shareholders filed twenty-three actions in the United States District Court for the Western District of Pennsylvania asserting federal securities fraud claims and pendent state law claims against Chambers, certain of its officers and directors, its former auditors, and the underwriters of its securities (the "Federal Class Action"). The significant part of these actions, as amended and consolidated on November 4, 1992, under the caption In Re: Chambers Development Chambers, Inc. Shareholders Litigation, Civil Action No. 92-0679, and brought on behalf of a putative class of purchasers of Chambers' securities between March 18, 1988 and October 20, 1992, is the allegation that the decrease in Chambers' stock price during the period from Chambers' March 17, 1992 announcement of a change in accounting method relating to capitalization of certain costs and expenses through its October 20, 1992 announcement of a $362 million reduction in retained earnings as of December 31, 1991, as compared to the amount previously reported, and a restatement of its 1990 and 1989 consolidated financial statements, was caused by Chambers' misrepresentation of its earnings and financial condition. One of the original twenty-three complaints, Yeager v. Rangos, et al., C.A. No. 92-1081, also asserts derivative claims on behalf of Chambers (which is named as a nominal defendant) for breach of fiduciary duty against certain of its officers and directors and for negligence against its former auditors (the "Federal Derivative Action").</w:t>
      </w:r>
    </w:p>
    <w:p>
      <w:pPr>
        <w:spacing w:after="0" w:line="18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three parallel lawsuits have been filed in state courts. Two derivative actions, asserting waste and mismanagement claims on behalf of Chambers against certain of its officers and directors, have been filed in the Delaware Court of Chancery for New Castle County (the "Delaware Derivative Actions") and are pending under the caption In Re: Chambers Development Company, Inc. Shareholders Litigation, Consolidated C. A. No. 12508. One purported class action, alleging state securities law and common law claims, has been filed in the Court of Common Pleas of Allegheny County, Commonwealth of Pennsylvania, under the caption Integrated Investments, Inc., et al. v. Chambers Development Company, Inc., et al., No. G.D. 92-7036 (the "State Class Action" and, together with the Federal Class Action, the "Class Actions").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complaints in the Class Actions allege that Chambers, in publicly disseminated materials, intentionally or negligently misstated its earnings during the class period, thereby deceiving Chambers' shareholders and others with respect to its growth prospects and profitability. In particular, the plaintiffs allege that Chambers' earnings were improperly increased by capitalizing certain costs and expenses in violation of generally accepted accounting principles, in part through the use of a formula which arbitrarily allocated indirect costs and expenses to landfill and development activities. In addition, the plaintiffs allege that Chambers had an inadequate information system and failed to maintain the records necessary to support the capitalization of such costs and expenses.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19"/>
          </w:cols>
          <w:pgMar w:left="240" w:top="291"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131</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Federal Class Action claims assert violations of section 10(b) of the Securities Exchange Act of 1934 and Rule 10b-5 promulgated thereunder, section 11 of the Securities Act of 1933 and negligent misrepresentation against Chambers. Claims under sections 12(2) and 20(a) of the Securities Act of 1933 have been asserted against Chambers' officers and directors who are named as defendants, but not against Chambers. The State Class Action asserts similar violations of the Pennsylvania securities laws. These actions seek to recover damages in an unspecified amount which the class members allegedly sustained by purchasing Chambers' securities at artificially inflated prices, as well as related relief.</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section 11 claims relate to the sale in April 1989 of 2.85 million shares of Chambers' Class A Common Stock at $25 per share (equivalent to 5.7 million shares of its Class A Common Stock at $12.50 per share after a subsequent two-for-one stock split), the issuance in September 1989 of $110 million principal amount of Chambers' 6 3/4% Convertible Subordinated Debentures Due September 15, 2004 (subsequently converted into Class A Common Stock on or about September 16, 1991 at $21.125 per share), and the sale in June 1991 of 7 million shares of Chambers' Class A Common Stock at $24.875 per share, and may be asserted by plaintiffs who, subject to certain conditions, are able to trace their purchases to these offerings. The section 10(b) fraud and negligent misrepresentation claims relate to these three offerings and open market transactions, whether or not the plaintiffs are able to trace their purchases to a specific offering. Chambers has been advised by its counsel that the plaintiffs have alleged that the restatement of Chambers' 1990 and 1989 consolidated financial statements is an admission that they were materially misstated. However, Chambers has also been advised by its counsel that Chambers' former auditors and former chief financial officer have contended that Chambers' prior consolidated financial statements were fairly presented in accordance with generally accepted accounting principles. If a plaintiff were to establish that Chambers' consolidated financial statements were materially misstated, Chambers would be liable for statutorily prescribed damages under section 11 (subject to a causation defense in which Chambers bears the burden of proving that some or all of the loss resulted from factors other than the misstatement and subject to the statute of limitations defense) and for damages established by case law under section 10(b) and the common law claims if that plaintiff were able to establish the remaining elements of those claims and Chambers had no affirmative defense.</w:t>
      </w:r>
    </w:p>
    <w:p>
      <w:pPr>
        <w:spacing w:after="0" w:line="19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Federal Derivative Action and the Delaware Derivative Actions assert, inter alia, that Chambers' officers and directors committed acts of waste, mismanagement and breach of fiduciary duty by allegedly instituting or approving Chambers' accounting policies relating to capitalization of certain costs and expenses for the purpose of increasing their salaries, fees, stock and other benefits. These actions, which seek recovery of unspecified damages on behalf of Chambers, allege that Chambers has been damaged because it has become exposed to the risk of an adverse judgment or settlement in the class actions, that it has incurred and will incur costs to defend the class actions, and that it has suffered injury to its reputation.</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March 5, 1993, another state court action was filed in the Court of Common Pleas in Allegheny County, Pennsylvania, under the caption Balaban v. Rangos, et al. (the "Pennsylvania Derivative Action" and, together with the Federal and Delaware Derivative Actions, the "Derivative Actions"). This action asserts derivative claims on behalf of Chambers similar in nature to those asserted in the Federal and Delaware Derivative Actions.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November 18, 1994, Chambers and shareholder representatives executed memoranda of understanding with respect to the settlement and dismissal of the Class Actions and Derivative Actions. On February 24, 1995, representatives of the plaintiffs in the Federal Class Action, representatives of the plaintiffs in the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Class Action Settlement Agreement provides that the sum of $8 million will be paid by Chambers' directors and officers liability insurance carrier and the sum of $70 million will be paid by Chambers in two installments following final court approval of the settlement. The first installment of $25 million, together with</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19"/>
          </w:cols>
          <w:pgMar w:left="240" w:top="291" w:right="1440" w:bottom="1440" w:gutter="0" w:footer="0" w:header="0"/>
          <w:type w:val="continuous"/>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interest calculated from the Settlement Effective Date (as hereinafter defined) to the date of payment, is to be made no later than the earlier of (i) 30 days after the Settlement Effective Date or (ii) after the Settlement Effective Date and two days after the Merger or any comparable transaction (as defined in the Class Action Settlement Agreement) of Chambers with any other company has been consummated. The second installment of $45 million, together with interest calculated from the Settlement Effective Date to the date of payment (the "Second Installment"), is to be made no later than the earlier of (i) one year after the Settlement Effective Date or (ii) the date after the Settlement Effective Date and five days after certain refinancing shall have been obtained by the combined entity resulting from the Merger or a comparable transaction. "Settlement Effective Date" is defined as that date upon which (i) the court has finally approved the Class Action settlement after due notice and hearing, (ii) final judgment dismissing the Class Actions as to the settling defendants has been entered, (iii) all times for appeal or other direct attack on the adequacy of the settlement have expired or any such direct attack shall have been finally rejected, and (iv) all related actions (as defined in the Class Action Settlement Agreement) have been dismissed with prejudice; provided, however, that the dismissal of any such related actions may be conditioned upon the subsequent approval of the settlement and the occurrence of the Settlement Effective Date. If the Merger or a comparable transaction is consummated, the total settlement payment will be adjusted by a base increase of $5 million, which will be adjusted upward or downward by an amount consisting of $16,000 for each penny above or below $4.50 of Merger consideration received by Chambers stockholders per share of Chambers Common Stock or Chambers Class A Common Stock, together with interest from the Settlement Effective Date to the payment date (the base increase, together with any adjustment thereto, collectively referred to as the "Adjustment"). Any amount by which the sum of the Second Installment and the Adjustment exceed $50.6 million will be paid by John G. Rangos, Sr., Chairman and Chief Executive Officer of Chambers. The Adjustment shall be payable no later than the earlier of (i) one year after the Settlement Effective Date or (ii) five days after certain refinancing shall have been obtained by the combined entity in the Merger or a comparable transaction. However, the Adjustment shall be payable only if (i) the Merger or a comparable transaction shall have been consummated within one year after the Settlement Effective Date or (ii) the Merger Agreement or an agreement for a comparable transaction is in effect on the date one year after the Settlement Effective Date and the Merger or such comparable transaction is consummated thereafter. John G. Rangos, Sr. has also agreed to guarantee Chambers' obligations to make certain payments in the Class Action settlement in an amount not to exceed $15 million.</w:t>
      </w:r>
    </w:p>
    <w:p>
      <w:pPr>
        <w:spacing w:after="0" w:line="19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Derivative Action Settlement Agreement provides that the consideration from the defendants to Chambers shall include the following: (i) payment of the sum of $2 million from Chambers' directors and officers liability insurance carrier; (ii) the continued implementation by Chambers, for a period of at least two years after the effective date of the settlement, of certain corporate governance measures; (iii) the contribution to Chambers by Synergy Associates of the headquarters property currently leased to Chambers by Synergy Associates; and (iv) the $15 million guarantee of John G. Rangos, Sr. with respect to certain payments to be made by Chambers to the plaintiff class pursuant to the Class Action settlement.</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in order for the settlements to be effective, certain related actions, as described in the Settlement Agreements, must be dismissed with prejudice including the State Class Action and the Delaware and Pennsylvania Derivative Actions. These related actions do not include the cases captioned Option Resource Group, et al. v. Chambers Development Company, et al., and Southeast Investments v. Chambers Development Co., et al., which are described below; these matters may still be pending after the Class Action and Derivative Action settlements.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Settlement Agreements provide that Chambers and its present and former officers, directors and employees will receive releases from the plaintiffs. Under the Settlement Agreements, the plaintiffs' actions continued against certain defendants other than Chambers. The terms of settlement also include a right to terminate the settlements based on appeals or opt-outs with respect to the Class Actions. After Chambers entered into the Settlement Agreements, the class and derivative plaintiffs entered into settlements with Grant Thornton, which previously served as Chambers' accountants. Chambers then entered into an agreement with the class plaintiffs to settle their claims against a group of underwriters of certain of Chambers' securities offerings. Chambers agreed to pay $300,000 to the class plaintiffs to resolve these claims for which the</w:t>
      </w:r>
    </w:p>
    <w:p>
      <w:pPr>
        <w:sectPr>
          <w:pgSz w:w="11900" w:h="16838" w:orient="portrait"/>
          <w:cols w:equalWidth="0" w:num="1">
            <w:col w:w="10219"/>
          </w:cols>
          <w:pgMar w:left="240" w:top="291" w:right="1440" w:bottom="1440" w:gutter="0" w:footer="0" w:header="0"/>
        </w:sectPr>
      </w:pP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19"/>
          </w:cols>
          <w:pgMar w:left="240" w:top="291" w:right="1440" w:bottom="1440" w:gutter="0" w:footer="0" w:header="0"/>
          <w:type w:val="continuous"/>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133</w:t>
      </w:r>
    </w:p>
    <w:p>
      <w:pPr>
        <w:spacing w:after="0" w:line="178"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4"/>
          <w:szCs w:val="14"/>
          <w:color w:val="auto"/>
        </w:rPr>
        <w:t>underwriters sought indemnity from Chambers. The Settlement Agreements provide for the seeking of bar orders and also have judgment reduction provisions that are intended to protect Chambers and the settling individual defendants from claims over by Grant Thornton and the underwriters in the event that their settlements are not approved by the court or otherwise do not become final. On March 22, 1995, the court granted preliminary approval of the settlements and the distribution of notices to Chambers' stockholders and the plaintiff class members regarding the settlements. A hearing upon the fairness, reasonableness and adequacy of the proposed settlements has been scheduled for May 19, 1995.</w:t>
      </w:r>
    </w:p>
    <w:p>
      <w:pPr>
        <w:spacing w:after="0" w:line="33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By May 15, 1995, Chambers had been informed by the Claims Administrator that several potential class members, representing in the aggregate less than 5,000 shares of Chambers stock, have requested exclusion from the Class Action Settlement Agreement. The timely receipt of the foregoing requests for exclusion has been confirmed by the Claims Administrator for the Class Action. In addition, Chambers has received an indication that one shareholder and certain related parties, holding alleged claims with respect to approximately 673,000 shares of Chambers stock, have asserted that exclusion from the Class Action Settlement would be requested with respect to such holdings. As of May 15, 1995, Chambers had not received any confirmation from the Claims Administrator for the Class Action of the receipt of such request for exclusion. While the Settlement Agreements provide that the latter request for exclusion would give the Chambers defendants and the Grant Thornton defendants the right to withdraw from the Settlement Agreements, Chambers' management intends to proceed with the settlements. Under the terms of the Settlement Agreements, Chambers may still proceed with the settlements whether or not the Grant Thornton defendants elect to withdraw. Chambers has also been informed that the Option Resource Group action described below will still be pending after the settlement of the Class Action and the Derivative Action. In addition, two objections were filed to the Derivative Action Settlement Agreement. It is believed that such objections are not significant and are unlikely to prevent approval of the settlement. Objections to the Settlement Agreements were required to be filed with the court by May 11, 1995 and requests for exclusion were required to be mailed by May 11, 1995.</w:t>
      </w:r>
    </w:p>
    <w:p>
      <w:pPr>
        <w:spacing w:after="0" w:line="200" w:lineRule="exact"/>
        <w:rPr>
          <w:sz w:val="20"/>
          <w:szCs w:val="20"/>
          <w:color w:val="auto"/>
        </w:rPr>
      </w:pPr>
    </w:p>
    <w:p>
      <w:pPr>
        <w:spacing w:after="0" w:line="33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Shortly after Chambers' March 17, 1992 announcement of a change in accounting policies concerning capitalization,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13(b) of the Exchange Act and various rules promulgated thereunder. Chambers has cooperated with the investigation through the production of documents and by providing witnesses pursuant to the Commission's request. On May 9, 1995, the Commission filed a complaint against Chambers in the United States District Court for the Western District of Pennsylvania alleging that Chambers violated the antifraud provisions of the Securities Act and the antifraud, reporting, internal controls and recordkeeping provisions of the Exchange Act by issuing false and misleading earnings announcements from 1989 through March 1992 and including false and misleading financial statements in its reports on Forms 10-K and 10-Q and its registration statements filed from 1989 through November 1991. Chambers simultaneously consented, without admitting or denying the Commission's allegations, to the entry of an order enjoining it from violating certain provisions of the Securities Act and the Exchange Act and requiring it to pay a civil penalty of $500,000.</w:t>
      </w:r>
    </w:p>
    <w:p>
      <w:pPr>
        <w:spacing w:after="0" w:line="200" w:lineRule="exact"/>
        <w:rPr>
          <w:sz w:val="20"/>
          <w:szCs w:val="20"/>
          <w:color w:val="auto"/>
        </w:rPr>
      </w:pPr>
    </w:p>
    <w:p>
      <w:pPr>
        <w:spacing w:after="0" w:line="33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Commission also instituted administrative proceedings under section 21C of the Exchange Act against four present and former officers of Chambers, including John G. Rangos, Sr., Chairman and Chief Executive Officer of Chambers, Dale O. Nolder, Jr. and John J. Cushma, two of Chambers' former corporate controllers and William R. Nelson, a former chief financial officer of Chambers. The Commission found, among other things, that John G. Rangos, Sr. and John J. Cushma each were a cause of Chambers' violations of the reporting, internal controls and recordkeeping provisions of the Exchange Act. Each of these four persons consented to the issuance of a cease and desist order without admitting or denying the Commission's findings.</w:t>
      </w:r>
    </w:p>
    <w:p>
      <w:pPr>
        <w:spacing w:after="0" w:line="35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AMEX and the Chicago Board of Options Exchange are conducting investigations into trading activity on their respective exchanges in Chambers' securities and in put options on Chambers' securities prior to the March 17, 1992 announcement.</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19"/>
          </w:cols>
          <w:pgMar w:left="240" w:top="291" w:right="1440" w:bottom="1440" w:gutter="0" w:footer="0" w:header="0"/>
          <w:type w:val="continuous"/>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134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The grand jury investigation is ongoing and it appears to be focusing on issues similar to those raised by the civil litigation and the Commission investigation described above.</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Chambers is cooperating with each of the investigations referred to in the two preceding paragraphs.</w:t>
      </w:r>
    </w:p>
    <w:p>
      <w:pPr>
        <w:spacing w:after="0" w:line="34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or about March 8, 1993, an action was filed in the United States District Court for the Western District of Pennsylvania, captioned Option Resource Group, et al. v. Chambers Development Company, Inc., et al., C.A. No. 93-354. This action was brought by a market maker in Chambers stock and two of its general partners and asserts federal securities law and common law claims similar to those alleged in the Class Actions against essentially the same group of defendants. These plaintiffs allege that, as a result of large amounts of put options traded on the Chicago Board of Options Exchange between March 13 and March 18, 1992, they bought Chambers stock and also sold it short to assure fluidity in the market, resulting in approximately $2.1 million in losses. On March 19, 1993, another action was filed in the United State District Court for the Eastern District of Arkansas, captioned Southeast Investments, Inc. v. Chambers Development Company, Inc., No. MDL-982 (the "Arkansas Action"). This action was brought by an individual investor which claims to have purchased Chambers stock on March 20, 1992 in reliance on Chambers' March 17, 1992 announcement and suffered an alleged loss of approximately $75,000 upon the subsequent sale of the stock. The complaint asserts federal securities law and common law claims similar to those alleged in the Class Action. Chambers' motion to the Judicial Panel on Multidistrict Litigation ("MDL") to transfer the Arkansas Action to the Western District of Pennsylvania was granted by the MDL. These actions are in discovery and Chambers is vigorously defending these actions.</w:t>
      </w:r>
    </w:p>
    <w:p>
      <w:pPr>
        <w:spacing w:after="0" w:line="3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August 31, 1992, Chambers and the Township of Conemaugh, Pennsylvania, filed an action in the United States District Court for the Western District of Pennsylvania seeking to enjoin the Passaic County Utilities Authority (the "Authority") from entering into a long-term disposal contract with a third party in breach of the Authority's long-term disposal contract with Chambers. The Authority subsequently filed an action on the same issues in the Superior Court of New Jersey in Passaic County. The District Court awarded Chambers summary judgment on one count of its complaint, thereby directing the Authority specifically to perform its obligations under its existing contract with Chambers. However, the District Court in granting summary judgment recognized that the New Jersey Department of Environmental Protection and Energy ("DEPE") has ultimate approval authority regarding New Jersey public solid waste disposal contracts and, therefore, the Authority could proceed with seeking approval from the DEPE of its agreement with the third party. The DEPE subsequently directed the Authority to continue to deliver Passaic County's waste to Chambers through December 11, 1993, and later granted the Authority's request for approval of the third party agreement. Chambers filed a motion for summary judgment for an award of damages, but the District Court granted summary judgment to the Authority. Chambers has filed an appeal of the District Court judgment to the Circuit Court of Appeals.</w:t>
      </w:r>
    </w:p>
    <w:p>
      <w:pPr>
        <w:spacing w:after="0" w:line="1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1990, two actions were filed by the State of West Virginia, seeking to require Chambers' LCS Landfill in West Virginia to obtain the approval of the local county commission for continued operation of the landfill and for the volume of waste which may be disposed of in the landfill, which cases were consolidated under the caption State of West Virginia ex rel. Hamrick v. LCS Services, Inc., et al. On July 29, 1993, the Circuit Court of Berkeley County, West Virginia, issued an order requiring Chambers to obtain the approval of the Berkeley County Commission in order to continue operation of its LCS landfill. On December 16, 1994, the Supreme Court of Appeals of West Virginia affirmed the lower court's decision in part and reversed that decision in part, holding that the landfill does not require local county site approval, but continuing the volume limitation which has applied to the facility since it commenced operation in 1991.</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declaratory judgment action entitled Morel, et al. v. Chambers Waste Systems of Florida, Inc. was filed on September 29, 1994 in the Circuit Court of the Fifteenth Judicial Circuit of Florida in and for Palm Beach County, Florida. The plaintiffs are asking the court to declare that they are entitled to royalty payments from</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19"/>
          </w:cols>
          <w:pgMar w:left="240" w:top="291" w:right="1440" w:bottom="1440" w:gutter="0" w:footer="0" w:header="0"/>
          <w:type w:val="continuous"/>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135</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Chambers as calculated by a percentage of gross revenues derived from Chambers' landfill located at Berman Road in Okeechobee County, Florida, as well as from any landfill that may be sited in the future by Chambers on nearby property. Chambers has responded by seeking, among other things, a declaration that any writing or document that the plaintiffs contend such royalty entitlement is based upon is void, voidable or otherwise of no effect or, alternatively, that any royalty payments be solely based upon the nearby property to Chambers' landfill, when a landfill is developed, if ever, on such property. The outcome of this action is not presently determinable.</w:t>
      </w:r>
    </w:p>
    <w:p>
      <w:pPr>
        <w:spacing w:after="0" w:line="179"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Since the announcement of the Merger, three cases have been filed in the Court of Chancery of the State of Delaware in New Castle County against Chambers, its officers and directors and USA Waste and Envirofil. These cases include Smith v. Rangos et al., C. A. No. 13906, Krim v. Rangos et al., C. A. No. 13985, and Adams v. Rangos et al., C. A. No. 13909. Each of these actions relates to the Merger and all of them seek substantially similar relief. Accordingly, a consolidation order was entered by the Court of Chancery on March 1, 1995. The cases have been consolidated for all purposes under Smith v. Rangos, et al. at C. A. No. 13906 and the caption of the consolidated case is In Re Chambers Development Company, Inc. Shareholders Litigation, Consolidated C. A. No. 13906. The complaint which will govern the consolidated action is the complaint filed in the Krim action. The Krim complaint is brought as a purported class action on behalf of the plaintiff and all similarly situated Chambers security holders, excluding defendants and any person, firm, corporation or similar entity related to or affiliated with any of the defendants. The complaint alleges that the individual defendants, inter alia, engaged in unfair dealing to the detriment of the putative class; the Merger is grossly unfair to the members of the putative class; the members of the putative class would be irreparably damaged if the Merger were to be consummated; and the defendants' conduct constituted a breach of fiduciary and other common law duties allegedly owed to the putative class. The complaint alleges that the Merger consideration is inadequate for various reasons and that the individual defendants failed to maximize shareholder value. 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and experts' fees. 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200" w:lineRule="exact"/>
        <w:rPr>
          <w:sz w:val="20"/>
          <w:szCs w:val="20"/>
          <w:color w:val="auto"/>
        </w:rPr>
      </w:pPr>
    </w:p>
    <w:p>
      <w:pPr>
        <w:spacing w:after="0" w:line="32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Due to the increasingly complex regulatory environment and heightened public awareness of and community sensitivity toward waste management operations, including particularly the siting or expansion of waste disposal facilities, Chambers could become involved in a variety of potentially significant legal proceedings, in addition to other more routine litigation incidental to its business, including, for example, proceedings relating to permit applications for proposed facilities, personal injury claims and other proceedings.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291"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136</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SELECTED HISTORICAL CONSOLIDATED FINANCIAL DATA OF CHAMBERS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selected historical consolidated financial data for Chambers for each of the five years in the period ended December 31, 1994 has been derived from its historical audited consolidated financial statements and should be read in conjunction with the separate historical consolidated financial statements and the notes thereto of Chambers located elsewhere herein. The selected consolidated financial data for Chambers for each of the three-month periods ended March 31, 1994 and 1995 has been derived from the unaudited consolidated financial statements of Chambers. The unaudited data includes, in the opinion of Chambers' management, all adjustments necessary to present fairly the information for such periods. The results for the three-month period ended March 31, 1995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ENDED MARCH 31,</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Courier New" w:cs="Courier New" w:eastAsia="Courier New" w:hAnsi="Courier New"/>
                <w:sz w:val="4"/>
                <w:szCs w:val="4"/>
                <w:color w:val="auto"/>
                <w:w w:val="70"/>
              </w:rPr>
              <w: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1990</w:t>
            </w:r>
          </w:p>
        </w:tc>
        <w:tc>
          <w:tcPr>
            <w:tcW w:w="180" w:type="dxa"/>
            <w:vAlign w:val="bottom"/>
          </w:tcPr>
          <w:p>
            <w:pPr>
              <w:spacing w:after="0"/>
              <w:rPr>
                <w:sz w:val="15"/>
                <w:szCs w:val="15"/>
                <w:color w:val="auto"/>
              </w:rPr>
            </w:pPr>
          </w:p>
        </w:tc>
        <w:tc>
          <w:tcPr>
            <w:tcW w:w="82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1991</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24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$214,052</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$249,384</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$294,310</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$288,481</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$257,989</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$ 59,766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54,734</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Costs and expenses: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175,669</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196,565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206,761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194,355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179,542</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41,776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38,442</w:t>
            </w:r>
          </w:p>
        </w:tc>
      </w:tr>
      <w:tr>
        <w:trPr>
          <w:trHeight w:val="173"/>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General and</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administrative..........</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38,131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42,908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37,853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23,210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24,796</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5,356</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5,837</w:t>
            </w: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amortization............</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22,863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35,611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38,363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41,764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37,568</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9,319</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7,737</w:t>
            </w: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Unusual items --</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operations..............</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16,938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44,291</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(11,851)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8,863</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236,663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292,022</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327,268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247,478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250,769</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56,451</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52,016</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operations................</w:t>
            </w:r>
          </w:p>
        </w:tc>
        <w:tc>
          <w:tcPr>
            <w:tcW w:w="1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(22,611)</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(42,638)</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(32,958)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41,003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7,220</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3,315</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2,718</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Unusual</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items --</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shareholder</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litigation settlement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other litigation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related costs...........</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(10,853)</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(5,500)</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(79,400)</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(13,487)</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(30,514)</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(31,628)</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(29,163)</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(23,843)</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(5,726)</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(8,591)</w:t>
            </w: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5,575</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9,324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4,825</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2,220</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462</w:t>
            </w: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net................</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1,684</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1,093</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(7,051)</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(18,244)</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(35,972)</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(31,100)</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(101,395)</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(5,166)</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(7,962)</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income</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taxes.....................</w:t>
            </w:r>
          </w:p>
        </w:tc>
        <w:tc>
          <w:tcPr>
            <w:tcW w:w="1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(29,662)</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(60,882)</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(68,930)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9,903</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(94,175)</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(1,851)</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(5,244)</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Income tax provision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(benefit).................</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6,300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1,325</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1,600</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(3,931)</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(35,962)</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(64,482)</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(70,255)</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8,303</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(90,244)</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(1,975)</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(5,269)</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Discontinued operations: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Loss from operations......</w:t>
            </w:r>
          </w:p>
        </w:tc>
        <w:tc>
          <w:tcPr>
            <w:tcW w:w="1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(4,609)</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(7,722)</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(1,407)</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Gain on sale of assets....</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$(40,571)</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$(72,204)</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$(70,723)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8,303</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$(90,244)</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(1,975)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(5,269)</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continuing operations per</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share..............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per common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common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equivalent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54,645</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59,895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66,788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66,788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66,789</w:t>
            </w:r>
          </w:p>
        </w:tc>
        <w:tc>
          <w:tcPr>
            <w:tcW w:w="24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66,789</w:t>
            </w: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66,789</w:t>
            </w:r>
          </w:p>
        </w:tc>
      </w:tr>
      <w:tr>
        <w:trPr>
          <w:trHeight w:val="173"/>
        </w:trPr>
        <w:tc>
          <w:tcPr>
            <w:tcW w:w="1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 (AT END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w w:val="96"/>
              </w:rPr>
              <w:t>OF PERIOD):</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Working capital (deficit)...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$129,322</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$142,487</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$ 52,631</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$ 30,067</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$(12,220)</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(8,961)</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516,017</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699,859</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592,790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533,622</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488,498</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476,363</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including</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current maturities........</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403,602</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377,782</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352,836</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291,551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257,481</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247,673</w:t>
            </w:r>
          </w:p>
        </w:tc>
      </w:tr>
      <w:tr>
        <w:trPr>
          <w:trHeight w:val="173"/>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16,385</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216,456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145,870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154,173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63,932</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58,663</w:t>
            </w:r>
          </w:p>
        </w:tc>
      </w:tr>
    </w:tbl>
    <w:p>
      <w:pPr>
        <w:spacing w:after="0" w:line="200" w:lineRule="exact"/>
        <w:rPr>
          <w:sz w:val="20"/>
          <w:szCs w:val="20"/>
          <w:color w:val="auto"/>
        </w:rPr>
      </w:pPr>
    </w:p>
    <w:p>
      <w:pPr>
        <w:sectPr>
          <w:pgSz w:w="11900" w:h="16838" w:orient="portrait"/>
          <w:cols w:equalWidth="0" w:num="1">
            <w:col w:w="10219"/>
          </w:cols>
          <w:pgMar w:left="240" w:top="291" w:right="1440" w:bottom="0" w:gutter="0" w:footer="0" w:header="0"/>
        </w:sect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19"/>
          </w:cols>
          <w:pgMar w:left="240" w:top="291" w:right="1440" w:bottom="0" w:gutter="0" w:footer="0" w:header="0"/>
          <w:type w:val="continuous"/>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137</w:t>
      </w:r>
    </w:p>
    <w:p>
      <w:pPr>
        <w:spacing w:after="0" w:line="35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MANAGEMENT'S DISCUSSION AND ANALYSIS OF CHAMBERS' FINANCIAL</w:t>
      </w:r>
    </w:p>
    <w:p>
      <w:pPr>
        <w:spacing w:after="0" w:line="35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MONTHS ENDED MARCH 31, 1994 AND 1995</w:t>
      </w:r>
    </w:p>
    <w:p>
      <w:pPr>
        <w:spacing w:after="0" w:line="200" w:lineRule="exact"/>
        <w:rPr>
          <w:sz w:val="20"/>
          <w:szCs w:val="20"/>
          <w:color w:val="auto"/>
        </w:rPr>
      </w:pPr>
    </w:p>
    <w:p>
      <w:pPr>
        <w:spacing w:after="0" w:line="32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items in the condensed consolidated statements of operations as a percentage of revenues, and the percentage change in dollar amounts of the items for the three months ended March 31, 1994, as compared with the three months ended March 31,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THREE MONTHS</w:t>
            </w:r>
          </w:p>
        </w:tc>
        <w:tc>
          <w:tcPr>
            <w:tcW w:w="1080" w:type="dxa"/>
            <w:vAlign w:val="bottom"/>
          </w:tcPr>
          <w:p>
            <w:pPr>
              <w:spacing w:after="0"/>
              <w:rPr>
                <w:sz w:val="14"/>
                <w:szCs w:val="14"/>
                <w:color w:val="auto"/>
              </w:rPr>
            </w:pPr>
          </w:p>
        </w:tc>
      </w:tr>
      <w:tr>
        <w:trPr>
          <w:trHeight w:val="173"/>
        </w:trPr>
        <w:tc>
          <w:tcPr>
            <w:tcW w:w="55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5500" w:type="dxa"/>
            <w:vAlign w:val="bottom"/>
          </w:tcPr>
          <w:p>
            <w:pPr>
              <w:spacing w:after="0"/>
              <w:rPr>
                <w:sz w:val="15"/>
                <w:szCs w:val="15"/>
                <w:color w:val="auto"/>
              </w:rPr>
            </w:pPr>
          </w:p>
        </w:tc>
        <w:tc>
          <w:tcPr>
            <w:tcW w:w="15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MARCH 31,</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PERCENTAGE</w:t>
            </w:r>
          </w:p>
        </w:tc>
      </w:tr>
      <w:tr>
        <w:trPr>
          <w:trHeight w:val="173"/>
        </w:trPr>
        <w:tc>
          <w:tcPr>
            <w:tcW w:w="550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INCREASE</w:t>
            </w:r>
          </w:p>
        </w:tc>
      </w:tr>
      <w:tr>
        <w:trPr>
          <w:trHeight w:val="173"/>
        </w:trPr>
        <w:tc>
          <w:tcPr>
            <w:tcW w:w="55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1995</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(DECREASE)</w:t>
            </w:r>
          </w:p>
        </w:tc>
      </w:tr>
      <w:tr>
        <w:trPr>
          <w:trHeight w:val="173"/>
        </w:trPr>
        <w:tc>
          <w:tcPr>
            <w:tcW w:w="55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Revenues....................................................</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100%</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100%</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70</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r>
      <w:tr>
        <w:trPr>
          <w:trHeight w:val="173"/>
        </w:trPr>
        <w:tc>
          <w:tcPr>
            <w:tcW w:w="550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primarily interest..........................</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(16)</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w:t>
            </w:r>
          </w:p>
        </w:tc>
      </w:tr>
      <w:tr>
        <w:trPr>
          <w:trHeight w:val="173"/>
        </w:trPr>
        <w:tc>
          <w:tcPr>
            <w:tcW w:w="550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Loss before income taxes....................................</w:t>
            </w: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(10)</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tax provision........................................</w:t>
            </w: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w:t>
            </w:r>
          </w:p>
        </w:tc>
      </w:tr>
      <w:tr>
        <w:trPr>
          <w:trHeight w:val="173"/>
        </w:trPr>
        <w:tc>
          <w:tcPr>
            <w:tcW w:w="550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loss....................................................</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(10)%</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w:t>
            </w:r>
          </w:p>
        </w:tc>
      </w:tr>
      <w:tr>
        <w:trPr>
          <w:trHeight w:val="173"/>
        </w:trPr>
        <w:tc>
          <w:tcPr>
            <w:tcW w:w="5500" w:type="dxa"/>
            <w:vAlign w:val="bottom"/>
          </w:tcPr>
          <w:p>
            <w:pPr>
              <w:spacing w:after="0"/>
              <w:rPr>
                <w:sz w:val="15"/>
                <w:szCs w:val="15"/>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following table sets forth the components of revenue change for each of the three months ended March 31, 1994 and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c>
          <w:tcPr>
            <w:tcW w:w="6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1995</w:t>
            </w:r>
          </w:p>
        </w:tc>
      </w:tr>
      <w:tr>
        <w:trPr>
          <w:trHeight w:val="173"/>
        </w:trPr>
        <w:tc>
          <w:tcPr>
            <w:tcW w:w="648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Price..................................................................</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Volume.................................................................</w:t>
            </w: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Divestitures...........................................................</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w:t>
            </w:r>
          </w:p>
        </w:tc>
        <w:tc>
          <w:tcPr>
            <w:tcW w:w="6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8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3"/>
        </w:trPr>
        <w:tc>
          <w:tcPr>
            <w:tcW w:w="648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revenues of Chambers by each of the principal lines of ongoing business and for divested businesses for each of the three months ended March 31, 1994 and 1995 (dollar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9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THREE MONTHS</w:t>
            </w:r>
          </w:p>
        </w:tc>
        <w:tc>
          <w:tcPr>
            <w:tcW w:w="1080" w:type="dxa"/>
            <w:vAlign w:val="bottom"/>
          </w:tcPr>
          <w:p>
            <w:pPr>
              <w:spacing w:after="0"/>
              <w:rPr>
                <w:sz w:val="14"/>
                <w:szCs w:val="14"/>
                <w:color w:val="auto"/>
              </w:rPr>
            </w:pPr>
          </w:p>
        </w:tc>
      </w:tr>
      <w:tr>
        <w:trPr>
          <w:trHeight w:val="173"/>
        </w:trPr>
        <w:tc>
          <w:tcPr>
            <w:tcW w:w="5040" w:type="dxa"/>
            <w:vAlign w:val="bottom"/>
          </w:tcPr>
          <w:p>
            <w:pPr>
              <w:spacing w:after="0"/>
              <w:rPr>
                <w:sz w:val="15"/>
                <w:szCs w:val="15"/>
                <w:color w:val="auto"/>
              </w:rPr>
            </w:pPr>
          </w:p>
        </w:tc>
        <w:tc>
          <w:tcPr>
            <w:tcW w:w="1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ENDED MARCH 31,</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PERCENTAGE</w:t>
            </w:r>
          </w:p>
        </w:tc>
      </w:tr>
      <w:tr>
        <w:trPr>
          <w:trHeight w:val="173"/>
        </w:trPr>
        <w:tc>
          <w:tcPr>
            <w:tcW w:w="5040" w:type="dxa"/>
            <w:vAlign w:val="bottom"/>
          </w:tcPr>
          <w:p>
            <w:pPr>
              <w:spacing w:after="0"/>
              <w:rPr>
                <w:sz w:val="15"/>
                <w:szCs w:val="15"/>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INCREASE</w:t>
            </w:r>
          </w:p>
        </w:tc>
      </w:tr>
      <w:tr>
        <w:trPr>
          <w:trHeight w:val="173"/>
        </w:trPr>
        <w:tc>
          <w:tcPr>
            <w:tcW w:w="504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(DECREASE)</w:t>
            </w:r>
          </w:p>
        </w:tc>
      </w:tr>
      <w:tr>
        <w:trPr>
          <w:trHeight w:val="173"/>
        </w:trPr>
        <w:tc>
          <w:tcPr>
            <w:tcW w:w="5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Collection services....................................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$25,816</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$25,325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Disposal services (landfills)..........................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18,883</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18,815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Transfer stations......................................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10,857</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Incinerator............................................</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2,315</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Recycling services.....................................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1,510</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Divested businesses....................................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385</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5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tcPr>
          <w:p>
            <w:pPr>
              <w:spacing w:after="0"/>
              <w:rPr>
                <w:sz w:val="15"/>
                <w:szCs w:val="15"/>
                <w:color w:val="auto"/>
              </w:rPr>
            </w:pP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$59,766</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$54,734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r>
      <w:tr>
        <w:trPr>
          <w:trHeight w:val="173"/>
        </w:trPr>
        <w:tc>
          <w:tcPr>
            <w:tcW w:w="504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tcPr>
          <w:p>
            <w:pPr>
              <w:spacing w:after="0"/>
              <w:rPr>
                <w:sz w:val="15"/>
                <w:szCs w:val="15"/>
                <w:color w:val="auto"/>
              </w:rPr>
            </w:pPr>
          </w:p>
        </w:tc>
      </w:tr>
    </w:tbl>
    <w:p>
      <w:pPr>
        <w:sectPr>
          <w:pgSz w:w="11900" w:h="16838" w:orient="portrait"/>
          <w:cols w:equalWidth="0" w:num="1">
            <w:col w:w="10219"/>
          </w:cols>
          <w:pgMar w:left="240" w:top="291" w:right="1440" w:bottom="0" w:gutter="0" w:footer="0" w:header="0"/>
        </w:sectPr>
      </w:pPr>
    </w:p>
    <w:bookmarkStart w:id="139" w:name="page140"/>
    <w:bookmarkEnd w:id="139"/>
    <w:p>
      <w:pPr>
        <w:ind w:right="3099" w:firstLine="451"/>
        <w:spacing w:after="0" w:line="244" w:lineRule="auto"/>
        <w:rPr>
          <w:sz w:val="20"/>
          <w:szCs w:val="20"/>
          <w:color w:val="auto"/>
        </w:rPr>
      </w:pPr>
      <w:r>
        <w:rPr>
          <w:rFonts w:ascii="Courier New" w:cs="Courier New" w:eastAsia="Courier New" w:hAnsi="Courier New"/>
          <w:sz w:val="15"/>
          <w:szCs w:val="15"/>
          <w:color w:val="auto"/>
        </w:rPr>
        <w:t>Revenues. Revenues for the first quarter of 1995 decreased by $5.1 million to $54.7 million from $59.8 million for the first quarter of 1994. The 8% decrease in revenues, as discussed in detail below, resulted from a 9% decrease related to price, partially offset by a 1% increase in volume. During 1994, Chambers sold</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19"/>
          </w:cols>
          <w:pgMar w:left="240" w:top="662"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138</w:t>
      </w:r>
    </w:p>
    <w:p>
      <w:pPr>
        <w:spacing w:after="0" w:line="351"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one recycling operation with a resulting decrease in revenues attributable to that operation of $0.4 million in the first quarter of 1995.</w:t>
      </w:r>
    </w:p>
    <w:p>
      <w:pPr>
        <w:spacing w:after="0" w:line="200" w:lineRule="exact"/>
        <w:rPr>
          <w:sz w:val="20"/>
          <w:szCs w:val="20"/>
          <w:color w:val="auto"/>
        </w:rPr>
      </w:pPr>
    </w:p>
    <w:p>
      <w:pPr>
        <w:spacing w:after="0" w:line="323"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Landfill revenues for the first quarter of 1995 remained relatively constant compared to the first quarter of 1994. Increased volume at Chambers' landfills in Okeechobee County, Florida, Richland County, South Carolina, and Southern Alleghenies, Pennsylvania, was partially offset by a reduction in volume at the Charles City County, Virginia, site. Landfill revenues were derived from municipal solid waste and from special waste, which consists of nonhazardous waste materials such as sewage sludges, contaminated soils, incinerator ash and industrial residues.</w:t>
      </w:r>
    </w:p>
    <w:p>
      <w:pPr>
        <w:spacing w:after="0" w:line="200" w:lineRule="exact"/>
        <w:rPr>
          <w:sz w:val="20"/>
          <w:szCs w:val="20"/>
          <w:color w:val="auto"/>
        </w:rPr>
      </w:pPr>
    </w:p>
    <w:p>
      <w:pPr>
        <w:spacing w:after="0" w:line="325"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In addition, collection revenues for the first quarter of 1995 were reduced primarily as a result of Chambers' contract with Bergen County, New Jersey. In December 1993, Chambers was awarded a new three-year agreement at a reduced rate from the prior contract for the municipal solid waste from Bergen County, New Jersey, commencing on March 1, 1994. The contract for the transportation and disposal of ash generated by the Essex County incinerator was awarded to a competitor effective March 16, 1994. The decline in collection revenues is partially offset by increased volume at the Mainline, Pennsylvania, facility.</w:t>
      </w:r>
    </w:p>
    <w:p>
      <w:pPr>
        <w:spacing w:after="0" w:line="200" w:lineRule="exact"/>
        <w:rPr>
          <w:sz w:val="20"/>
          <w:szCs w:val="20"/>
          <w:color w:val="auto"/>
        </w:rPr>
      </w:pPr>
    </w:p>
    <w:p>
      <w:pPr>
        <w:spacing w:after="0" w:line="31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Transfer station revenues declined during the first quarter of 1995 by $4.6 million or 42%, to $6.3 million, from $10.9 million in the first quarter of 1994, due primarily to a rate reduction resulting from the sale but continued operation of the two Morris County, New Jersey, transfer stations on December 31, 1993.</w:t>
      </w:r>
    </w:p>
    <w:p>
      <w:pPr>
        <w:spacing w:after="0" w:line="200" w:lineRule="exact"/>
        <w:rPr>
          <w:sz w:val="20"/>
          <w:szCs w:val="20"/>
          <w:color w:val="auto"/>
        </w:rPr>
      </w:pPr>
    </w:p>
    <w:p>
      <w:pPr>
        <w:spacing w:after="0" w:line="32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Management of Chambers believes that progress has been made in replacing a portion of such revenues and waste streams, although at lower operating margins than the terminated contracts, and efforts will continue toward increasing Chambers' customer base and marketing its special waste programs.</w:t>
      </w:r>
    </w:p>
    <w:p>
      <w:pPr>
        <w:spacing w:after="0" w:line="200" w:lineRule="exact"/>
        <w:rPr>
          <w:sz w:val="20"/>
          <w:szCs w:val="20"/>
          <w:color w:val="auto"/>
        </w:rPr>
      </w:pPr>
    </w:p>
    <w:p>
      <w:pPr>
        <w:spacing w:after="0" w:line="32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Operating Costs and Expenses. Operating costs and expenses, which decreased by $3.4 million to $38.4 million from $41.8 million, remained constant as a percentage of revenues to 70% in the first quarter of 1995 as compared with the same period of 1994.</w:t>
      </w:r>
    </w:p>
    <w:p>
      <w:pPr>
        <w:spacing w:after="0" w:line="200" w:lineRule="exact"/>
        <w:rPr>
          <w:sz w:val="20"/>
          <w:szCs w:val="20"/>
          <w:color w:val="auto"/>
        </w:rPr>
      </w:pPr>
    </w:p>
    <w:p>
      <w:pPr>
        <w:spacing w:after="0" w:line="32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1994, Chambers sold one recycling operation, with a resulting decrease in operating costs and expenses attributable to that operation of $0.6 million in the first quarter of 1995. In addition, costs for disposal of waste at third-party landfills and transportation expenses were reduced as a result of continued emphasis on the utilization of internal disposal capacity and the decrease in waste volume received by Chambers from the Essex County, New Jersey, incinerator, as previously discussed. Further reductions in operating expenses resulted from lower landfill closure and post-closure rates resulting from increases in projected airspace for future expansions of existing landfill sites, partially offset by volume increases at Chambers' landfills.</w:t>
      </w:r>
    </w:p>
    <w:p>
      <w:pPr>
        <w:spacing w:after="0" w:line="200" w:lineRule="exact"/>
        <w:rPr>
          <w:sz w:val="20"/>
          <w:szCs w:val="20"/>
          <w:color w:val="auto"/>
        </w:rPr>
      </w:pPr>
    </w:p>
    <w:p>
      <w:pPr>
        <w:spacing w:after="0" w:line="32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as a percentage of revenues to 11% in the first quarter of 1995 as compared with 9% during the comparable period of 1994, while increasing by $0.5 million. The percentage increase, which included the effect of severance benefits of $0.7 million during the first quarter of 1995, is due primarily to a decline in revenues, as previously discussed, and Merger-related expenses of $0.3 million partially offset by the cumulative benefit of Chambers' reorganization efforts in 1992, 1993 and late 1994. The first quarter 1995 reorganization efforts are expected to reduce general and administrative expenses in future periods.</w:t>
      </w:r>
    </w:p>
    <w:p>
      <w:pPr>
        <w:spacing w:after="0" w:line="200" w:lineRule="exact"/>
        <w:rPr>
          <w:sz w:val="20"/>
          <w:szCs w:val="20"/>
          <w:color w:val="auto"/>
        </w:rPr>
      </w:pPr>
    </w:p>
    <w:p>
      <w:pPr>
        <w:spacing w:after="0" w:line="32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Depreciation and Amortization. Depreciation and amortization decreased as a percentage of revenues to 14% in the first quarter of 1995 from 15% for the same period of 1994, while decreasing by $1.6 million. The dollar decrease reflects primarily the effect of increases to projected airspace resulting from future expansions of existing landfill sites, partially offset by higher landfill construction cost amortization associated with volume increases at Chambers' landfills.</w:t>
      </w:r>
    </w:p>
    <w:p>
      <w:pPr>
        <w:spacing w:after="0" w:line="200" w:lineRule="exact"/>
        <w:rPr>
          <w:sz w:val="20"/>
          <w:szCs w:val="20"/>
          <w:color w:val="auto"/>
        </w:rPr>
      </w:pPr>
    </w:p>
    <w:p>
      <w:pPr>
        <w:spacing w:after="0" w:line="325" w:lineRule="exact"/>
        <w:rPr>
          <w:sz w:val="20"/>
          <w:szCs w:val="20"/>
          <w:color w:val="auto"/>
        </w:rPr>
      </w:pPr>
    </w:p>
    <w:p>
      <w:pPr>
        <w:ind w:right="3379" w:firstLine="451"/>
        <w:spacing w:after="0" w:line="278" w:lineRule="auto"/>
        <w:rPr>
          <w:sz w:val="20"/>
          <w:szCs w:val="20"/>
          <w:color w:val="auto"/>
        </w:rPr>
      </w:pPr>
      <w:r>
        <w:rPr>
          <w:rFonts w:ascii="Courier New" w:cs="Courier New" w:eastAsia="Courier New" w:hAnsi="Courier New"/>
          <w:sz w:val="14"/>
          <w:szCs w:val="14"/>
          <w:color w:val="auto"/>
        </w:rPr>
        <w:t>Other Income, Primarily Interest. Other income, primarily interest, remained constant at $0.6 million during the first quarter of 1994 and 1995.</w:t>
      </w:r>
    </w:p>
    <w:p>
      <w:pPr>
        <w:sectPr>
          <w:pgSz w:w="11900" w:h="16838" w:orient="portrait"/>
          <w:cols w:equalWidth="0" w:num="1">
            <w:col w:w="10219"/>
          </w:cols>
          <w:pgMar w:left="240" w:top="291" w:right="1440" w:bottom="0" w:gutter="0" w:footer="0" w:header="0"/>
        </w:sect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Interest expense increased $2.9 million to $8.6 million</w:t>
      </w:r>
    </w:p>
    <w:p>
      <w:pPr>
        <w:sectPr>
          <w:pgSz w:w="11900" w:h="16838" w:orient="portrait"/>
          <w:cols w:equalWidth="0" w:num="1">
            <w:col w:w="10219"/>
          </w:cols>
          <w:pgMar w:left="240" w:top="291" w:right="1440" w:bottom="0" w:gutter="0" w:footer="0" w:header="0"/>
          <w:type w:val="continuous"/>
        </w:sectPr>
      </w:pPr>
    </w:p>
    <w:bookmarkStart w:id="141" w:name="page142"/>
    <w:bookmarkEnd w:id="141"/>
    <w:p>
      <w:pPr>
        <w:ind w:right="3099"/>
        <w:spacing w:after="0" w:line="244" w:lineRule="auto"/>
        <w:rPr>
          <w:sz w:val="20"/>
          <w:szCs w:val="20"/>
          <w:color w:val="auto"/>
        </w:rPr>
      </w:pPr>
      <w:r>
        <w:rPr>
          <w:rFonts w:ascii="Courier New" w:cs="Courier New" w:eastAsia="Courier New" w:hAnsi="Courier New"/>
          <w:sz w:val="15"/>
          <w:szCs w:val="15"/>
          <w:color w:val="auto"/>
        </w:rPr>
        <w:t>for the first quarter of 1995 as compared with $5.7 million for the first quarter of 1994. Interest expense in each period was less than total interest charges as a result of interest capitalization related to Chambers' development of landfills. Capitalized interest totaled $0.6 million and $0.9 million during the first quarter of 1994 and 1995, respectively. Interest</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141"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139</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costs, before capitalized interest, increased to $9.5 million for the first quarter of 1995 as compared with $6.3 million for the same period of 1994. The increase in interest costs is attributable primarily to an early redemption premium and escalating extension fees resulting from amendments to Chambers' credit facility and senior note agreements in November 1994.</w:t>
      </w:r>
    </w:p>
    <w:p>
      <w:pPr>
        <w:spacing w:after="0" w:line="200" w:lineRule="exact"/>
        <w:rPr>
          <w:sz w:val="20"/>
          <w:szCs w:val="20"/>
          <w:color w:val="auto"/>
        </w:rPr>
      </w:pPr>
    </w:p>
    <w:p>
      <w:pPr>
        <w:spacing w:after="0" w:line="32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Income Taxes. The provision for income taxes for the first quarter of 1994 and 1995 represents provisions for state and local income taxes. There was no provision for federal income taxes as a result of Chambers' operating loss carryforwards.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Net Loss. Chambers'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loss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was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$5.3</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million</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first</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quarter of</w:t>
            </w:r>
          </w:p>
        </w:tc>
      </w:tr>
      <w:tr>
        <w:trPr>
          <w:trHeight w:val="173"/>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1995, as compared with a</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loss</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$2.0</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million for</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the first quarter of 1994.</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This increase 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194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loss resulted from a</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decrease in</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revenues and an increase</w:t>
            </w:r>
          </w:p>
        </w:tc>
      </w:tr>
      <w:tr>
        <w:trPr>
          <w:trHeight w:val="173"/>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in interest expense,</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partially</w:t>
            </w:r>
          </w:p>
        </w:tc>
        <w:tc>
          <w:tcPr>
            <w:tcW w:w="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offset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by a</w:t>
            </w: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decrease in operating</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costs and</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15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discussed above.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YEARS ENDED DECEMBER 31, 1994</w:t>
      </w:r>
    </w:p>
    <w:p>
      <w:pPr>
        <w:spacing w:after="0" w:line="351"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On December 11, 1992, Chambers completed the sale of its security services business. The following discussion excludes the operational activity and results of the security services business, which has been included in the accompanying consolidated financial statements of Chambers as discontinued operations.</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items in Chambers' consolidated statements of operations related to continuing operations as a percentage of revenues, and the percentage changes in dollar amounts of the items compared to previous years.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PERCENTAGE INCREASE</w:t>
            </w: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(DECREASE)</w:t>
            </w: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12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YEAR ENDED DECEMBER</w:t>
            </w:r>
          </w:p>
        </w:tc>
        <w:tc>
          <w:tcPr>
            <w:tcW w:w="2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31,</w:t>
            </w:r>
          </w:p>
        </w:tc>
        <w:tc>
          <w:tcPr>
            <w:tcW w:w="760" w:type="dxa"/>
            <w:vAlign w:val="bottom"/>
          </w:tcPr>
          <w:p>
            <w:pPr>
              <w:spacing w:after="0"/>
              <w:rPr>
                <w:sz w:val="15"/>
                <w:szCs w:val="15"/>
                <w:color w:val="auto"/>
              </w:rPr>
            </w:pP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1993</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2"/>
              </w:rPr>
              <w:t>-------------------</w:t>
            </w:r>
          </w:p>
        </w:tc>
        <w:tc>
          <w:tcPr>
            <w:tcW w:w="76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COMPARED</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COMPARED</w:t>
            </w: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1993</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1994</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TO 1992</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TO 1993</w:t>
            </w: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100%</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Costs and expenses:</w:t>
            </w:r>
          </w:p>
        </w:tc>
        <w:tc>
          <w:tcPr>
            <w:tcW w:w="2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Operating........................................</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Unusual items -- operations......................</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(loss) from operations......................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Unusual items --</w:t>
            </w:r>
          </w:p>
        </w:tc>
        <w:tc>
          <w:tcPr>
            <w:tcW w:w="2980" w:type="dxa"/>
            <w:vAlign w:val="bottom"/>
          </w:tcPr>
          <w:p>
            <w:pPr>
              <w:jc w:val="right"/>
              <w:ind w:right="925"/>
              <w:spacing w:after="0"/>
              <w:rPr>
                <w:sz w:val="20"/>
                <w:szCs w:val="20"/>
                <w:color w:val="auto"/>
              </w:rPr>
            </w:pPr>
            <w:r>
              <w:rPr>
                <w:rFonts w:ascii="Courier New" w:cs="Courier New" w:eastAsia="Courier New" w:hAnsi="Courier New"/>
                <w:sz w:val="15"/>
                <w:szCs w:val="15"/>
                <w:color w:val="auto"/>
                <w:w w:val="98"/>
              </w:rPr>
              <w:t>shareholder litigation</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settlement and other litigation related</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costs.........................................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1,344</w:t>
            </w: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Other income, primarily interest.................</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(10)</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tax provision (benefit).....................</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21</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351"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Revenues. The following table sets forth the components of revenue change for Chambers during the years indicated.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1992</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1993</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6220" w:type="dxa"/>
            <w:vAlign w:val="bottom"/>
          </w:tcPr>
          <w:p>
            <w:pPr>
              <w:spacing w:after="0"/>
              <w:rPr>
                <w:sz w:val="15"/>
                <w:szCs w:val="15"/>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22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Volume..............................................................</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w:t>
            </w: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Divestitures........................................................</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r>
      <w:tr>
        <w:trPr>
          <w:trHeight w:val="173"/>
        </w:trPr>
        <w:tc>
          <w:tcPr>
            <w:tcW w:w="6220" w:type="dxa"/>
            <w:vAlign w:val="bottom"/>
          </w:tcPr>
          <w:p>
            <w:pPr>
              <w:spacing w:after="0"/>
              <w:rPr>
                <w:sz w:val="15"/>
                <w:szCs w:val="15"/>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3"/>
        </w:trPr>
        <w:tc>
          <w:tcPr>
            <w:tcW w:w="6220" w:type="dxa"/>
            <w:vAlign w:val="bottom"/>
          </w:tcPr>
          <w:p>
            <w:pPr>
              <w:spacing w:after="0"/>
              <w:rPr>
                <w:sz w:val="15"/>
                <w:szCs w:val="15"/>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1" w:right="1440" w:bottom="382" w:gutter="0" w:footer="0" w:header="0"/>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291" w:right="1440" w:bottom="382" w:gutter="0" w:footer="0" w:header="0"/>
          <w:type w:val="continuous"/>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140</w:t>
      </w:r>
    </w:p>
    <w:p>
      <w:pPr>
        <w:spacing w:after="0" w:line="178" w:lineRule="exact"/>
        <w:rPr>
          <w:sz w:val="20"/>
          <w:szCs w:val="20"/>
          <w:color w:val="auto"/>
        </w:rPr>
      </w:pPr>
    </w:p>
    <w:p>
      <w:pPr>
        <w:ind w:right="3019" w:firstLine="451"/>
        <w:spacing w:after="0" w:line="270" w:lineRule="auto"/>
        <w:rPr>
          <w:sz w:val="20"/>
          <w:szCs w:val="20"/>
          <w:color w:val="auto"/>
        </w:rPr>
      </w:pPr>
      <w:r>
        <w:rPr>
          <w:rFonts w:ascii="Courier New" w:cs="Courier New" w:eastAsia="Courier New" w:hAnsi="Courier New"/>
          <w:sz w:val="14"/>
          <w:szCs w:val="14"/>
          <w:color w:val="auto"/>
        </w:rPr>
        <w:t>The following table sets forth revenues of Chambers by each of the principal lines of ongoing business and for divested businesses for each of the three years in the period ended December 31, 1994 (dollar amounts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PERCENTAGE</w:t>
            </w:r>
          </w:p>
        </w:tc>
      </w:tr>
      <w:tr>
        <w:trPr>
          <w:trHeight w:val="173"/>
        </w:trPr>
        <w:tc>
          <w:tcPr>
            <w:tcW w:w="3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INCREASE (DECREASE)</w:t>
            </w:r>
          </w:p>
        </w:tc>
      </w:tr>
      <w:tr>
        <w:trPr>
          <w:trHeight w:val="173"/>
        </w:trPr>
        <w:tc>
          <w:tcPr>
            <w:tcW w:w="3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780" w:type="dxa"/>
            <w:vAlign w:val="bottom"/>
          </w:tcPr>
          <w:p>
            <w:pPr>
              <w:spacing w:after="0"/>
              <w:rPr>
                <w:sz w:val="15"/>
                <w:szCs w:val="15"/>
                <w:color w:val="auto"/>
              </w:rPr>
            </w:pPr>
          </w:p>
        </w:tc>
        <w:tc>
          <w:tcPr>
            <w:tcW w:w="316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YEAR ENDED DECEMBER 31,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378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1080" w:type="dxa"/>
            <w:vAlign w:val="bottom"/>
          </w:tcPr>
          <w:p>
            <w:pPr>
              <w:spacing w:after="0"/>
              <w:rPr>
                <w:sz w:val="15"/>
                <w:szCs w:val="15"/>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COMPARED</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COMPARED</w:t>
            </w:r>
          </w:p>
        </w:tc>
      </w:tr>
      <w:tr>
        <w:trPr>
          <w:trHeight w:val="173"/>
        </w:trPr>
        <w:tc>
          <w:tcPr>
            <w:tcW w:w="378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1992</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TO 1992</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TO 1993</w:t>
            </w:r>
          </w:p>
        </w:tc>
      </w:tr>
      <w:tr>
        <w:trPr>
          <w:trHeight w:val="173"/>
        </w:trPr>
        <w:tc>
          <w:tcPr>
            <w:tcW w:w="378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Collection services......................</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$126,726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$122,444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$106,206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Disposal services (landfills)............</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66,705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78,992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83,526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Transfer stations........................</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56,404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55,316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50,882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Incinerator..............................</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6,391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9,691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9,589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Recycling services.......................</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6,214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6,117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6,463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Divested businesses......................</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31,870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15,921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w:t>
            </w:r>
          </w:p>
        </w:tc>
      </w:tr>
      <w:tr>
        <w:trPr>
          <w:trHeight w:val="173"/>
        </w:trPr>
        <w:tc>
          <w:tcPr>
            <w:tcW w:w="378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$294,310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$288,481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$257,989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3"/>
        </w:trPr>
        <w:tc>
          <w:tcPr>
            <w:tcW w:w="378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1994. Revenues for 1994 decreased by $30.5 million to $258.0 million from $288.5 million during 1993, due in part to the sale of businesses as part of Chambers' divestiture program. During 1993 and 1994, Chambers sold six collection and hauling operations, one transfer station, one recycling operation and one landfill, with a resulting decrease in revenues attributable to those operations of $14.6 million in 1994 from 1993.</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both collection and disposal revenues for 1994 were reduced as a result of contract renegotiations and terminations. Chambers' previous contract with Bergen County, New Jersey, to dispose of that county's solid waste either to a Chambers landfill or to the Essex County, New Jersey, incinerator also included the transportation and disposal of ash generated by the Essex County incinerator. In December 1993, Chambers was awarded a new three-year agreement at a reduced rate from the prior contract for the disposal of the municipal solid waste from Bergen County, New Jersey, commencing on March 1, 1994. The contract for the transportation and disposal of ash generated by the Essex County incinerator was awarded to a competitor effective March 16, 1994. Chambers also had provided disposal and transportation of solid waste from Union County, New Jersey, under contracts which expired in December 1993. In addition, in October 1993, the New Jersey Department of Environmental Protection and Energy approved the Passaic County Utilities Authority's contract redirecting the county's solid waste to a competitor's landfill for a two-year period commencing on December 1, 1993. As a result, Chambers no longer receives waste under its contract with the Passaic County Utilities Authority. As a result of these contract renegotiations and terminations, Chambers' 1994 revenues related to the New Jersey activities decreased to $16.6 million from $50.3 million for 1993, and the loss from operations related to these activities totaled $1.6 million in 1994 as compared to income from operations of $12.4 million for 1993. Chambers' management believes that progress has been made in replacing a portion of such waste streams, although at lower operating margins than the terminated contracts, and efforts will continue toward increasing Chambers' customer base and marketing of its special waste programs.</w:t>
      </w:r>
    </w:p>
    <w:p>
      <w:pPr>
        <w:spacing w:after="0" w:line="18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Landfill revenues for 1994 increased by $4.5 million, or 6%, which was primarily attributable to increased volume at Chambers' landfill in Okeechobee County, Florida, as a result of a transportation and disposal agreement with Reuter Recycling of Florida, Inc. and new waste volume at Chambers' landfill in Amelia County, Virginia, which opened in May 1993. Landfill revenues were enhanced by additional special waste volume, which consists of nonhazardous waste materials such as sewage sludges, contaminated soils, incinerator ash and certain industrial residues. Due to intense competitive pressures within the industry, landfill volume growth was partially offset by reducing pricing at certain of Chambers' landfills.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Transfer station revenues decreased $4.4 million during 1994 to $50.9 million compared to $55.3 million during 1993, due primarily to rate reduction resulting from the sale but continued operation of the two Morris County, New Jersey, transfer stations on December 31, 1993, and partially offset by increased revenues at the Columbia, South Carolina, and Hunterdon County, New Jersey, transfer stations. The Morris County transfer station operations generated revenues of $35.6 million, including $4.0 million in revenues deferred from 1993,</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19"/>
          </w:cols>
          <w:pgMar w:left="240" w:top="291" w:right="1440" w:bottom="1440" w:gutter="0" w:footer="0" w:header="0"/>
          <w:type w:val="continuous"/>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141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income from operations of $12.2 million in 1994; however, it is expected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generate annual revenues of approximately $11 million in each of 1995 and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the County's long-term solid waste system is not yet in operation.</w:t>
      </w:r>
    </w:p>
    <w:p>
      <w:pPr>
        <w:spacing w:after="0" w:line="18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1993. Revenues for 1993 decreased by $5.8 million to $288.5 million from $294.3 million for 1992, principally as a result of the sale of certain businesses as part of Chambers' divestiture program. As discussed below, Chambers sold its two transfer stations in Morris County, New Jersey, on December 31, 1993. In addition, during 1993 Chambers sold six collection and hauling operations, one transfer station and one landfill, with a resulting decrease in revenues attributable to those operations of $15.4 million in 1993 from 1992.</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Landfill revenues for 1993 increased by $12.3 million, or 18%, which was primarily attributable to the full period operations and increased waste streams at the newly constructed landfills in Amelia County, Virginia, which opened in May 1993, in Allegany County, Maryland, which opened in February 1992, and in Atlanta, Georgia, which opened in May 1992, and the acquisition of a landfill in Okeechobee County, Florida, in January 1992. Landfill revenues were also enhanced by additional special waste volumes resulting from Chambers' increasing emphasis on the disposal of special wastes.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Revenues for 1993 also reflect a $3.3 million, or 52%, increase in medical and special waste revenues from the operation of the Hampton County, South Carolina, incinerator, which also benefited from Chambers' increased emphasis on the special waste market. See "Results of Operations for the Three Years Ended December 31, 1994 -- Unusual Items -- Operations."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Revenues for 1993 were reduced by a decrease in waste volume from Chambers' New York City sludge contract and a decrease in waste volume from Chambers' New Jersey municipal customers, which redirected portions of their solid waste to the Essex County, New Jersey, waste-to-energy incinerator and reduced their solid waste volume as a result of the state's recycling program.</w:t>
      </w:r>
    </w:p>
    <w:p>
      <w:pPr>
        <w:spacing w:after="0" w:line="177"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On December 31, 1993, Chambers sold its two transfer stations in Morris County, New Jersey, to the Morris County Municipal Utilities Authority. As part of the agreement of sale, Chambers will continue to operate the transfer stations and provide transportation services until the county's long-term solid waste system is in operation or December 31, 1996, if later. The county has an option to extend the operation and transportation agreement for two six-month periods beyond 1996, if its long-term solid waste system is not yet operational.</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Operating Costs and Expenses. Operating costs and expenses, which decreased by $14.8 million to $179.5 million in 1994 from $194.3 million in 1993, increased as a percentage of revenues in 1994 to 70% as compared with 67% in 1993.</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1993 and 1994, Chambers sold certain operations with a resulting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in operating costs and expenses attributable to those operations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$12.6 million in 1994. In addition, costs for disposal of waste at third-party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landfills and transportation expenses were reduced as a result of continued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emphasis on the utilization of internal disposal capacity and the decrease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volume received by Chambers from the Essex County, New Jersey,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incinerator, as previously discussed, and Chambers' New York City sludge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Further reductions in operating expenses resulted from lower landfill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closure and post-closure rates resulting from increases to projected airspace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future expansions of existing landfill sites, partially offset by volume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increases at Chambers' landfills.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1993, Chambers experienced a reduction in costs for disposal of waste at third-party landfills as compared with 1992. The reduction in these costs, which reflects the increased emphasis on the utilization of internal disposal capacity, was, however, partially offset by an increase in community host fees resulting from the redirection of waste to landfills owned by Chambers. In addition, operating costs and expenses for 1993 reflect an increase in subcontract hauling expense resulting from increased special waste volume at the Hampton County, South Carolina, incinerator.</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as a percentage of revenues to 10% for 1994 as compared to 8% during 1993, while increasing in dollar amount by $1.6 million.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19"/>
          </w:cols>
          <w:pgMar w:left="240" w:top="291"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142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dollar increase in 1994 principally reflects a $2.3 million charge for charitable contributions, offset partially by the continued benefit of Chambers' reorganization efforts in 1992, 1993 and late 1994. Further reorganization efforts during 1995 are expected to reduce general and administrative expenses in future periods. In the fourth quarter of 1994, Chambers elected early adoption of Statement of Financial Accounting Standards No. 116, "Accounting for Contributions Received and Contributions Made." The new standard requires, among other things, the recognition of the fair value of contributions made, including unconditional promises to give, in the period in which the contribution is made or unconditional promise is given. Prior to adoption, Chambers had recognized contributions made or unconditional promises to give in the period the contribution was paid. On December 29, 1994, Chambers made unconditional promises to contribute $3 million to certain charitable organizations, payable in annual installments of $0.5 million over the next six years; accordingly, Chambers recorded a charge to general and administrative expense of $2.3 million, representing the present value of these obligations.</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anticipated, general and administrative expenses declined in 1993 compared with 1992, due largely to the full year benefit of Chambers' reorganization efforts. During 1992, management implemented a reorganization of its corporate and regional staffing levels, having determined that the emphasis on internal growth through the utilization of disposal capacity for which permits have been issued would not require the same levels of administrative personnel that existed previously. These reduced expenses include compensation as well as travel and professional fees.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Depreciation and Amortization. Depreciation and amortization increased as a percentage of revenues to 15% in 1994 from 14% in 1993 and 13% in 1992, while decreasing by $4.2 million in 1994 from 1993 and increasing by $3.4 million in 1993 from 1992. The 1994 dollar decrease reflects the sale of certain of Chambers' operations and the effect of increases to projected airspace resulting from future expansions of existing landfill sites, partially offset by higher landfill construction cost amortization associated with volume increases at Chambers' landfills. The increase in 1992 reflects higher landfill construction cost amortization associated with volume increases at Chambers' landfills, partially offset by the effects of increases to projected airspace resulting from future expansions of existing landfill sites.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Unusual Items -- Operations. In 1992 and the first half of 1993, Chambers was not in compliance with certain covenants of its various long-term borrowing agreements and commenced the restructuring of its principal credit facilities and surety arrangements. In addition, Chambers undertook significant steps to reorganize its corporate and regional activities. Chambers also decided to divest certain businesses that did not meet strategic and performance objectives and not to pursue certain development activities.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1994, Chambers recorded charges of $3.4 million for losses on asset divestitures including $1.1 million to adjust a prior year estimate of the loss on divestiture of a hauling, recycling and transfer station operation, and $2.3 million related to the estimated future loss on a municipal contract. Effective March 1, 1994, Chambers was awarded a three-year contract for the transportation and disposal of municipal solid waste with, at the customer's option, two one-year extension periods beyond February 28, 1997. The costs of operating the contract have been greater than originally estimated and, since inception, the contract has been generating an operating loss. Operational changes and improvements implemented during 1994 did not sufficiently reduce operating costs. As a result, Chambers has estimated it will incur operating losses of approximately $2.3 million through the remaining two-year term of the contract, and the two one-year extension periods, in order to satisfy the service requirements of the contract and accordingly has accrued such amount. In 1994, Chambers also reversed prior year provisions for losses on divestitures and contractual commitments of $3.6 million, including $2.0 million previously recorded for expected losses to be incurred on a municipal contract with respect to which Chambers was able to negotiate an early termination and $1.0 million of excess reserve related to the sale in 1994 of a recycling operation and certain real estate.</w:t>
      </w:r>
    </w:p>
    <w:p>
      <w:pPr>
        <w:spacing w:after="0" w:line="186"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In addition, in 1994 Chambers recorded net charges of $8.2 million for asset impairments and abandoned projects. That amount included a fourth quarter charge of $7.0 million to reduce the carrying value, as of December 31, 1994, of Chambers' medical, special and municipal waste incinerator facility to its estimated net realizable value. The amount of the charge was measured as the difference between the carrying value of long-term assets, principally property, plant and equipment and intangible assets, and the estimated fair value</w:t>
      </w:r>
    </w:p>
    <w:p>
      <w:pPr>
        <w:sectPr>
          <w:pgSz w:w="11900" w:h="16838" w:orient="portrait"/>
          <w:cols w:equalWidth="0" w:num="1">
            <w:col w:w="10219"/>
          </w:cols>
          <w:pgMar w:left="240" w:top="291" w:right="1440" w:bottom="1440" w:gutter="0" w:footer="0" w:header="0"/>
        </w:sectPr>
      </w:pP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19"/>
          </w:cols>
          <w:pgMar w:left="240" w:top="291" w:right="1440" w:bottom="1440" w:gutter="0" w:footer="0" w:header="0"/>
          <w:type w:val="continuous"/>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143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of the assets based on the present value of future cash flows discounted at 12%. The adjustment was based on a review conducted in the fourth quarter which determined there had been a permanent decline in the value of the facility, based on the conclusion that Chambers could not recover its investment through future operations, given current and forecasted pricing, waste mix and capacity trends as well as recently proposed regulations with respect to medical waste incinerator facilities and general declines in the value of waste incinerator businesses. During 1994, Chambers also reached a favorable settlement of previously reported litigation related to certain contracts entered into with respect to the purchase by Chambers of a landfill and the prior purchase of a waste collection and hauling company. The settlement amount is included as a credit to unusual items and includes receipt by Chambers of $1.2 million in cash and the forgiveness of all remaining non-compete payments totalling $0.5 million that were to have been paid by Chambers to various individuals in 1994, 1995 and 1996. The remaining charge of $3.0 million represents changes in prior year estimates for certain asset impairments and abandoned projects. In addition, Chambers recorded a charge of $0.8 million primarily relating to severance benefits paid to employees terminated as part of Chambers' continued reorganization. With the exception of the $1.2 million litigation settlement received by Chambers and the $0.8 million payment of severance benefits, there was no cash flow effect to these unusual charges.</w:t>
      </w:r>
    </w:p>
    <w:p>
      <w:pPr>
        <w:spacing w:after="0" w:line="18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During 1993, Chambers sold certain businesses as part of its divestiture program, which resulted in a net gain of $20.7 million. Chambers also recorded charges of $8.7 million for losses on asset divestitures and contractual commitments including (i) $3.2 million related to the municipal contract discussed above, (ii) $3.2 million related to the recycling operation and real estate sold in 1994 and (iii) $2.1 million related to a hauling, recycling and transfer station held for sale. In addition, Chambers reversed prior year provisions of $6.6 million for losses on divestitures for businesses that were subsequently retained.</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1993, Chambers also recorded charges of $4.9 million, consisting of $2.0 million for impaired assets and $2.9 million for abandoned projects. Additionally, there were charges in 1993 of $1.6 million for special directors and officers insurance premiums and $0.3 million for severance benefits paid to employees terminated in connection with the corporate and regional restructuring.</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In 1992, Chambers recorded a charge of $10.5 million for anticipated losses on planned asset divestitures and contractual commitments and recorded a charge of $12.4 million for asset impairments and abandoned projects. There was no cash flow effect for these unusual charges.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Chambers recorded charges of $10.4 million in 1992 for financing and professional fees primarily related to the restructuring of its principal credit facilities and surety arrangements. Chambers also recorded a charge of $7.1 million for special directors and officers insurance premiums as a result of the shareholder litigation and charges of $3.8 million related to the reorganization of its corporate and regional operations. The latter charges were for employee severance, relocation and related transition costs, costs to close certain facilities and other related costs.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Unusual Items -- Shareholder Litigation Settlement and Other Litigation Related Costs. Other income (expense) includes charges of $79.4 million, $5.5 million and $10.9 million for the years ended December 31, 1994, 1993 and 1992, respectively. The charge in 1994 consists of $75.3 million for the shareholder litigation settlement and $4.1 million for legal and other related costs. The charges in 1993 and 1992 are for legal and other costs related to the shareholder litigation. See "Description of Chambers -- Legal Proceedings." While Chambers believes these charges are adequate to provide for the settlement, certain of these amounts are estimates, and actual amounts will depend on the outcome of future events. If such estimated amounts are not adequate, additional charges against income would be made when such determinations are made.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Other Income. Other income, primarily interest, decreased to $1.8 million in 1994 from $3.6 million in 1993 and $6.5 million in 1992, due primarily to the use of funds for debt reductions and capital expenditures, as well as the reduction in market interest rates during 1993.</w:t>
      </w:r>
    </w:p>
    <w:p>
      <w:pPr>
        <w:spacing w:after="0" w:line="176"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Interest Expense. Interest expense decreased to $23.8 million in 1994 from $29.2 million in 1993 and $31.6 million in 1992. Interest expense in each period was less than total interest charges as a result of interest capitalization related to Chambers' development of landfills. Capitalized interest totaled $3.0 million, $3.5 million and $6.7 million during 1994, 1993 and 1992, respectively. Interest costs, excluding the effect of capitalized interest, decreased to $26.8 million during 1994 as compared with $32.6 million in 1993 and</w:t>
      </w:r>
    </w:p>
    <w:p>
      <w:pPr>
        <w:sectPr>
          <w:pgSz w:w="11900" w:h="16838" w:orient="portrait"/>
          <w:cols w:equalWidth="0" w:num="1">
            <w:col w:w="10219"/>
          </w:cols>
          <w:pgMar w:left="240" w:top="291" w:right="1440" w:bottom="1440" w:gutter="0" w:footer="0" w:header="0"/>
        </w:sectPr>
      </w:pP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19"/>
          </w:cols>
          <w:pgMar w:left="240" w:top="291" w:right="1440" w:bottom="1440" w:gutter="0" w:footer="0" w:header="0"/>
          <w:type w:val="continuous"/>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144</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$38.3 million in 1992. The decrease in interest costs is attributable primarily to the reduced level of debt outstanding.</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Income Taxes. The income tax benefit for 1994 reflects the effect of a tentative agreement with the Internal Revenue Service regarding the tax treatment of certain costs and expenses deducted for financial statement purposes in open tax years and results from an adjustment to the estimated tax effect of Chambers' financial statement restatement in 1991. The provision for income taxes for 1993 reflects the benefit of estimated temporary differences and includes $0.5 million of additional state income tax related to the gain on sale of the Company's collection, hauling and landfill operations in Indiana. The provision for income taxes for 1992 results primarily from limitations imposed on the net operating loss carrybacks for federal and state income tax purposes. Chambers estimates its tax net operating loss carryforwards at December 31, 1994 to be approximately $232 million, the majority of which expire in 2007. The potential benefits of unused tax net operating loss carryforwards have not been recognized in the accompanying financial statements because management has not concluded that realization of such benefits is more likely than not.</w:t>
      </w:r>
    </w:p>
    <w:p>
      <w:pPr>
        <w:spacing w:after="0" w:line="183"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Effective January 1, 1993, Chambers adopted Statement of Financial Accounting Standards ("SFAS") No. 109, "Accounting for Income Taxes," using an asset and liability approach. That statement supersedes SFAS No. 96 which was adopted by Chambers in 1988. There was no effect on Chambers' financial statements upon adoption of the new standard using the cumulative effect method.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Cash Flows. Cash and cash equivalents decreased by $7.1 million during the first quarter of 1995, from $23.5 million at December 31, 1994 to $16.4 million at March 31, 1995. Working capital, although a deficit, improved by $3.2 million, to $9.0 million at March 31, 1995. Cash flow activity included $18.2 million provided by operating activities during the first quarter of 1995, of which $10.0 million was received from Chambers' directors and officers liability insurance carrier, more than offset by $15.3 million used by investing activities and $10.0 million utilized in financing activities. Cash and cash equivalents decreased to $23.5 million at December 31, 1994, as compared to $44.6 million and $45.9 million at December 31, 1993 and 1992, respectively. Chambers' working capital decreased to a deficit of $12.2 million at the end of 1994 from a positive $30.1 million and $52.6 million at the end of 1993 and 1992, respectively. The decrease in working capital reflects, in part, significant reductions made to Chambers' long-term obligations and increases in current maturities of long-term obligations. Cash provided by operating activities was $32.1 million in 1994 and $35.9 million in 1993, representing a significant improvement from the $12.1 million provided in 1992. Included in operating activities were $5.0 million, $17.3 million and $26.2 million of tax refunds for 1994, 1993 and 1992, respectively.</w:t>
      </w:r>
    </w:p>
    <w:p>
      <w:pPr>
        <w:spacing w:after="0" w:line="200" w:lineRule="exact"/>
        <w:rPr>
          <w:sz w:val="20"/>
          <w:szCs w:val="20"/>
          <w:color w:val="auto"/>
        </w:rPr>
      </w:pPr>
    </w:p>
    <w:p>
      <w:pPr>
        <w:spacing w:after="0" w:line="33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Investing activities included escrow activity of $9.5 million in the first quarter of 1995, primarily resulting from $10.0 million in proceeds from Chambers' directors and officers liability insurance carrier placed in escrow to fund the Settlement Agreements, net of $0.5 million in other escrow activity. Investing activities also included $8.1 million utilized for capital expenditures. Investing activities include cash proceeds of $3.2 million in 1994, $53.1 million in 1993 and $35.5 million in 1992 realized from the disposition of assets. In 1993 and 1994, Chambers completed a series of asset sales to various parties in conjunction with its divestiture program and in 1992 sold its security services business. (See Note E to Chambers' consolidated financial statements). Investing activities in 1994 also reflect $17.9 million in net escrow activity, primarily related to the receipt of $11.3 million in cash from divestiture proceeds that were held in escrow at the end of 1993.</w:t>
      </w:r>
    </w:p>
    <w:p>
      <w:pPr>
        <w:spacing w:after="0" w:line="35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1994 and 1993, capital expenditures totaled $39.8 million and $38.1 million, respectively, a substantial reduction from the $132.8 million used for capital and acquisition expenditures in 1992. Included in 1992 was $20.9 million for the acquisition of eight hauling companies and property and permit rights related to two landfills. In addition, 1992 included a higher level of landfill construction activity as compared with 1993 and 1994, as a number of landfill sites previously under development were constructed.</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Cash used in financing activities during the first quarter of 1995 consisted of $10.0 million of principal payments on long-term obligations. Cash used in financing activities included $35.3 million, $60.7 million and $55.4 million of principal payments on long-term obligations in 1994, 1993 and 1992, respectively. In addition,</w:t>
      </w:r>
    </w:p>
    <w:p>
      <w:pPr>
        <w:sectPr>
          <w:pgSz w:w="11900" w:h="16838" w:orient="portrait"/>
          <w:cols w:equalWidth="0" w:num="1">
            <w:col w:w="10219"/>
          </w:cols>
          <w:pgMar w:left="240" w:top="291" w:right="1440" w:bottom="1440" w:gutter="0" w:footer="0" w:header="0"/>
        </w:sectPr>
      </w:pP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19"/>
          </w:cols>
          <w:pgMar w:left="240" w:top="291" w:right="1440" w:bottom="1440" w:gutter="0" w:footer="0" w:header="0"/>
          <w:type w:val="continuous"/>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145</w:t>
      </w:r>
    </w:p>
    <w:p>
      <w:pPr>
        <w:spacing w:after="0" w:line="178" w:lineRule="exact"/>
        <w:rPr>
          <w:sz w:val="20"/>
          <w:szCs w:val="20"/>
          <w:color w:val="auto"/>
        </w:rPr>
      </w:pPr>
    </w:p>
    <w:p>
      <w:pPr>
        <w:jc w:val="both"/>
        <w:ind w:right="3559"/>
        <w:spacing w:after="0" w:line="244" w:lineRule="auto"/>
        <w:rPr>
          <w:sz w:val="20"/>
          <w:szCs w:val="20"/>
          <w:color w:val="auto"/>
        </w:rPr>
      </w:pPr>
      <w:r>
        <w:rPr>
          <w:rFonts w:ascii="Courier New" w:cs="Courier New" w:eastAsia="Courier New" w:hAnsi="Courier New"/>
          <w:sz w:val="15"/>
          <w:szCs w:val="15"/>
          <w:color w:val="auto"/>
        </w:rPr>
        <w:t>1993 included the receipt of $10.2 million previously used in 1992 as cash collateral to support certain of Chambers' business activities, which were collateralized in 1993 by letters of credit.</w:t>
      </w:r>
    </w:p>
    <w:p>
      <w:pPr>
        <w:spacing w:after="0" w:line="17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Credit Facilities and Refinancing. In July 1993, Chambers executed comprehensive amendments to its bank credit facility (the "Credit Facility") and its note purchase agreements under which Chambers issued senior notes (the "Senior Notes"). The amendments to the Credit Facility and Senior Note agreements (collectively, as amended, the "Amended Agreements") included revisions to the terms and conditions of the original agreements and provided for additional terms and conditions with respect to future periods. Chambers' lenders and bonding company were granted security interests in substantially all of the assets of Chambers, and an intercreditor agreement has been executed among the Credit Facility banks, the Senior Note holders and the bonding company with respect to priority of interests in collateral and access to assets.</w:t>
      </w:r>
    </w:p>
    <w:p>
      <w:pPr>
        <w:spacing w:after="0" w:line="16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November 1994, Chambers executed additional amendments (the "Amendments") to the Amended Agreements which included waivers (with respect to noncompliance of consolidated working capital and consolidated tangible net worth covenants attributable to the proposed settlement of the shareholder litigation and financial statement delivery covenants) and revisions to the terms and conditions of the Amended Agreements, principally with respect to payment terms and compliance covenants.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Amendments provide that 90% of the $74.4 million scheduled payments previously due on July 1, 1995 may be deferred until July 1, 1996, with further deferral to December 31, 1996, at Chambers' option, of up to 75% of the $95.5 million scheduled payments previously due on October 31, 1995 and December 30, 1995 and all of the $95.5 million scheduled payments due on October 31, 1996 and December 30, 1996. Certain of such scheduled payments due in 1995 and 1996 will be reduced by pro rata payments made prior to the scheduled payment dates. The non-deferred portion of these scheduled payments will be applied to reduce Senior Note obligations, industrial revenue bond obligations and letters of credit issued under the Credit Facility. The Amendments also provide that the remaining originally scheduled principal payments on the Senior Notes due after 1996 become due on December 31, 1996.</w:t>
      </w:r>
    </w:p>
    <w:p>
      <w:pPr>
        <w:spacing w:after="0" w:line="181"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Amendments require, however, that Chambers reduce Senior Note and Credit Facility obligations by a total of $60 million, primarily through the payment of the non-deferred portions of the scheduled payments discussed above and other scheduled payments, between August 31, 1994 and December 31, 1995, of which $20 million must occur by January 31, 1995. Of the $60 million, $23.7 million has been paid to date, with the January 1995 payment requirement having been satisfied. Portions of the remaining required payments are expected to be satisfied by currently available funds and operating cash flow; however, in the absence of the Merger and related refinancing of the Senior Note and Credit Facility obligations during 1995, Chambers will need to refinance the Senior Note and Credit Facility obligations on a stand-alone basis or complete significant divestitures to satisfy any remaining payments. Under the Amendments, Chambers is also required to pay to the holders of the Senior Notes and the Credit Facility banks the amount by which its daily average unrestricted cash balance exceeds $40 million for any calendar month, and a minimum of 50% of the net proceeds from specified divestitures as permitted by the Amendments, which proceeds will be applied to the $60 million discussed above.</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Amendments also provide for the issuance to the Senior Note holders and Credit Facility banks, at nominal consideration, of shares of Chambers Class A Common Stock in the event Chambers has not refinanced the Senior Note and Credit Facility obligations prior to October 1, 1995. On that date, additional shares equal to 4% of Chambers Class A Common Stock then issued and outstanding would become issuable. Additional shares equal to 4% of Chambers Class A Common Stock then issued and outstanding issuable if Chambers has not refinanced prior to April 1, 1996.</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Amendments contain financial covenants which require Chambers to maintain minimum levels of tangible net worth, working capital and quarterly cash flows from operations. The Amendments also prohibit the incurrence of additional indebtedness and the payment of cash dividends and limit annual cash capital expenditures.</w:t>
      </w:r>
    </w:p>
    <w:p>
      <w:pPr>
        <w:spacing w:after="0" w:line="177" w:lineRule="exact"/>
        <w:rPr>
          <w:sz w:val="20"/>
          <w:szCs w:val="20"/>
          <w:color w:val="auto"/>
        </w:rPr>
      </w:pPr>
    </w:p>
    <w:p>
      <w:pPr>
        <w:jc w:val="both"/>
        <w:ind w:right="3019" w:firstLine="451"/>
        <w:spacing w:after="0" w:line="262" w:lineRule="auto"/>
        <w:rPr>
          <w:sz w:val="20"/>
          <w:szCs w:val="20"/>
          <w:color w:val="auto"/>
        </w:rPr>
      </w:pPr>
      <w:r>
        <w:rPr>
          <w:rFonts w:ascii="Courier New" w:cs="Courier New" w:eastAsia="Courier New" w:hAnsi="Courier New"/>
          <w:sz w:val="14"/>
          <w:szCs w:val="14"/>
          <w:color w:val="auto"/>
        </w:rPr>
        <w:t>Chambers anticipates that the combined company will refinance substantially all of the indebtedness of Chambers and USA Waste, including the Senior Note and Credit Facility obligations of Chambers, before or at the time of the Merger.</w:t>
      </w:r>
    </w:p>
    <w:p>
      <w:pPr>
        <w:spacing w:after="0" w:line="1"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Upon any refinancing of the Senior Note and Credit Facility obligations, Chambers</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19"/>
          </w:cols>
          <w:pgMar w:left="240" w:top="291" w:right="1440" w:bottom="1440" w:gutter="0" w:footer="0" w:header="0"/>
          <w:type w:val="continuous"/>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146</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expects to pay an early redemption premium to the Senior Note holders (the "Premium") based on the difference between the interest rates on the Senior Notes and an adjusted rate for U.S. Treasury securities having a similar maturity. Based on interest rates on U.S. Treasury securities at December 31, 1994, if the refinancing were to occur on June 30, 1995, Chambers' management's estimate of the approximate date of the Merger, the Premium would be approximately $7.0 million.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Amendments also require payment of escalating extension fees by Chambers to the Senior Note holders and Credit Facility banks, based upon the principal amounts outstanding as of the beginning of each calendar quarter, until such time as the existing debt under these agreements has been retired. Such extension fees are expected to aggregate approximately $0.7 million through June 30, 1995.</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amount shown above for the Premium is an estimate, and the final amount will depend on the date of the refinancing, the interest rate on U.S. Treasury securities and the actual principal amounts outstanding under the Senior Notes at the date of the refinancing. The estimated extension fees and the Premium are being charged to interest expense through the period ending June 30, 1995. At December 31, 1994, Chambers had accrued a total of $1.2 million related to the Premium. In addition, a fee of approximately $0.7 million paid upon execution of the Amendments was charged to interest expense in 1994.</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event the Merger is not consummated, Chambers intends to seek refinancing for its Senior Note and Credit Facility obligations. It is anticipated that such refinancing could be completed by September 30, 1995; however, management of Chambers believes that such refinancing would not be available to Chambers on a stand-alone basis without significant dilution to the stockholders of Chambers. If a refinancing were to occur on September 30, 1995, the Premium amount would be approximately $5.5 million. In addition, $0.9 million of additional extension fees would be incurred.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event that the Merger is not consummated, Chambers would necessarily undertake a series of actions to provide for liquidity and funding of the Settlement Agreements. Chambers has the ability to abandon the Settlement Agreements in the absence of funding sufficient to comply with the payment obligations. However, it is the intention of Chambers, should the Merger not be consummated, to seek a refinancing and to delay the funding of the Settlement Agreements rather than abandon such agreements.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believes that a refinancing cannot be obtained in the absence of a settlement of the shareholder litigation. While Chambers has, under certain circumstances, alternate available financing through a funding agreement with USA Waste as described in the following paragraph in an amount sufficient to satisfy Chambers' obligations under the Settlement Agreements, actual payments under such funding agreement remain subject to the consent of Chambers' current lending group. In the alternative, Chambers could delay the implementation of the shareholder litigation settlement until refinancing has been obtained.</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Pursuant to requirements negotiated in connection with the Merger Agreement, USA Waste and Chambers developed a plan for the financing of certain of Chambers' obligations, including a $6.8 million obligation that was due in January 1995 and $70 million of the $85.9 million in payments that may be required pursuant to the Settlement Agreements with respect to the shareholder litigation. The purpose of the financing plan, the requirements of which were imposed by Chambers as a condition to proceeding with the negotiation and execution of the Merger Agreement, was to provide Chambers with the ability to fund these payment obligations pending the Merger and in the event that the parties were subsequently unable or unwilling to proceed with the Merger. The financing plan was set forth in a letter agreement executed on December 19, 1994. To provide for the payment of the $6.8 million obligation, USA Waste agreed (i) to accelerate to January 30, 1995 the payment of $2.5 million on certain promissory notes owing by USA Waste to Chambers with respect to a previous transaction and (ii) to enter into a letter of intent pursuant to which USA Waste would agree to acquire certain assets from Chambers and make a deposit of $4.3 million to be applied against the purchase price for such assets. These payments were made and a letter of intent was executed providing for the purchase of certain assets, including a hauling company in Charlotte, North Carolina, and a landfill and a waste collection facility in Lake, Mississippi. The letter of intent will expire upon the Merger. In the event the Merger Agreement is terminated, the closing of the asset purchase will occur within 75 days after such termination. To provide for the funding of the initial $25 million settlement payment due upon final approval of the settlement of the shareholder litigation, USA Waste agreed to make an advance purchase of airspace</w:t>
      </w:r>
    </w:p>
    <w:p>
      <w:pPr>
        <w:sectPr>
          <w:pgSz w:w="11900" w:h="16838" w:orient="portrait"/>
          <w:cols w:equalWidth="0" w:num="1">
            <w:col w:w="10219"/>
          </w:cols>
          <w:pgMar w:left="240" w:top="291" w:right="1440" w:bottom="1440" w:gutter="0" w:footer="0" w:header="0"/>
        </w:sectPr>
      </w:pPr>
    </w:p>
    <w:p>
      <w:pPr>
        <w:spacing w:after="0" w:line="33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19"/>
          </w:cols>
          <w:pgMar w:left="240" w:top="291" w:right="1440" w:bottom="1440" w:gutter="0" w:footer="0" w:header="0"/>
          <w:type w:val="continuous"/>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147</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rights at certain of Chambers' landfills in the aggregate amount of $25 million. Such payment would be made within 30 days after final court approval of the Settlement Agreements and expiration of the applicable appeal period. To provide for the payment of the subsequent $45 million settlement payment on the shareholder litigation, USA Waste and Chambers have agreed to negotiate an agreement for the purchase by USA Waste from Chambers of an asset or group of assets or airspace rights mutually selected by USA Waste and Chambers and having a fair market value of not less than $45 million. Payment of such amount is required not later than one year from the date of final court approval of the Settlement Agreements and the expiration of the applicable appeal period. In the event Chambers completes a refinancing of its current indebtedness, including amounts due with respect to the shareholder litigation, USA Waste's obligation to finance the $45 million payment will lapse and USA Waste will have an option to require Chambers to repurchase, and Chambers will have an option to require USA Waste to sell, any unused airspace purchased in advance by USA Waste.</w:t>
      </w:r>
    </w:p>
    <w:p>
      <w:pPr>
        <w:spacing w:after="0" w:line="16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absence of a settlement of the shareholder litigation and a refinancing of the Senior Note and Credit Facility obligations, Chambers would be compelled to implement an action plan to ensure continuing liquidity. The steps that would be necessary with respect to liquidity would include a reduction in discretionary capital expenditures with respect to current transfer station and methane recovery projects. Capital expenditures for vehicle and heavy equipment purchases would be reduced to a maintenance level, or otherwise deferred, and Chambers would employ lease financing programs, to the extent available, for certain equipment, in substitution for capital expenditure programs currently planned. Chambers would also resume and accelerate its divestiture program with respect to non-core assets and operations. As an additional step, Chambers would endeavor to accelerate remaining tax refunds and to substitute surety bond programs where permitted, with respect to closure and post-closure bond requirements, for cash collateral programs presently in place in certain jurisdictions.</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Should the Merger not be consummated, management of Chambers believes that the foregoing plan of action would be adequate to maintain compliance with the covenants and payment obligations under its Senior Note and Credit Facility obligations through December 31, 1995, and would provide a sufficient period of time to achieve a refinancing, which in turn would permit the implementation of the settlement of the shareholder litigation. As indicated above, the Amendments provide that deferred payments previously due on July 1, 1995 may be deferred until July 1, 1996, with other deferred payments becoming due in December 1996, and with the remaining originally scheduled payments due after 1996 becoming due on December 31, 1996. With the bulk of Chambers' long-term obligations becoming due in the second half of 1996 under the Amendments, the liquidity of Chambers would be adversely affected if the Merger were not consummated or a refinancing or modification of the current lending agreements were not achieved in a timely fashion.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78"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Landfill Expenditures, General. At the beginning of 1986, Chambers' operations were limited to three landfill sites and related collection and hauling activities. Since that time, Chambers has substantially expanded the number of landfill sites which it has designed, permitted and constructed. Currently Chambers owns or operates 14 sanitary landfills and one construction and demolition debris landfill, having made the necessary capital investments since 1986 to establish these landfill sites, and to develop the related collection, hauling, transfer station and recycling operations.</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has expended substantial amounts of capital to establish an integrated waste services business, from waste collection enterprises to disposal facilities, to meet the long-term needs of the communities and customers it services. Historically, Chambers has also expended capital to acquire additional waste services businesses, to fund property and equipment needs for internal expansion and to develop the infrastructure of its landfills. The infrastructure expenditures with respect to each site have been in major part nonrecurring, being required at the initial phase at each site in order to prepare the site for the receipt of waste and to support the operations of the landfill throughout its useful life. However, Chambers will continue to incur capital expenditures with respect to the construction of cells at existing sites to accommodate the daily receipt of waste and to ensure compliance with environmental and other regulations.</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134</w:t>
      </w:r>
    </w:p>
    <w:p>
      <w:pPr>
        <w:sectPr>
          <w:pgSz w:w="11900" w:h="16838" w:orient="portrait"/>
          <w:cols w:equalWidth="0" w:num="1">
            <w:col w:w="10219"/>
          </w:cols>
          <w:pgMar w:left="240" w:top="291"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liquidity of Chambers' operations is more heavily influenced by its landfill operations than by its collection, hauling, transfer station and recycling operations. Chambers' liquidity is adversely affected during periods of increased construction activity involved in the establishment of new landfill sites, with revenues commencing only upon opening the sites for the receipt of waste and the delivery of waste to the sites. Liquidity is improved following the opening of new sites, to the extent that landfill capital expenditures for additional cell construction are substantially lower than the initial construction costs.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However, additional cash is required later in the life cycle of a landfill to fund closure and post-closure costs. Therefore, it is important for Chambers to increase the volume received in each landfill as soon as possible after commencement of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management believes that the operations of the existing sites plus a combination of existing cash and asset sales will support the operational requirements of Chambers, including the construction of additional cells for the receipt of waste. Funds supporting those sites which Chambers has under development have previously been generated from capital markets and through project financing from industrial revenue bond sources. Over the past three years, however, Chambers' access to capital markets for purposes of new development has been restricted. Chambers' management believes the proposed Merger with USA Waste will open capital markets that will enable new landfill development as well as continued development of existing sites. However, should the proposed Merger not be consummated, development of additional new landfill sites will be limited.</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Historical Capital Expenditures. Construction and development expenditures of $26.9 million in 1994, $26.7 million in 1993, and $81.1 million in 1992 were related principally to the various phases of the permitting, design and construction of new landfill sites and the expansion of existing sites. During 1993, Chambers opened a landfill in Amelia County, Virginia. During 1992, Chambers opened landfills in Atlanta, Georgia, and Allegany County, Maryland, and acquired a landfill in Okeechobee County, Florida, having incurred expenditures with respect to such sites in 1992 and prior years.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Capital equipment additions of $10.9 million in 1994, $11.0 million in 1993 and $25.6 million in 1992 include the purchase of equipment for Chambers' intermodal rail transportation system and the lease buyouts of vehicles and equipment.</w:t>
      </w:r>
    </w:p>
    <w:p>
      <w:pPr>
        <w:spacing w:after="0" w:line="176" w:lineRule="exact"/>
        <w:rPr>
          <w:sz w:val="20"/>
          <w:szCs w:val="20"/>
          <w:color w:val="auto"/>
        </w:rPr>
      </w:pPr>
    </w:p>
    <w:p>
      <w:pPr>
        <w:ind w:right="3559" w:firstLine="451"/>
        <w:spacing w:after="0" w:line="270" w:lineRule="auto"/>
        <w:rPr>
          <w:sz w:val="20"/>
          <w:szCs w:val="20"/>
          <w:color w:val="auto"/>
        </w:rPr>
      </w:pPr>
      <w:r>
        <w:rPr>
          <w:rFonts w:ascii="Courier New" w:cs="Courier New" w:eastAsia="Courier New" w:hAnsi="Courier New"/>
          <w:sz w:val="14"/>
          <w:szCs w:val="14"/>
          <w:color w:val="auto"/>
        </w:rPr>
        <w:t>Other property and equipment additions of $2.0 million in 1994, $0.4 million in 1993 and $5.2 million in 1992 were made for buildings, building improvements, furniture and fixtures, computer equipment and other assets.</w:t>
      </w:r>
    </w:p>
    <w:p>
      <w:pPr>
        <w:spacing w:after="0" w:line="15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Chambers also invested $20.9 million in the acquisition of waste services businesses in 1992.</w:t>
      </w:r>
    </w:p>
    <w:p>
      <w:pPr>
        <w:spacing w:after="0" w:line="17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Capital Expenditures, 1995. Chambers anticipates that approximately $33 million will be expended in 1995 for construction and development activities. The anticipated capital expenditures are principally for construction of disposal capacity at existing landfills. Chambers anticipates that it will also spend approximately $10 million for vehicles and equipment during 1995. However, if Chambers is unable to generate the anticipated levels of proceeds from asset sales and cash flow from operations, or if the proposed Merger with USA Waste is not consummated, the level of 1995 capital expenditures will be limited.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Revisions to regulations under Subtitle D of RCRA, which were promulgated by the EPA in October 1991, established guidelines for the design, construction and operation of environmentally sound waste disposal facilities. These revisions generally became effective in October 1993, other than with respect to groundwater monitoring requirements which will be phased in over a five-year period, and financial responsibility requirements which become effective upon application for a modification of a permit or a new permit. Chambers anticipates that, in the near-term, it will continue to experience the discount pricing of landfill airspace by competitors, as facilities that anticipate the cessation of operations seek to maximize the utilization of current airspace prior to their closure.</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10219"/>
          </w:cols>
          <w:pgMar w:left="240" w:top="291"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149</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More stringent regulation, while requiring greater expenditures, is expected to increase opportunities for Chambers and others who have landfills that comply with these regulations, as noncomplying landfills have been and will be required, under Chambers' interpretation of current legislation, to cease operations. Chambers expects, however, that certain of the older, less environmentally secure landfills operated by its competitors will continue to operate in 1995 and beyond, depressing market prices for solid waste disposal in the interim.</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principal development efforts from 1987 through 1994 have been in the creation of permitted landfill disposal capacity, with the design, operation and construction of environmentally sound facilities to serve its customers on a long-term basis. Since 1987, Chambers had advanced its program of site development, moving from a level of 10 million tons of permitted airspace capacity in 1987 to 191 million tons of remaining permitted airspace capacity in 1994, which includes 60 million tons of permitted airspace related to two permitted but undeveloped landfill projects. The strategic direction of Chambers' efforts has been consistent with the industry trend of the closure of landfill sites which do not provide adequate protection for the environment and the creation of sound disposal facilities which minimize the risk to the environment from contamination.</w:t>
      </w:r>
    </w:p>
    <w:p>
      <w:pPr>
        <w:spacing w:after="0" w:line="181"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Chambers has made every effort to meet the numerous regulatory challenges facing the waste services industry, and management believes that Chambers will not experience a long-term negative impact from the implementation of the regulations under Subtitle D of RCRA. Current landfill design and construction by Chambers have been performed in compliance with state regulations and in anticipation of the federal requirements. Chambers' South Carolina landfills have permit expansion applications pending which will meet the revisions to Subtitle D of RCRA but currently operate in disposal areas that comply with current state regulations but which are not in compliance with Subtitle D.</w:t>
      </w:r>
    </w:p>
    <w:p>
      <w:pPr>
        <w:spacing w:after="0" w:line="16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Chambers' operation within the environmental services industry also subjects it to future financial obligations with regard to closure and post-closure monitoring and site maintenance costs associated with the solid waste landfills it operates. Chambers' engineers estimate such costs based on the technical requirements of the U.S. Environmental Protection Agency's Subtitle D regulations and the proposed air emissions standards under the Clean Air Act, as they are being applied on a state-by-state basis.</w:t>
      </w:r>
    </w:p>
    <w:p>
      <w:pPr>
        <w:spacing w:after="0" w:line="351"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Final closure and post-closure monitoring and site maintenance costs represent the costs related to cash expenditures to be incurred after a landfill ceases to accept waste and closes. Such costs include final capping of the site and site inspections, groundwater monitoring, leachate management, methane gas control and maintenance costs to be incurred for up to 30 years after the facility closes. Final closure and post-closure monitoring and site maintenance costs are estimated to be approximately $85 million at the time all Chambers landfills have reached their respective capacity. The accrual for these costs is recorded as the airspace at the respective landfill site is consumed.</w:t>
      </w:r>
    </w:p>
    <w:p>
      <w:pPr>
        <w:spacing w:after="0" w:line="337"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In addition, Chambers expects to incur other closure costs, principally related to capping and methane gas control activities, during the operating lives of the landfill sites. The accrual for these costs is also recorded as airspace at the respective landfill site is consumed.</w:t>
      </w:r>
    </w:p>
    <w:p>
      <w:pPr>
        <w:spacing w:after="0" w:line="34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March 31, 1995 and December 31, 1994, accrued liabilities for all closure and post-closure monitoring and maintenance costs totaled $26.9 million and $25.6 million, respectively, of which $1.5 million is expected to be expended in each of the respective twelve-month periods following such dates. Chambers periodically reviews and updates the underlying assumptions used to determine such estimates and, accordingly, the estimate of total projected costs is subject to periodic revision and adjustment.</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DESCRIPTION OF USA WASTE CAPITAL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is currently authorized to issue 50,000,000 shares of Common Stock, par value $.01 per share, of which 22,967,256 shares were outstanding on the Record Date. If the proposed amendment to the Certificate of Incorporation of USA Waste to increase the number of authorized shares of USA Waste Common Stock is approved by the shareholders of USA Waste, USA Waste will be authorized to issue 150,000,000 shares of USA Waste Common Stock. USA Waste is also authorized to issue 10,000,000 shares</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19"/>
          </w:cols>
          <w:pgMar w:left="240" w:top="291" w:right="1440" w:bottom="1440" w:gutter="0" w:footer="0" w:header="0"/>
          <w:type w:val="continuous"/>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150</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of Preferred Stock, none of which are outstanding. USA Waste has reserved for future issuance 3,698,113 shares issuable upon conversion of its 8 1/2% Convertible Subordinated Debentures Due 2002, 2,407,087 shares upon exercise of outstanding warrants, and 1,504,628 shares issuable under its 1990 Stock Option Plan and 1993 Stock Incentive Plan.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Each holder of USA Waste Common Stock is entitled to one vote per share held of record on each matter submitted to shareholders. Cumulative voting for the election of directors is not permitted, and the holders of a majority of shares voting for the election of directors can elect all members of the USA Waste Board of Directors.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Holders of USA Waste Common Stock have no conversion, redemption, or preemptive rights. All outstanding shares of USA Waste Common Stock are validly issued, fully paid, and nonassessable.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USA Waste Board of Directors is authorized, without further approval of the shareholders,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shareholder approval, may issue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Common Stock upon USA Waste's dissolution.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Authorized but unissued shares of USA Waste Common Stock or Preferred Stock can be reserved for issuance by the Board of Directors of USA Waste from time to time without further shareholder action for proper corporate purposes, including stock dividends or stock splits, raising equity capital, and structuring future corporate transactions, including acquisitions.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8"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The transfer agent and registrar for the USA Waste Common Stock is The First National Bank of Boston, Boston, Massachusetts.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LIABILITY AND INDEMNIFICATION OF OFFICERS AND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Certificate of Incorporation of USA Waste provides that the directors of USA Waste shall not be liable to USA Waste or its shareholders for monetary damages for breach of fiduciary duty as a director to the fullest extent permitted by the OGCA. The foregoing limitation does not eliminate or limit the liability of a director for any breach of a director's duty of loyalty to USA Waste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USA Waste also provides that USA Waste shall indemnify, and advance litigation expenses to, its officers, directors,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291"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151</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employees, and agents to the fullest extent permitted by the OGCA and all other laws of the State of Oklahoma.</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OGCA provides that USA Waste has the power to indemnify any person who is sued or threatened to be made a named party in a proceeding, other than an action by or in the right of USA Waste, because such person is or was a director, officer, employee, or agent of USA Waste or is or was serving at the request of USA Waste as a director, officer, employee, or agent of another corporation, partnership, joint venture, trust, or other enterprise, against expenses actually and reasonably incurred by such person in connection with such proceeding. In order to be indemnified, the person must have (1) acted in good faith; (2) acted in a manner he reasonably believed to be in or not opposed to the best interests of USA Waste, and (3) with respect to any criminal action or proceeding, had no reasonable cause to believe such person's conduct was unlawful. The indemnification includes attorneys' fees, judgments, fines, and amounts paid in settlement.</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OGCA also provides that USA Waste may indemnify any person who is sued or threatened to be made a named party in a proceeding by or in the right of USA Waste to procure a judgment in its favor because such person is or was a director, officer, employee, or agent of USA Waste, or is or was serving at the request of USA Waste as a director, officer, employee, or agent of another corporation, partnership, joint venture, trust, or other enterprise. In order to be indemnified, the person must have conducted himself or herself in good faith and in a manner such person reasonably believed to be in or not opposed to the best interests of USA Waste. No indemnification may be made, however, with respect to any claim, issue, or matter as to which such person shall have been judged to be liable to USA Waste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83"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Indemnification by USA Waste is subject to a determination that the director, officer, employee, or agent has met the applicable standard of conduct. The determination must be made (1) by a majority vote of a quorum of the USA Waste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USA Waste.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USA Waste maintains an officers and directors liability insurance policy insuring officers and directors of USA Waste and its subsidiaries against certain liabilities, including liabilities under the Securities Act of 1933, as amended. The effect of such policy is to indemnify the officers and directors of USA Waste against losses incurred by them while acting in such capacities.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Insofar as indemnification for liabilities under the Securities Act may be permitted to directors, officers, or persons controlling USA Waste pursuant to the foregoing provisions, USA Waste had been informed that in the opinion of the Commission such indemnification is against public policy as expressed in such Act and is therefore unenforceable.</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validity of the USA Waste Common Stock to be issued in connection with the Merger will be passed upon by Snell &amp; Smith, P.C., Houston, Texas. Certain legal issues and tax consequences of the Merger will be passed upon for USA Waste by Andrews &amp; Kurth L.L.P., Houston, Texas and for Chambers by Sullivan &amp; Cromwell, New York, New York and Thorp, Reed &amp; Armstrong, Pittsburgh, Pennsylvania.</w:t>
      </w:r>
    </w:p>
    <w:p>
      <w:pPr>
        <w:spacing w:after="0" w:line="1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USA Waste at December 31, 1993 and 1994, and for each of the three years in the period ended December 31, 1994, included and incorporated by reference in this Joint Proxy Statement and Prospectus have been included and incorporated by reference herein in reliance on the reports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19"/>
          </w:cols>
          <w:pgMar w:left="240" w:top="291"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152</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of Coopers &amp; Lybrand L.L.P., independent accountants, given on the authority of that firm as experts in accounting and auditing.</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Envirofil for the year ended June 30, 1993 referred to in this Joint Proxy Statement and Prospectus, and the combined financial statements of the Acquired New Jersey Solid Waste Companies as of December 31, 1992 and 1993 and for each of the three years in the period ended December 31, 1993 incorporated into this Joint Proxy Statement and Prospectus by reference to Envirofil, Inc.'s Form 8-K filed with the Commission on February 28, 1994, as amended by Envirofil, Inc.'s Form 8-K/A filed with the Commission on May 11, 1994, have been included in reliance upon the report of Arthur Andersen LLP, independent public accountants, given on the authority of that firm as experts in accounting and auditing in giving said report.</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Chambers at December 31, 1993 and 1994, and for each of the three years in the period ended December 31, 1994, included and incorporated by reference in this Joint Proxy Statement and Prospectus have been audited by Deloitte &amp; Touche LLP, independent auditors, as stated in their reports, which are included and incorporated by reference herein, and have been so included in reliance upon their authority as experts in accounting and auditing.</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PROPOSALS OF SHAREHOLDERS FOR ANNUAL MEETINGS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of USA Waste will consider proposals of shareholders intended to be presented for action at the 1996 Annual Meeting of Shareholders. A shareholder proposal must be submitted in writing and be received at USA Waste's principal executive offices, 5000 Quorum Drive, Suite 300, Dallas, Texas 75240 no later than January 20, 1996, to be considered for inclusion in USA Waste's proxy statement and form of proxy relating to the 1996 Annual Meeting of Shareholders. Submission of a shareholder proposal does not assure inclusion in the proxy statement or form of proxy because proposals must meet certain Commission rules.</w:t>
      </w:r>
    </w:p>
    <w:p>
      <w:pPr>
        <w:spacing w:after="0" w:line="35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the Merger is not consummated, it is presently anticipated that the 1995 Annual Meeting of Stockholders of Chambers will be held on October 18, 1995. If such meeting is held, stockholder proposals intended to be presented at such meeting must be received by Chambers, addressed to the Secretary at 10700 Frankstown Road, Pittsburgh, Pennsylvania 15235, no later than August 15, 1995, to be considered for inclusion in the proxy statement and form of proxy relating to that meeting.</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OTHER MATTERS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Boards of Directors of USA Waste and Chambers do not know of any other matters to be presented for action at the USA Waste Annual Meeting or the Chambers Special Meeting other than those listed in the Notice of Meeting and referred to herein. Under Delaware law, no other matters may come before the Chambers Special Meeting. If any other matter should properly come before the USA Waste Annual Meeting or any adjournment thereof, it is intended that the proxies solicited hereby be voted with respect to such matters in accordance with the judgment of the persons voting such proxies.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19"/>
          </w:cols>
          <w:pgMar w:left="240" w:top="291"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153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jc w:val="right"/>
              <w:ind w:right="2905"/>
              <w:spacing w:after="0"/>
              <w:rPr>
                <w:sz w:val="20"/>
                <w:szCs w:val="20"/>
                <w:color w:val="auto"/>
              </w:rPr>
            </w:pPr>
            <w:r>
              <w:rPr>
                <w:rFonts w:ascii="Courier New" w:cs="Courier New" w:eastAsia="Courier New" w:hAnsi="Courier New"/>
                <w:sz w:val="15"/>
                <w:szCs w:val="15"/>
                <w:color w:val="auto"/>
              </w:rPr>
              <w:t>INDEX TO FINANCIAL STATEMENTS</w:t>
            </w:r>
          </w:p>
        </w:tc>
        <w:tc>
          <w:tcPr>
            <w:tcW w:w="440" w:type="dxa"/>
            <w:vAlign w:val="bottom"/>
          </w:tcPr>
          <w:p>
            <w:pPr>
              <w:spacing w:after="0"/>
              <w:rPr>
                <w:sz w:val="14"/>
                <w:szCs w:val="14"/>
                <w:color w:val="auto"/>
              </w:rPr>
            </w:pPr>
          </w:p>
        </w:tc>
      </w:tr>
      <w:tr>
        <w:trPr>
          <w:trHeight w:val="867"/>
        </w:trPr>
        <w:tc>
          <w:tcPr>
            <w:tcW w:w="7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78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7840" w:type="dxa"/>
            <w:vAlign w:val="bottom"/>
          </w:tcPr>
          <w:p>
            <w:pPr>
              <w:spacing w:after="0"/>
              <w:rPr>
                <w:sz w:val="20"/>
                <w:szCs w:val="20"/>
                <w:color w:val="auto"/>
              </w:rPr>
            </w:pPr>
            <w:r>
              <w:rPr>
                <w:rFonts w:ascii="Courier New" w:cs="Courier New" w:eastAsia="Courier New" w:hAnsi="Courier New"/>
                <w:sz w:val="15"/>
                <w:szCs w:val="15"/>
                <w:color w:val="auto"/>
              </w:rPr>
              <w:t>USA WASTE SERVICES, INC.</w:t>
            </w:r>
          </w:p>
        </w:tc>
        <w:tc>
          <w:tcPr>
            <w:tcW w:w="440" w:type="dxa"/>
            <w:vAlign w:val="bottom"/>
          </w:tcPr>
          <w:p>
            <w:pPr>
              <w:spacing w:after="0"/>
              <w:rPr>
                <w:sz w:val="24"/>
                <w:szCs w:val="24"/>
                <w:color w:val="auto"/>
              </w:rPr>
            </w:pPr>
          </w:p>
        </w:tc>
      </w:tr>
      <w:tr>
        <w:trPr>
          <w:trHeight w:val="173"/>
        </w:trPr>
        <w:tc>
          <w:tcPr>
            <w:tcW w:w="7840" w:type="dxa"/>
            <w:vAlign w:val="bottom"/>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3"/>
        </w:trPr>
        <w:tc>
          <w:tcPr>
            <w:tcW w:w="784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3"/>
        </w:trPr>
        <w:tc>
          <w:tcPr>
            <w:tcW w:w="78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December 31, 1993 and 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3"/>
        </w:trPr>
        <w:tc>
          <w:tcPr>
            <w:tcW w:w="784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 for the Years Ended December 31, 1992, 1993 and</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3"/>
        </w:trPr>
        <w:tc>
          <w:tcPr>
            <w:tcW w:w="7840" w:type="dxa"/>
            <w:vAlign w:val="bottom"/>
          </w:tcPr>
          <w:p>
            <w:pPr>
              <w:spacing w:after="0"/>
              <w:rPr>
                <w:sz w:val="20"/>
                <w:szCs w:val="20"/>
                <w:color w:val="auto"/>
              </w:rPr>
            </w:pPr>
            <w:r>
              <w:rPr>
                <w:rFonts w:ascii="Courier New" w:cs="Courier New" w:eastAsia="Courier New" w:hAnsi="Courier New"/>
                <w:sz w:val="15"/>
                <w:szCs w:val="15"/>
                <w:color w:val="auto"/>
              </w:rPr>
              <w:t>Consolidated Statements of Stockholders' Equity for the Years Ended December 31, 1992,</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 and 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3"/>
        </w:trPr>
        <w:tc>
          <w:tcPr>
            <w:tcW w:w="78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 December 31, 1992, 1993 and</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Consolidated Balance Sheets (unaudited) as of December 31, 1994 and March 31, 1995....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F-20</w:t>
            </w:r>
          </w:p>
        </w:tc>
      </w:tr>
      <w:tr>
        <w:trPr>
          <w:trHeight w:val="173"/>
        </w:trPr>
        <w:tc>
          <w:tcPr>
            <w:tcW w:w="784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 (unaudited) for the Three Months Ended March 31,</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 and 1995.......................................................................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F-21</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Consolidated Statements of Stockholders' Equity (unaudited) for the Three Months Ended</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March 31, 1995......................................................................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F-22</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Consolidated Statements of Cash Flows (unaudited) for the Three Months Ended March 31,</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 and 1995.......................................................................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F-23</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Notes to Interim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347"/>
        </w:trPr>
        <w:tc>
          <w:tcPr>
            <w:tcW w:w="7840" w:type="dxa"/>
            <w:vAlign w:val="bottom"/>
          </w:tcPr>
          <w:p>
            <w:pPr>
              <w:spacing w:after="0"/>
              <w:rPr>
                <w:sz w:val="20"/>
                <w:szCs w:val="20"/>
                <w:color w:val="auto"/>
              </w:rPr>
            </w:pPr>
            <w:r>
              <w:rPr>
                <w:rFonts w:ascii="Courier New" w:cs="Courier New" w:eastAsia="Courier New" w:hAnsi="Courier New"/>
                <w:sz w:val="15"/>
                <w:szCs w:val="15"/>
                <w:color w:val="auto"/>
              </w:rPr>
              <w:t>CHAMBERS DEVELOPMENT COMPANY, INC.</w:t>
            </w:r>
          </w:p>
        </w:tc>
        <w:tc>
          <w:tcPr>
            <w:tcW w:w="440" w:type="dxa"/>
            <w:vAlign w:val="bottom"/>
          </w:tcPr>
          <w:p>
            <w:pPr>
              <w:spacing w:after="0"/>
              <w:rPr>
                <w:sz w:val="24"/>
                <w:szCs w:val="24"/>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Report of Independent Auditors........................................................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Consolidated Balance Sheets as of December 31, 1993 and 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3"/>
        </w:trPr>
        <w:tc>
          <w:tcPr>
            <w:tcW w:w="78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 December 31, 1992, 1993 and</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Consolidated Statements of Stockholders' Equity for the Years Ended December 31, 1992,</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 and 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173"/>
        </w:trPr>
        <w:tc>
          <w:tcPr>
            <w:tcW w:w="78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 December 31, 1992, 1993 and</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173"/>
        </w:trPr>
        <w:tc>
          <w:tcPr>
            <w:tcW w:w="78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(unaudited) as of December 31, 1994 and March</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31, 1995............................................................................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F-51</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Condensed Consolidated Statements of Operations (unaudited) for the Three Months Ended</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March 31, 1994 and 1995.............................................................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F-52</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Condensed Consolidated Statements of Cash Flows (unaudited) for the Three Months Ended</w:t>
            </w:r>
          </w:p>
        </w:tc>
        <w:tc>
          <w:tcPr>
            <w:tcW w:w="440" w:type="dxa"/>
            <w:vAlign w:val="bottom"/>
          </w:tcPr>
          <w:p>
            <w:pPr>
              <w:spacing w:after="0"/>
              <w:rPr>
                <w:sz w:val="15"/>
                <w:szCs w:val="15"/>
                <w:color w:val="auto"/>
              </w:rPr>
            </w:pP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March 31, 1994 and 1995.............................................................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F-53</w:t>
            </w:r>
          </w:p>
        </w:tc>
      </w:tr>
      <w:tr>
        <w:trPr>
          <w:trHeight w:val="173"/>
        </w:trPr>
        <w:tc>
          <w:tcPr>
            <w:tcW w:w="78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Notes to Interim Condensed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F-54</w:t>
            </w:r>
          </w:p>
        </w:tc>
      </w:tr>
      <w:tr>
        <w:trPr>
          <w:trHeight w:val="694"/>
        </w:trPr>
        <w:tc>
          <w:tcPr>
            <w:tcW w:w="7840" w:type="dxa"/>
            <w:vAlign w:val="bottom"/>
          </w:tcPr>
          <w:p>
            <w:pPr>
              <w:jc w:val="right"/>
              <w:ind w:right="3985"/>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154</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USA Waste Services, Inc. (the "Company") as of December 31, 1993 and 1994, and the related consolidated statements of income, stockholders' equity and cash flows for each of the three years in the period ended December 31, 1994. These consolidated financial statements are the responsibility of the Company's management. Our responsibility is to express an opinion on these consolidated financial statements based on our audits. We did not audit the financial statements of Envirofil, Inc., which the Company acquired on May 27, 1994, through a transaction accounted for under the pooling of interests method, which statements reflect total revenues constituting 8 percent in 1992 of the related consolidated totals. Those statements were audited by other auditors whose report has been furnished to us, and our opinion, insofar as it relates to the amounts included for Envirofil, Inc., is based solely on the report of the other auditors.</w:t>
      </w:r>
    </w:p>
    <w:p>
      <w:pPr>
        <w:spacing w:after="0" w:line="182"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our opinion, based on our audits and the reports of the other auditors, the consolidated financial statements referred to above present fairly, in all material respects, the financial position of the Company as of December 31, 1993 and 1994, and the results of their operations and their cash flows for each of the three years in the period ended December 31, 1994, in conformity with generally accepted accounting principles.</w:t>
      </w:r>
    </w:p>
    <w:p>
      <w:pPr>
        <w:spacing w:after="0" w:line="176"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COOPERS &amp; LYBRAND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1995</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91"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155</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Envirofil, Inc.:</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We have audited the consolidated statements of operations, shareholders' equity (deficit) and cash flows of Envirofil, Inc. (a Delaware corporation) and subsidiaries for the year ended June 30, 1993 prior to the restatement (and, therefore, are not presented herein) for the acquisition of Envirofil, Inc. accounted for under the pooling of interests method of accounting as described in Note 2 to the restated consolidated financial statement of USA Waste Services, Inc. These financial statements and the schedules referred to below are the responsibility of the Company's management. Our responsibility is to express an opinion on the financial statements and schedules based on our audit.</w:t>
      </w:r>
    </w:p>
    <w:p>
      <w:pPr>
        <w:spacing w:after="0" w:line="164"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results of operations, shareholders' equity (deficit) and cash flows of Envirofil, Inc. and subsidiaries for the year ended June 30, 1993, in conformity with generally accepted accounting principles.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audit was made for the purpose of forming an opinion on the basic financial statements taken as a whole. The schedules listed in the index to the Envirofil, Inc. financial statements prior to the restatement (and, therefore, are not presented herein) as discussed above are presented for purposes of complying with the Securities and Exchange Commission's rules and are not part of the basic financial statements. These schedules have been subjected to the auditing procedures applied in the audit of the basic financial statements and, in our opinion, fairly state in all material respects the financial data required to be set forth therein in relation to the basic financial statements taken as a whole.</w:t>
      </w:r>
    </w:p>
    <w:p>
      <w:pPr>
        <w:spacing w:after="0" w:line="17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ARTHUR ANDERSEN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22, 1993</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91"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156</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CONSOLIDATED BALANCE SHEETS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867"/>
        </w:trPr>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6040" w:type="dxa"/>
            <w:vAlign w:val="bottom"/>
          </w:tcPr>
          <w:p>
            <w:pPr>
              <w:spacing w:after="0"/>
              <w:rPr>
                <w:sz w:val="15"/>
                <w:szCs w:val="15"/>
                <w:color w:val="auto"/>
              </w:rPr>
            </w:pPr>
          </w:p>
        </w:tc>
        <w:tc>
          <w:tcPr>
            <w:tcW w:w="26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1993</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60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04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4,626,000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6,613,000</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 for doubtful accounts of</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$1,249,000 and $2,369,000....................................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13,291,000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19,992,000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Notes and other receivables.....................................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2,016,000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8,072,000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2,545,000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2,361,000</w:t>
            </w:r>
          </w:p>
        </w:tc>
      </w:tr>
      <w:tr>
        <w:trPr>
          <w:trHeight w:val="173"/>
        </w:trPr>
        <w:tc>
          <w:tcPr>
            <w:tcW w:w="60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22,478,000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37,038,000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Notes and other receivables.......................................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2,763,000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2,462,000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Property and equipment, net.......................................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149,097,000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182,415,000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Excess of cost over net assets of acquired business, net..........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42,702,000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73,305,000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intangible assets, net......................................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11,915,000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14,375,000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assets......................................................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9,864,000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13,572,000</w:t>
            </w:r>
          </w:p>
        </w:tc>
      </w:tr>
      <w:tr>
        <w:trPr>
          <w:trHeight w:val="173"/>
        </w:trPr>
        <w:tc>
          <w:tcPr>
            <w:tcW w:w="60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$238,819,000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$323,167,000</w:t>
            </w:r>
          </w:p>
        </w:tc>
      </w:tr>
      <w:tr>
        <w:trPr>
          <w:trHeight w:val="173"/>
        </w:trPr>
        <w:tc>
          <w:tcPr>
            <w:tcW w:w="60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8,382,000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$ 12,023,000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9,691,000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12,783,000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revenues...............................................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1,481,000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1,783,000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3,559,000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1,830,000</w:t>
            </w:r>
          </w:p>
        </w:tc>
      </w:tr>
      <w:tr>
        <w:trPr>
          <w:trHeight w:val="173"/>
        </w:trPr>
        <w:tc>
          <w:tcPr>
            <w:tcW w:w="60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23,113,000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28,419,000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Revolving credit facility.........................................</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55,500,000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98,000,000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Convertible subordinated debentures...............................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49,000,000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49,000,000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long-term debt..............................................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7,115,000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6,903,000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Closure, post-closure and other liabilities.......................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14,168,000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17,067,000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11,842,000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15,792,000</w:t>
            </w:r>
          </w:p>
        </w:tc>
      </w:tr>
      <w:tr>
        <w:trPr>
          <w:trHeight w:val="173"/>
        </w:trPr>
        <w:tc>
          <w:tcPr>
            <w:tcW w:w="60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160,738,000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215,181,000</w:t>
            </w:r>
          </w:p>
        </w:tc>
      </w:tr>
      <w:tr>
        <w:trPr>
          <w:trHeight w:val="173"/>
        </w:trPr>
        <w:tc>
          <w:tcPr>
            <w:tcW w:w="60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Commitments and contingencies.....................................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$1.00 par value;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905"/>
              <w:spacing w:after="0"/>
              <w:rPr>
                <w:sz w:val="20"/>
                <w:szCs w:val="20"/>
                <w:color w:val="auto"/>
              </w:rPr>
            </w:pPr>
            <w:r>
              <w:rPr>
                <w:rFonts w:ascii="Courier New" w:cs="Courier New" w:eastAsia="Courier New" w:hAnsi="Courier New"/>
                <w:sz w:val="15"/>
                <w:szCs w:val="15"/>
                <w:color w:val="auto"/>
              </w:rPr>
              <w:t>10,000,000 shares authorized;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14,000 shares and none issued................................</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905"/>
              <w:spacing w:after="0"/>
              <w:rPr>
                <w:sz w:val="20"/>
                <w:szCs w:val="20"/>
                <w:color w:val="auto"/>
              </w:rPr>
            </w:pPr>
            <w:r>
              <w:rPr>
                <w:rFonts w:ascii="Courier New" w:cs="Courier New" w:eastAsia="Courier New" w:hAnsi="Courier New"/>
                <w:sz w:val="15"/>
                <w:szCs w:val="15"/>
                <w:color w:val="auto"/>
              </w:rPr>
              <w:t>50,000,000 shares authorized;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18,819,861 and 22,728,548 shares issued......................</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80,041,000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95,758,000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696,000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13,962,000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treasury stock, 219,285 and 149,285 shares at cost.........</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(2,858,000)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(1,961,000)</w:t>
            </w:r>
          </w:p>
        </w:tc>
      </w:tr>
      <w:tr>
        <w:trPr>
          <w:trHeight w:val="173"/>
        </w:trPr>
        <w:tc>
          <w:tcPr>
            <w:tcW w:w="60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78,081,000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107,986,000</w:t>
            </w:r>
          </w:p>
        </w:tc>
      </w:tr>
      <w:tr>
        <w:trPr>
          <w:trHeight w:val="173"/>
        </w:trPr>
        <w:tc>
          <w:tcPr>
            <w:tcW w:w="60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$238,819,000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$323,167,000</w:t>
            </w:r>
          </w:p>
        </w:tc>
      </w:tr>
      <w:tr>
        <w:trPr>
          <w:trHeight w:val="173"/>
        </w:trPr>
        <w:tc>
          <w:tcPr>
            <w:tcW w:w="60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91"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157</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0" w:type="dxa"/>
            <w:vAlign w:val="bottom"/>
            <w:gridSpan w:val="5"/>
          </w:tcPr>
          <w:p>
            <w:pPr>
              <w:jc w:val="right"/>
              <w:ind w:right="385"/>
              <w:spacing w:after="0"/>
              <w:rPr>
                <w:sz w:val="20"/>
                <w:szCs w:val="20"/>
                <w:color w:val="auto"/>
              </w:rPr>
            </w:pPr>
            <w:r>
              <w:rPr>
                <w:rFonts w:ascii="Courier New" w:cs="Courier New" w:eastAsia="Courier New" w:hAnsi="Courier New"/>
                <w:sz w:val="15"/>
                <w:szCs w:val="15"/>
                <w:color w:val="auto"/>
              </w:rPr>
              <w:t>FOR THE YEAR ENDED DECEMBER 31,</w:t>
            </w:r>
          </w:p>
        </w:tc>
      </w:tr>
      <w:tr>
        <w:trPr>
          <w:trHeight w:val="173"/>
        </w:trPr>
        <w:tc>
          <w:tcPr>
            <w:tcW w:w="4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4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$57,049,000</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$93,753,000</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$176,235,000</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Operating...................................</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28,128,000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49,251,000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101,069,000</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General and administrative..................</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11,612,000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17,497,000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23,463,000</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Merger costs................................</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3,782,000</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Stock compensation expense..................</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5,249,000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923,000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Restructuring charges.......................</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1,507,000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Depreciation and amortization...............</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5,776,000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10,558,000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18,785,000</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52,272,000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78,229,000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147,099,000</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Income from operations........................</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4,777,000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15,524,000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29,136,000</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Interest expense, net.......................</w:t>
            </w:r>
          </w:p>
        </w:tc>
        <w:tc>
          <w:tcPr>
            <w:tcW w:w="46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(4,212,000)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(6,856,000)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(10,385,000)</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Interest income.............................</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610,000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1,113,000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591,000</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Other, net..................................</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822,000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2,249,000</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(3,587,000)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(4,921,000)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(7,545,000)</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Income before provision for income taxes......</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1,190,000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10,603,000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21,591,000</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Provision for income taxes....................</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3,955,000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5,413,000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7,760,000</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46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(2,765,000)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5,190,000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13,831,000</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Gain on sale of discontinued operations,</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net of income taxes.........................</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Income (loss) before extraordinary item.......</w:t>
            </w:r>
          </w:p>
        </w:tc>
        <w:tc>
          <w:tcPr>
            <w:tcW w:w="46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(1,868,000)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5,190,000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13,831,000</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Extraordinary income from forgiveness of debt,</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net of income taxes.........................</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10,066,000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Net income....................................</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8,198,000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5,190,000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13,831,000</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Preferred dividends...........................</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152,000</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582,000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565,000</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Income available to common shareholders.......</w:t>
            </w: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$ 8,046,000</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$ 4,608,000</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$ 13,266,000</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Continuing operations.......................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0.61</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Discontinued operations.....................</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Extraordinary income........................</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0.68</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Earnings per common share...........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0.61</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4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equivalent shares outstanding...............</w:t>
            </w:r>
          </w:p>
        </w:tc>
        <w:tc>
          <w:tcPr>
            <w:tcW w:w="46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14,878,174</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18,055,801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21,842,049</w:t>
            </w:r>
          </w:p>
        </w:tc>
      </w:tr>
      <w:tr>
        <w:trPr>
          <w:trHeight w:val="173"/>
        </w:trPr>
        <w:tc>
          <w:tcPr>
            <w:tcW w:w="4500" w:type="dxa"/>
            <w:vAlign w:val="bottom"/>
          </w:tcPr>
          <w:p>
            <w:pPr>
              <w:spacing w:after="0"/>
              <w:rPr>
                <w:sz w:val="15"/>
                <w:szCs w:val="15"/>
                <w:color w:val="auto"/>
              </w:rPr>
            </w:pP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91"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158</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45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PREFERRED</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RETAINED</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TREASURY</w:t>
            </w:r>
          </w:p>
        </w:tc>
      </w:tr>
      <w:tr>
        <w:trPr>
          <w:trHeight w:val="173"/>
        </w:trPr>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STOCK</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EARNINGS</w:t>
            </w:r>
          </w:p>
        </w:tc>
        <w:tc>
          <w:tcPr>
            <w:tcW w:w="18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STOCK</w:t>
            </w:r>
          </w:p>
        </w:tc>
      </w:tr>
      <w:tr>
        <w:trPr>
          <w:trHeight w:val="173"/>
        </w:trPr>
        <w:tc>
          <w:tcPr>
            <w:tcW w:w="450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347"/>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Balance, December 31, 1991.......................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$37,264,000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$(14,936,000)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options exercised........................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157,000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Conversion of subordinated notes to common</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2,521,000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issued in acquisitions..................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5,660,000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Effect of SRI acquisition accounted for as a</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pooling of interest.........................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(82,000)</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Conversion of preferred stock to subordinated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debenture...................................</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(2,998,000)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Redemption of preferred stock..................</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(1,995,000)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Treasury stock purchased.......................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(1,526,000)</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subscriptions collected...........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Conversion of debt to preferred stock..........</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522,000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Conversion of preferred stock, debt and accrued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as part of reorganization to common</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(522,000)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1,764,000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Private placement of common stock as part of</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reorganization..............................</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3,355,000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Compensation charge for common stock warrants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granted.....................................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6,353,000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Private placement of common stock..............</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4,785,000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Series C Preferred Stock issued................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7,876,000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Preferred dividends, 10% Series B,</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 Series C.................................</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(152,000)</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8,198,000</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Balance, December 31, 1992.......................</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64,994,000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(6,972,000)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(1,526,000)</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options exercised........................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issued in acquisitions..................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4,790,000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Treasury stock purchased.......................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(1,332,000)</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Preferred stock subscriptions collected........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Private placement of common stock..............</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4,742,000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Series D Preferred Stock issued................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5,212,000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Compensation charge for common stock warrants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granted.....................................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for preferred stock</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dividends...................................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154,000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(582,000)</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Change in Envirofil fiscal year................</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3,060,000</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5,190,000</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Balance, December 31, 1993.......................</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80,041,000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696,000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(2,858,000)</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70,000 shares of treasury stock issued upon</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 of stock options...................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(597,000)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897,000</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for preferred stock</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dividends...................................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1,390,000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(565,000)</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issued in acquisitions..................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14,506,000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Conversion of preferred stock to common</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(14,000)</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warrants exercised.......................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Compensation charge for common stock issued to</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directors...................................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options exercised........................</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192,000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13,831,000</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Balance, December 31, 1994.......................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$227,000</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$95,758,000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$13,962,000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$(1,961,000)</w:t>
            </w:r>
          </w:p>
        </w:tc>
      </w:tr>
      <w:tr>
        <w:trPr>
          <w:trHeight w:val="173"/>
        </w:trPr>
        <w:tc>
          <w:tcPr>
            <w:tcW w:w="450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91"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159</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CONSOLIDATED STATEMENTS OF CASH FLOWS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94"/>
        </w:trPr>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FOR THE YEAR ENDED DECEMBER 31,</w:t>
            </w:r>
          </w:p>
        </w:tc>
      </w:tr>
      <w:tr>
        <w:trPr>
          <w:trHeight w:val="173"/>
        </w:trPr>
        <w:tc>
          <w:tcPr>
            <w:tcW w:w="6840" w:type="dxa"/>
            <w:vAlign w:val="bottom"/>
          </w:tcPr>
          <w:p>
            <w:pPr>
              <w:spacing w:after="0"/>
              <w:rPr>
                <w:sz w:val="15"/>
                <w:szCs w:val="15"/>
                <w:color w:val="auto"/>
              </w:rPr>
            </w:pPr>
          </w:p>
        </w:tc>
        <w:tc>
          <w:tcPr>
            <w:tcW w:w="398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1993</w:t>
            </w:r>
          </w:p>
        </w:tc>
        <w:tc>
          <w:tcPr>
            <w:tcW w:w="1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684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8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3"/>
        </w:trPr>
        <w:tc>
          <w:tcPr>
            <w:tcW w:w="68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8,198,000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5,190,000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$ 13,831,000</w:t>
            </w:r>
          </w:p>
        </w:tc>
      </w:tr>
      <w:tr>
        <w:trPr>
          <w:trHeight w:val="173"/>
        </w:trPr>
        <w:tc>
          <w:tcPr>
            <w:tcW w:w="68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 provided by operating</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5,776,000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10,558,000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18,785,000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943,000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995,000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Nonrecurring and other noncash items...................................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6,639,000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1,330,000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disposal of assets, net........................................</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(1,898,000)</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(648,000)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(1,588,000)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Adjustment for change in Envirofil fiscal year.........................</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(930,000)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income...................................................</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(10,066,000)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Change in assets and liabilities, net of effects of business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840" w:type="dxa"/>
            <w:vAlign w:val="bottom"/>
          </w:tcPr>
          <w:p>
            <w:pPr>
              <w:jc w:val="right"/>
              <w:ind w:right="5065"/>
              <w:spacing w:after="0"/>
              <w:rPr>
                <w:sz w:val="20"/>
                <w:szCs w:val="20"/>
                <w:color w:val="auto"/>
              </w:rPr>
            </w:pPr>
            <w:r>
              <w:rPr>
                <w:rFonts w:ascii="Courier New" w:cs="Courier New" w:eastAsia="Courier New" w:hAnsi="Courier New"/>
                <w:sz w:val="15"/>
                <w:szCs w:val="15"/>
                <w:color w:val="auto"/>
              </w:rPr>
              <w:t>acquisitions: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decrease in accounts receivable and other receivables.....</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(535,000)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655,000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(4,562,000)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decrease in prepaid expenses and other....................</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(440,000)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in other assets.............................................</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(416,000)</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(3,038,000)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(4,731,000)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(decrease) in accounts payable and accrued liabilities......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2,553,000</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(3,827,000)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(3,099,000)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in deferred revenues and other liabilities..................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549,000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94,000</w:t>
            </w:r>
          </w:p>
        </w:tc>
      </w:tr>
      <w:tr>
        <w:trPr>
          <w:trHeight w:val="173"/>
        </w:trPr>
        <w:tc>
          <w:tcPr>
            <w:tcW w:w="684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cash provided by operating activities..................................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12,267,000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10,977,000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18,903,000</w:t>
            </w:r>
          </w:p>
        </w:tc>
      </w:tr>
      <w:tr>
        <w:trPr>
          <w:trHeight w:val="173"/>
        </w:trPr>
        <w:tc>
          <w:tcPr>
            <w:tcW w:w="684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(25,527,000)</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(64,709,000)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(23,944,000)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(6,370,000)</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(23,324,000)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(40,876,000)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Loans to others..........................................................</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(4,320,000)</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(4,932,000)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(7,504,000)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Collection of loans to others............................................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980,000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1,607,000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1,743,000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872,000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3,787,000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13,738,000</w:t>
            </w:r>
          </w:p>
        </w:tc>
      </w:tr>
      <w:tr>
        <w:trPr>
          <w:trHeight w:val="173"/>
        </w:trPr>
        <w:tc>
          <w:tcPr>
            <w:tcW w:w="684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cash used in investing activities......................................</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(34,365,000)</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(87,571,000)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(56,843,000)</w:t>
            </w:r>
          </w:p>
        </w:tc>
      </w:tr>
      <w:tr>
        <w:trPr>
          <w:trHeight w:val="173"/>
        </w:trPr>
        <w:tc>
          <w:tcPr>
            <w:tcW w:w="684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long-term debt.................................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50,292,000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55,922,000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44,260,000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Principal payments on long-term debt.....................................</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(30,393,000)</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(10,903,000)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(4,976,000)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Redemption of preferred stock............................................</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(1,997,000)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proceeds from issuance of preferred stock............................</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7,889,000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9,537,000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8,177,000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13,106,000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exercise of warrants.......................................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exercise of stock options..................................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proceeds from stock subscriptions....................................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treasury stock..............................................</w:t>
            </w:r>
          </w:p>
        </w:tc>
        <w:tc>
          <w:tcPr>
            <w:tcW w:w="18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(1,526,000)</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(1,332,000)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cash provided by financing activities..................................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32,675,000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66,455,000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39,927,000</w:t>
            </w:r>
          </w:p>
        </w:tc>
      </w:tr>
      <w:tr>
        <w:trPr>
          <w:trHeight w:val="173"/>
        </w:trPr>
        <w:tc>
          <w:tcPr>
            <w:tcW w:w="684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Increase (decrease) in cash and cash equivalents...........................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10,577,000</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(10,139,000)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1,987,000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and cash equivalents at beginning of year.............................</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4,188,000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14,765,000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4,626,000</w:t>
            </w:r>
          </w:p>
        </w:tc>
      </w:tr>
      <w:tr>
        <w:trPr>
          <w:trHeight w:val="173"/>
        </w:trPr>
        <w:tc>
          <w:tcPr>
            <w:tcW w:w="684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and cash equivalents at end of year...................................</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$ 14,765,000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4,626,000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6,613,000</w:t>
            </w:r>
          </w:p>
        </w:tc>
      </w:tr>
      <w:tr>
        <w:trPr>
          <w:trHeight w:val="173"/>
        </w:trPr>
        <w:tc>
          <w:tcPr>
            <w:tcW w:w="684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840" w:type="dxa"/>
            <w:vAlign w:val="bottom"/>
          </w:tcPr>
          <w:p>
            <w:pPr>
              <w:ind w:left="180"/>
              <w:spacing w:after="0"/>
              <w:rPr>
                <w:sz w:val="20"/>
                <w:szCs w:val="20"/>
                <w:color w:val="auto"/>
              </w:rPr>
            </w:pPr>
            <w:r>
              <w:rPr>
                <w:rFonts w:ascii="Courier New" w:cs="Courier New" w:eastAsia="Courier New" w:hAnsi="Courier New"/>
                <w:sz w:val="15"/>
                <w:szCs w:val="15"/>
                <w:color w:val="auto"/>
              </w:rPr>
              <w:t>Cash paid during the year for:</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6,571,000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$ 10,837,000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453,000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5,597,000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5,748,000</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investing and financing activities: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 of property and equipment through capital leases.............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Conversion of preferred stock............................................</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Conversion of subordinated notes.........................................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2,523,000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Issuance of common stock for preferred dividends.........................</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327,000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1,391,000</w:t>
            </w:r>
          </w:p>
        </w:tc>
      </w:tr>
      <w:tr>
        <w:trPr>
          <w:trHeight w:val="173"/>
        </w:trPr>
        <w:tc>
          <w:tcPr>
            <w:tcW w:w="684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Liabilities assumed....................................................</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13,823,000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21,495,000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10,085,000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issued....................................................</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5,665,000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4,800,000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14,522,000</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Debt incurred..........................................................</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240,000</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4,925,000</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820"/>
          </w:cols>
          <w:pgMar w:left="240" w:top="291" w:right="839"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160</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Organization -- USA Waste Services, Inc., an Oklahoma corporation (the "Company"), was incorporated in 1987. The Company is engaged in the non-hazardous solid waste management business and provides solid waste management services, consisting of collection, transfer, disposal, soil remediation and recycling services to municipal, commercial, industrial and residential customers. The Company conducts operations through subsidiaries in multiple locations nationwide.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Principles of consolidation -- The consolidated financial statements include the accounts of USA Waste Services, Inc. and its subsidiaries after elimination of all material intercompany balances and transactions. Investments in which the Company does not exercise control, the affiliated companies operations are not consolidated and are accounted for under the equity method or cost method, as appropriate. As discussed in Note 2, the Company has restated its 1992 and 1993 financial statements to reflect the acquisition of Envirofil, Inc. ("Envirofil") consummated on May 27, 1994 and accounted for under the pooling of interests method of accounting.</w:t>
      </w:r>
    </w:p>
    <w:p>
      <w:pPr>
        <w:spacing w:after="0" w:line="179"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Cash and cash equivalents -- The Company's cash and cash equivalents consisted primarily of cash on deposit, certificates of deposit, money market accounts and investment grade commercial paper purchased with original maturities of three months or less.</w:t>
      </w:r>
    </w:p>
    <w:p>
      <w:pPr>
        <w:spacing w:after="0" w:line="17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Concentrations of credit risk -- Financial instruments which potentially subject the Company to concentrations of credit risk consist principally of temporary cash investments and accounts receivable. Concentrations of credit risk with respect to accounts receivable are limited due to the Company's large number of customers and their dispersion across different geographic regions. The Company does not generally require collateral for its accounts receivable. The Company does not believe a material risk of loss exists with respect to its financial position due to concentrations of credit risk as of December 31, 1994.</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Property and equipment -- Property and equipment are recorded at cost. Expenditures for major additions and improvements are capitalized, while minor replacements, maintenance and repairs are charged to expense as incurred. When property is retired or otherwise disposed of, the cost and accumulated depreciation are removed from the accounts and any resulting gain or loss is reflected in current operations. Depreciation is provided over the estimated useful lives of the assets involved using the straight-line method. The estimated useful lives are twenty to thirty years for buildings and improvements, three to ten years for vehicles and machinery and equipment, three to twelve years for containers, and three to ten years for furniture and fixtures.</w:t>
      </w:r>
    </w:p>
    <w:p>
      <w:pPr>
        <w:spacing w:after="0" w:line="180"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Disposal sites are stated at cost and amortized as airspace is consumed. Disposal site costs include expenditures for acquisitions of land and related airspace, engineering and permitting costs, and direct site improvement costs, which management believes are recoverable. Interest cost is capitalized on landfill construction projects and amortized as airspace is consumed. Interest cost capitalized during 1994 was $1,011,000. Interest costs incurred during 1992, 1993 and 1994 were $4,212,000, $6,856,000 and $11,396,000, respectively. Interest costs related to prior year landfill construction projects are not significant.</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Excess of cost over net assets of acquired businesses -- The excess of cost over net assets of acquired businesses is being amortized on a straight-line basis over twenty-five years from the dates of the respective acquisitions. Accumulated amortization was $1,970,000 and $4,740,000 at December 31, 1993 and 1994, respectively. The net remaining balance of the excess of cost over net assets acquired is assessed periodically based on the estimated recoverable value related to the businesses acquired. No provision for any impairment of the excess of cost over net assets of acquired businesses has been charged to operations.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Accounting for acquisitions -- The Company assesses each acquisition to determine whether the pooling of interests or the purchase method of accounting for acquisitions is appropriate. For those acquisitions accounted for under the pooling of interests method the reported financial statements of the acquired company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91"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161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are combined with those of the Company at their historical amounts, and all periods presented are restated to the combined amounts. For those acquisitions accounted for using the purchase method of accounting, the Company allocates the cost of an acquired business to the assets acquired and the liabilities assumed based on the information available at the time of acquisition. Estimates are revised during the allocation period as necessary when information regarding contingencies becomes available to define and quantify assets acquired and liabilities assumed. The allocation period will vary for each acquisition, but generally does not exceed one year. To the extent contingencies such as preacquisition environmental matters, litigation and related legal fees, and preacquisition tax matters are resolved or settled during the allocation period, they are included in the revised allocation of the purchase price. After the allocation period, the effect of such contingencies is included in results of operations in the period the adjustment is determined.</w:t>
      </w:r>
    </w:p>
    <w:p>
      <w:pPr>
        <w:spacing w:after="0" w:line="34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Other intangible assets -- Other intangible assets consist primarily of customer lists, covenants not to compete, and licenses and permits. Other intangible assets are recorded at cost and amortized on a straight-line basis over three to ten years. Accumulated amortization was $2,940,000 and $3,600,000 at December 31, 1993 and 1994, respectively.</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Other assets -- Other assets consist primarily of restricted closure funds and debt issue costs. Debt issue costs are amortized on a straight-line basis over the term of the related debt agreement.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Closure, post-closure and other liabilities -- The Company has material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commitments for the costs associated with its future obligations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closure and post-closure costs of landfills it operates or for which it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otherwise responsible. While the precise amount of these future costs cannot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with absolute certainty, the Company has estimated that the aggregate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closure and post-closure costs will be approximately $25,000,000, which,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landfill will be fully accrued at the time the site stops accepting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is closed. As of December 31, 1993 and 1994, the Company has accrued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$10,100,000 and $13,343,000, respectively, for final closure and post-closure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of disposal facilities. The difference between the closure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post-closure costs accrued as of December 31, 1994 and the total estimated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closure and post-closure costs to be incurred will be accrued and charged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as airspace is consumed. The Company also expects to incur approximately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$40,000,000 related to capping activities expected to occur during the operating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lives of these disposal sites. These costs are also being expensed over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useful lives of the disposal sites as airspace is consumed.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bases its estimates for these accruals on management's reviews performed not less than annually including input from its engineers and interpretations of current requirements and proposed regulatory changes. The closure and post-closure requirements are established under the standards of the U.S. Environmental Protection Agency's Subtitle D regulations as implemented and applied on a state-by-state basis. Closure and post-closure accruals consider estimates for the final cap and cover for the site, methane gas control, leachate management and groundwater monitoring, and other operational and maintenance costs to be incurred after the site stops accepting waste, which is generally expected to be for a period of up to thirty years after final site closure.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of the Company's disposal sites were previously operated by others. Accordingly, the Company assessed and recorded a closure and post-closure liability at the time the Company assumed closure responsibility based upon the estimated total closure and post-closure costs and the percentage of airspace utilized as of such date. Thereafter, the difference between the closure and post-closure costs accrued and the total estimated closure and post-closure costs to be incurred are accrued and charged to expense as airspace is consumed. Also in connection with the acquisition of certain businesses, the Company has recorded a current liability of approximately $2,000,000 as of December 31, 1994, relating to minor remediation activities that exist at certain of the Company's facilities.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91"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162</w:t>
      </w:r>
    </w:p>
    <w:p>
      <w:pPr>
        <w:spacing w:after="0" w:line="17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60" w:firstLine="451"/>
        <w:spacing w:after="0" w:line="270" w:lineRule="auto"/>
        <w:rPr>
          <w:sz w:val="20"/>
          <w:szCs w:val="20"/>
          <w:color w:val="auto"/>
        </w:rPr>
      </w:pPr>
      <w:r>
        <w:rPr>
          <w:rFonts w:ascii="Courier New" w:cs="Courier New" w:eastAsia="Courier New" w:hAnsi="Courier New"/>
          <w:sz w:val="14"/>
          <w:szCs w:val="14"/>
          <w:color w:val="auto"/>
        </w:rPr>
        <w:t>Income taxes -- Deferred taxes are determined based on the difference between the financial statement and tax bases of assets and liabilities. Deferred tax expense represents the change in the deferred income tax balance.</w:t>
      </w:r>
    </w:p>
    <w:p>
      <w:pPr>
        <w:spacing w:after="0" w:line="158" w:lineRule="exact"/>
        <w:rPr>
          <w:sz w:val="20"/>
          <w:szCs w:val="20"/>
          <w:color w:val="auto"/>
        </w:rPr>
      </w:pPr>
    </w:p>
    <w:p>
      <w:pPr>
        <w:jc w:val="both"/>
        <w:ind w:right="620" w:firstLine="451"/>
        <w:spacing w:after="0" w:line="244" w:lineRule="auto"/>
        <w:rPr>
          <w:sz w:val="20"/>
          <w:szCs w:val="20"/>
          <w:color w:val="auto"/>
        </w:rPr>
      </w:pPr>
      <w:r>
        <w:rPr>
          <w:rFonts w:ascii="Courier New" w:cs="Courier New" w:eastAsia="Courier New" w:hAnsi="Courier New"/>
          <w:sz w:val="15"/>
          <w:szCs w:val="15"/>
          <w:color w:val="auto"/>
        </w:rPr>
        <w:t>Revenue recognition -- The Company recognizes revenues as services are provided. Amounts billed and received prior to services being performed are included in deferred revenue.</w:t>
      </w:r>
    </w:p>
    <w:p>
      <w:pPr>
        <w:spacing w:after="0" w:line="175" w:lineRule="exact"/>
        <w:rPr>
          <w:sz w:val="20"/>
          <w:szCs w:val="20"/>
          <w:color w:val="auto"/>
        </w:rPr>
      </w:pPr>
    </w:p>
    <w:p>
      <w:pPr>
        <w:ind w:right="360" w:firstLine="451"/>
        <w:spacing w:after="0" w:line="244" w:lineRule="auto"/>
        <w:rPr>
          <w:sz w:val="20"/>
          <w:szCs w:val="20"/>
          <w:color w:val="auto"/>
        </w:rPr>
      </w:pPr>
      <w:r>
        <w:rPr>
          <w:rFonts w:ascii="Courier New" w:cs="Courier New" w:eastAsia="Courier New" w:hAnsi="Courier New"/>
          <w:sz w:val="15"/>
          <w:szCs w:val="15"/>
          <w:color w:val="auto"/>
        </w:rPr>
        <w:t>Earnings per share -- Earnings per share computations are based on the weighted average number of shares of common stock outstanding and the dilutive effect of stock options and warrants using the treasury stock method. The dilutive effect between primary and fully-dilutive earnings per share is less than 3% or is anti-dilutive for all periods presented and is therefore not disclosed in the accompanying statements of income.</w:t>
      </w:r>
    </w:p>
    <w:p>
      <w:pPr>
        <w:spacing w:after="0" w:line="177" w:lineRule="exact"/>
        <w:rPr>
          <w:sz w:val="20"/>
          <w:szCs w:val="20"/>
          <w:color w:val="auto"/>
        </w:rPr>
      </w:pPr>
    </w:p>
    <w:p>
      <w:pPr>
        <w:ind w:right="360" w:firstLine="451"/>
        <w:spacing w:after="0" w:line="278" w:lineRule="auto"/>
        <w:rPr>
          <w:sz w:val="20"/>
          <w:szCs w:val="20"/>
          <w:color w:val="auto"/>
        </w:rPr>
      </w:pPr>
      <w:r>
        <w:rPr>
          <w:rFonts w:ascii="Courier New" w:cs="Courier New" w:eastAsia="Courier New" w:hAnsi="Courier New"/>
          <w:sz w:val="14"/>
          <w:szCs w:val="14"/>
          <w:color w:val="auto"/>
        </w:rPr>
        <w:t>Reclassifications -- Certain amounts in prior year consolidated financial statements have been reclassified to conform to the 1994 presentations.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w:t>
      </w:r>
    </w:p>
    <w:p>
      <w:pPr>
        <w:spacing w:after="0" w:line="178" w:lineRule="exact"/>
        <w:rPr>
          <w:sz w:val="20"/>
          <w:szCs w:val="20"/>
          <w:color w:val="auto"/>
        </w:rPr>
      </w:pPr>
    </w:p>
    <w:p>
      <w:pPr>
        <w:ind w:right="180" w:firstLine="451"/>
        <w:spacing w:after="0" w:line="244" w:lineRule="auto"/>
        <w:rPr>
          <w:sz w:val="20"/>
          <w:szCs w:val="20"/>
          <w:color w:val="auto"/>
        </w:rPr>
      </w:pPr>
      <w:r>
        <w:rPr>
          <w:rFonts w:ascii="Courier New" w:cs="Courier New" w:eastAsia="Courier New" w:hAnsi="Courier New"/>
          <w:sz w:val="15"/>
          <w:szCs w:val="15"/>
          <w:color w:val="auto"/>
        </w:rPr>
        <w:t>Since 1990, the Company has acquired several collection, transfer, recycling, disposal, and soil remediation businesses. These acquisitions were accounted for in accordance with the purchase or pooling of interests method of accounting depending on the terms of each transaction as described below. The most significant transaction has been the Company's acquisition of Envirofil consummated May 27, 1994. As a result of this acquisition accounted for under the pooling of interests method of accounting, the Company has restated its 1992 and 1993 financial statements to include Envirofil from the beginning of each period presented.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Envirofil</w:t>
      </w:r>
    </w:p>
    <w:p>
      <w:pPr>
        <w:spacing w:after="0" w:line="178" w:lineRule="exact"/>
        <w:rPr>
          <w:sz w:val="20"/>
          <w:szCs w:val="20"/>
          <w:color w:val="auto"/>
        </w:rPr>
      </w:pPr>
    </w:p>
    <w:p>
      <w:pPr>
        <w:ind w:right="260" w:firstLine="451"/>
        <w:spacing w:after="0" w:line="244" w:lineRule="auto"/>
        <w:rPr>
          <w:sz w:val="20"/>
          <w:szCs w:val="20"/>
          <w:color w:val="auto"/>
        </w:rPr>
      </w:pPr>
      <w:r>
        <w:rPr>
          <w:rFonts w:ascii="Courier New" w:cs="Courier New" w:eastAsia="Courier New" w:hAnsi="Courier New"/>
          <w:sz w:val="15"/>
          <w:szCs w:val="15"/>
          <w:color w:val="auto"/>
        </w:rPr>
        <w:t>In May 1994, approximately 9.7 million shares of Common Stock were issued in exchange for all the outstanding common stock of Envirofil. The acquisition has been accounted for as a pooling of interests, and accordingly, the accompanying financial information has been restated to include the accounts of Envirofil for all periods presented.</w:t>
      </w:r>
    </w:p>
    <w:p>
      <w:pPr>
        <w:spacing w:after="0" w:line="177" w:lineRule="exact"/>
        <w:rPr>
          <w:sz w:val="20"/>
          <w:szCs w:val="20"/>
          <w:color w:val="auto"/>
        </w:rPr>
      </w:pPr>
    </w:p>
    <w:p>
      <w:pPr>
        <w:ind w:right="440" w:firstLine="451"/>
        <w:spacing w:after="0" w:line="243" w:lineRule="auto"/>
        <w:rPr>
          <w:sz w:val="20"/>
          <w:szCs w:val="20"/>
          <w:color w:val="auto"/>
        </w:rPr>
      </w:pPr>
      <w:r>
        <w:rPr>
          <w:rFonts w:ascii="Courier New" w:cs="Courier New" w:eastAsia="Courier New" w:hAnsi="Courier New"/>
          <w:sz w:val="15"/>
          <w:szCs w:val="15"/>
          <w:color w:val="auto"/>
        </w:rPr>
        <w:t>Combined and separate results of operations of the Company and Envirofil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USA WASTE</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ENVIROFIL</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r>
      <w:tr>
        <w:trPr>
          <w:trHeight w:val="173"/>
        </w:trPr>
        <w:tc>
          <w:tcPr>
            <w:tcW w:w="2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9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9"/>
              </w:rPr>
              <w:t>Three months ended March 31,</w:t>
            </w:r>
          </w:p>
        </w:tc>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2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 (unaudited):</w:t>
            </w: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Operating revenues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$24,731,000</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$ 13,473,000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w:t>
            </w:r>
          </w:p>
        </w:tc>
      </w:tr>
      <w:tr>
        <w:trPr>
          <w:trHeight w:val="173"/>
        </w:trPr>
        <w:tc>
          <w:tcPr>
            <w:tcW w:w="2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2,264,000</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439,000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8"/>
              </w:rPr>
              <w:t>Year ended December 31,</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29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Operating revenues............</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78,137,000</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15,616,000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9,582,000</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(4,392,000)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8"/>
              </w:rPr>
              <w:t>Year ended December 31,</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(Envirofil as of June</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2060" w:type="dxa"/>
            <w:vAlign w:val="bottom"/>
          </w:tcPr>
          <w:p>
            <w:pPr>
              <w:ind w:left="440"/>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Operating revenues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52,236,000</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4,813,000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Income (loss) from</w:t>
            </w: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29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7,344,000</w:t>
            </w:r>
          </w:p>
        </w:tc>
        <w:tc>
          <w:tcPr>
            <w:tcW w:w="1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(10,109,000)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10,066,000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29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7,344,000</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854,000</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F-10</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COMBINED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$38,204,000</w:t>
      </w:r>
    </w:p>
    <w:p>
      <w:pPr>
        <w:spacing w:after="0" w:line="14"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2,703,000</w:t>
      </w:r>
    </w:p>
    <w:p>
      <w:pPr>
        <w:spacing w:after="0" w:line="177"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93,753,000</w:t>
      </w:r>
    </w:p>
    <w:p>
      <w:pPr>
        <w:spacing w:after="0" w:line="3"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5,190,000</w:t>
      </w: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57,049,000</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(2,765,000)</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10,066,000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8,198,000</w:t>
      </w:r>
    </w:p>
    <w:p>
      <w:pPr>
        <w:sectPr>
          <w:pgSz w:w="11900" w:h="16838" w:orient="portrait"/>
          <w:cols w:equalWidth="0" w:num="2">
            <w:col w:w="7380" w:space="640"/>
            <w:col w:w="2199"/>
          </w:cols>
          <w:pgMar w:left="240" w:top="291"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163</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connection with the acquisition, Envirofil changed its fiscal year end from June 30 to December 31 to conform with the Company's year end. Envirofil's operating results for the six months ended June 30, 1993 were included in both the statements of income for the years ended December 31, 1992 and 1993. The following is a condensed consolidated statement of income for Envirofil for the six months ended June 30, 1993:</w:t>
      </w:r>
    </w:p>
    <w:p>
      <w:pPr>
        <w:spacing w:after="0" w:line="200" w:lineRule="exact"/>
        <w:rPr>
          <w:sz w:val="20"/>
          <w:szCs w:val="20"/>
          <w:color w:val="auto"/>
        </w:rPr>
      </w:pPr>
    </w:p>
    <w:p>
      <w:pPr>
        <w:spacing w:after="0" w:line="323"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5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$ 3,482,000</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6,390,000</w:t>
            </w:r>
          </w:p>
        </w:tc>
      </w:tr>
      <w:tr>
        <w:trPr>
          <w:trHeight w:val="173"/>
        </w:trPr>
        <w:tc>
          <w:tcPr>
            <w:tcW w:w="65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(2,908,000)</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(152,000)</w:t>
            </w:r>
          </w:p>
        </w:tc>
      </w:tr>
      <w:tr>
        <w:trPr>
          <w:trHeight w:val="173"/>
        </w:trPr>
        <w:tc>
          <w:tcPr>
            <w:tcW w:w="65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580" w:type="dxa"/>
            <w:vAlign w:val="bottom"/>
          </w:tcPr>
          <w:p>
            <w:pPr>
              <w:spacing w:after="0"/>
              <w:rPr>
                <w:sz w:val="20"/>
                <w:szCs w:val="20"/>
                <w:color w:val="auto"/>
              </w:rPr>
            </w:pPr>
            <w:r>
              <w:rPr>
                <w:rFonts w:ascii="Courier New" w:cs="Courier New" w:eastAsia="Courier New" w:hAnsi="Courier New"/>
                <w:sz w:val="15"/>
                <w:szCs w:val="15"/>
                <w:color w:val="auto"/>
              </w:rPr>
              <w:t>Adjustment to change fiscal year end....................................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$(3,060,000)</w:t>
            </w:r>
          </w:p>
        </w:tc>
      </w:tr>
      <w:tr>
        <w:trPr>
          <w:trHeight w:val="173"/>
        </w:trPr>
        <w:tc>
          <w:tcPr>
            <w:tcW w:w="65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consolidated financial statements for 1992 include Envirofil's operating results for the year ended June 30, 1993, and have not been restated for the change in fiscal year of Envirofil. Costs related to the acquisition of $3,782,000 were charged to expense in the quarter the acquisition was consummated.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Poolings of Interests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September 30, 1993, the Company acquired Soil Remediation of Philadelphia, Inc. ("SRI") in a transaction accounted for as a pooling of interests. The Company acquired all the common stock of SRI in exchange for 800,000 shares of the Company's common stock and the assumption of approximately $9,000,000 of SRI's indebtedness. SRI owns and operates a thermal remediation facility in Pennsylvania. Since SRI commenced operations in the fall of 1992, the combined results of operations for the Company for 1992 are not significantly different than previously reported. Accordingly, the Company restated its balance sheet to include SRI as of December 31, 1992, but the related statements of income and cash flows relating to prior periods have not been restated. The results of operations of SRI for the nine months prior to the combination are -- Operating revenues $5,008,000; Net income $1,110,000.</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May 1, 1993, the Company acquired all of the outstanding common stock of Custom Disposal Services, Inc., ("Custom") in exchange for 262,231 shares of its common stock. At the time of its acquisition, Custom was controlled by affiliates of the Company. This transaction was accounted for in a manner similar to a pooling of interests. The results of the combined operations for the periods prior to the combination were not significantly different than previously reported, and accordingly, were not restated for prior periods (see Note 11). Effective September 30, 1994, the Company sold substantially all of Custom's assets.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Purchases</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During 1994, the Company made several acquisitions that were accounted for under the purchase method of accounting. Results of operations of companies that were acquired and subject to purchase accounting are included from the dates of acquisition. The total costs related to the acquisitions accounted for under the purchase method were $49,033,000 in 1994.</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Of the 1994 purchases, the most significant transaction occurred on February 28, 1994. The Company acquired businesses in New Jersey that provide collection and recycling services to residential and commercial customers in central New Jersey. The aggregate purchase price for the businesses acquired consisted of approximately $15,930,000 in cash and 1,738,000 shares of Envirofil common stock (347,600 shares of the Company's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The excess</w:t>
            </w:r>
          </w:p>
        </w:tc>
        <w:tc>
          <w:tcPr>
            <w:tcW w:w="5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the aggregate purchase price over the fair value of net</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assets acquired</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for 1994 acquisitions</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w w:val="99"/>
              </w:rPr>
              <w:t>was approximately $23,957,000 and is being</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amortized over twenty-five years on a</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straight-line basis. The purchase price</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allocations are</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subject to adjustment</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during the allocation period as necessary</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when information becomes available to</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define and quantify assets acquired and</w:t>
            </w:r>
          </w:p>
        </w:tc>
      </w:tr>
      <w:tr>
        <w:trPr>
          <w:trHeight w:val="173"/>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assumed.</w:t>
            </w:r>
          </w:p>
        </w:tc>
        <w:tc>
          <w:tcPr>
            <w:tcW w:w="3820" w:type="dxa"/>
            <w:vAlign w:val="bottom"/>
          </w:tcPr>
          <w:p>
            <w:pPr>
              <w:spacing w:after="0"/>
              <w:rPr>
                <w:sz w:val="15"/>
                <w:szCs w:val="15"/>
                <w:color w:val="auto"/>
              </w:rPr>
            </w:pPr>
          </w:p>
        </w:tc>
      </w:tr>
      <w:tr>
        <w:trPr>
          <w:trHeight w:val="347"/>
        </w:trPr>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F-11</w:t>
            </w:r>
          </w:p>
        </w:tc>
      </w:tr>
    </w:tbl>
    <w:p>
      <w:pPr>
        <w:sectPr>
          <w:pgSz w:w="11900" w:h="16838" w:orient="portrait"/>
          <w:cols w:equalWidth="0" w:num="1">
            <w:col w:w="10219"/>
          </w:cols>
          <w:pgMar w:left="240" w:top="291"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Results of Operations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following summarized unaudited pro forma results of operations assumes 1993 and 1994 acquisitions had occurred at the beginning of 1993:</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5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Operating revenues......................................</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$160,568,000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$182,220,000</w:t>
            </w:r>
          </w:p>
        </w:tc>
      </w:tr>
      <w:tr>
        <w:trPr>
          <w:trHeight w:val="173"/>
        </w:trPr>
        <w:tc>
          <w:tcPr>
            <w:tcW w:w="55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Income from continuing operations.......................</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$ 10,228,000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$ 13,874,000</w:t>
            </w:r>
          </w:p>
        </w:tc>
      </w:tr>
      <w:tr>
        <w:trPr>
          <w:trHeight w:val="173"/>
        </w:trPr>
        <w:tc>
          <w:tcPr>
            <w:tcW w:w="55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Earnings per common share from continuing operations....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3"/>
        </w:trPr>
        <w:tc>
          <w:tcPr>
            <w:tcW w:w="55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580" w:type="dxa"/>
            <w:vAlign w:val="bottom"/>
          </w:tcPr>
          <w:p>
            <w:pPr>
              <w:spacing w:after="0"/>
              <w:rPr>
                <w:sz w:val="20"/>
                <w:szCs w:val="20"/>
                <w:color w:val="auto"/>
              </w:rPr>
            </w:pPr>
            <w:r>
              <w:rPr>
                <w:rFonts w:ascii="Courier New" w:cs="Courier New" w:eastAsia="Courier New" w:hAnsi="Courier New"/>
                <w:sz w:val="15"/>
                <w:szCs w:val="15"/>
                <w:color w:val="auto"/>
              </w:rPr>
              <w:t>3. PROPERTY AND EQUIPMENT:</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7"/>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consists of the following:</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94"/>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24"/>
                <w:szCs w:val="2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Disposal sites, including costs incurred for expansion</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w w:val="99"/>
              </w:rPr>
              <w:t>projects in process of $7,290,000 and $20,991,000.......</w:t>
            </w: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$ 73,293,000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$100,446,000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w w:val="99"/>
              </w:rPr>
              <w:t>Vehicles..................................................</w:t>
            </w: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28,519,000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30,423,000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w w:val="99"/>
              </w:rPr>
              <w:t>Machinery and equipment...................................</w:t>
            </w: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17,318,000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22,150,000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w w:val="99"/>
              </w:rPr>
              <w:t>Containers................................................</w:t>
            </w: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15,056,000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20,488,000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w w:val="99"/>
              </w:rPr>
              <w:t>Buildings and improvements................................</w:t>
            </w: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13,595,000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14,377,000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w w:val="99"/>
              </w:rPr>
              <w:t>Furniture and fixtures....................................</w:t>
            </w: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1,940,000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2,490,000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w w:val="99"/>
              </w:rPr>
              <w:t>Land......................................................</w:t>
            </w: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15,805,000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20,291,000</w:t>
            </w:r>
          </w:p>
        </w:tc>
      </w:tr>
      <w:tr>
        <w:trPr>
          <w:trHeight w:val="173"/>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165,526,000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210,665,000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16,429,000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28,250,000</w:t>
            </w:r>
          </w:p>
        </w:tc>
      </w:tr>
      <w:tr>
        <w:trPr>
          <w:trHeight w:val="173"/>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$149,097,000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$182,415,000</w:t>
            </w:r>
          </w:p>
        </w:tc>
      </w:tr>
      <w:tr>
        <w:trPr>
          <w:trHeight w:val="173"/>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580" w:type="dxa"/>
            <w:vAlign w:val="bottom"/>
          </w:tcPr>
          <w:p>
            <w:pPr>
              <w:spacing w:after="0"/>
              <w:rPr>
                <w:sz w:val="20"/>
                <w:szCs w:val="20"/>
                <w:color w:val="auto"/>
              </w:rPr>
            </w:pPr>
            <w:r>
              <w:rPr>
                <w:rFonts w:ascii="Courier New" w:cs="Courier New" w:eastAsia="Courier New" w:hAnsi="Courier New"/>
                <w:sz w:val="15"/>
                <w:szCs w:val="15"/>
                <w:color w:val="auto"/>
              </w:rPr>
              <w:t>4. LONG-TERM DEBT:</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7"/>
        </w:trPr>
        <w:tc>
          <w:tcPr>
            <w:tcW w:w="5580" w:type="dxa"/>
            <w:vAlign w:val="bottom"/>
          </w:tcPr>
          <w:p>
            <w:pPr>
              <w:ind w:left="440"/>
              <w:spacing w:after="0"/>
              <w:rPr>
                <w:sz w:val="20"/>
                <w:szCs w:val="20"/>
                <w:color w:val="auto"/>
              </w:rPr>
            </w:pPr>
            <w:r>
              <w:rPr>
                <w:rFonts w:ascii="Courier New" w:cs="Courier New" w:eastAsia="Courier New" w:hAnsi="Courier New"/>
                <w:sz w:val="15"/>
                <w:szCs w:val="15"/>
                <w:color w:val="auto"/>
              </w:rPr>
              <w:t>Long-term debt consists of the following:</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94"/>
        </w:trPr>
        <w:tc>
          <w:tcPr>
            <w:tcW w:w="5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24"/>
                <w:szCs w:val="2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5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Revolving credit facility...............................</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$ 55,500,000</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$ 98,000,000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8 1/2% Convertible Subordinated Debentures..............</w:t>
            </w:r>
          </w:p>
        </w:tc>
        <w:tc>
          <w:tcPr>
            <w:tcW w:w="1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49,000,000</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49,000,000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Other, at an average rate of 7.97% due through 2001.....</w:t>
            </w:r>
          </w:p>
        </w:tc>
        <w:tc>
          <w:tcPr>
            <w:tcW w:w="1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10,674,000</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8,733,000</w:t>
            </w:r>
          </w:p>
        </w:tc>
      </w:tr>
      <w:tr>
        <w:trPr>
          <w:trHeight w:val="173"/>
        </w:trPr>
        <w:tc>
          <w:tcPr>
            <w:tcW w:w="55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115,174,000</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155,733,000</w:t>
            </w:r>
          </w:p>
        </w:tc>
      </w:tr>
      <w:tr>
        <w:trPr>
          <w:trHeight w:val="173"/>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Less current maturities.................................</w:t>
            </w:r>
          </w:p>
        </w:tc>
        <w:tc>
          <w:tcPr>
            <w:tcW w:w="1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3,559,000</w:t>
            </w:r>
          </w:p>
        </w:tc>
        <w:tc>
          <w:tcPr>
            <w:tcW w:w="18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1,830,000</w:t>
            </w:r>
          </w:p>
        </w:tc>
      </w:tr>
      <w:tr>
        <w:trPr>
          <w:trHeight w:val="173"/>
        </w:trPr>
        <w:tc>
          <w:tcPr>
            <w:tcW w:w="55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5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$111,615,000</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$153,903,000</w:t>
            </w:r>
          </w:p>
        </w:tc>
      </w:tr>
      <w:tr>
        <w:trPr>
          <w:trHeight w:val="173"/>
        </w:trPr>
        <w:tc>
          <w:tcPr>
            <w:tcW w:w="55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w:t>
            </w:r>
          </w:p>
        </w:tc>
      </w:tr>
      <w:tr>
        <w:trPr>
          <w:trHeight w:val="520"/>
        </w:trPr>
        <w:tc>
          <w:tcPr>
            <w:tcW w:w="702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9"/>
              </w:rPr>
              <w:t>On May 26, 1994, and in connection with the acquisition of Envirofil, the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7020" w:type="dxa"/>
            <w:vAlign w:val="bottom"/>
            <w:gridSpan w:val="3"/>
          </w:tcPr>
          <w:p>
            <w:pPr>
              <w:spacing w:after="0"/>
              <w:rPr>
                <w:sz w:val="20"/>
                <w:szCs w:val="20"/>
                <w:color w:val="auto"/>
              </w:rPr>
            </w:pPr>
            <w:r>
              <w:rPr>
                <w:rFonts w:ascii="Courier New" w:cs="Courier New" w:eastAsia="Courier New" w:hAnsi="Courier New"/>
                <w:sz w:val="15"/>
                <w:szCs w:val="15"/>
                <w:color w:val="auto"/>
              </w:rPr>
              <w:t>Company entered into a new revolving credit facility with three major banks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7020" w:type="dxa"/>
            <w:vAlign w:val="bottom"/>
            <w:gridSpan w:val="3"/>
          </w:tcPr>
          <w:p>
            <w:pPr>
              <w:spacing w:after="0"/>
              <w:rPr>
                <w:sz w:val="20"/>
                <w:szCs w:val="20"/>
                <w:color w:val="auto"/>
              </w:rPr>
            </w:pPr>
            <w:r>
              <w:rPr>
                <w:rFonts w:ascii="Courier New" w:cs="Courier New" w:eastAsia="Courier New" w:hAnsi="Courier New"/>
                <w:sz w:val="15"/>
                <w:szCs w:val="15"/>
                <w:color w:val="auto"/>
              </w:rPr>
              <w:t>providing for borrowings of up to $110,000,000 to replace two separate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7020" w:type="dxa"/>
            <w:vAlign w:val="bottom"/>
            <w:gridSpan w:val="3"/>
          </w:tcPr>
          <w:p>
            <w:pPr>
              <w:spacing w:after="0"/>
              <w:rPr>
                <w:sz w:val="20"/>
                <w:szCs w:val="20"/>
                <w:color w:val="auto"/>
              </w:rPr>
            </w:pPr>
            <w:r>
              <w:rPr>
                <w:rFonts w:ascii="Courier New" w:cs="Courier New" w:eastAsia="Courier New" w:hAnsi="Courier New"/>
                <w:sz w:val="15"/>
                <w:szCs w:val="15"/>
                <w:color w:val="auto"/>
                <w:w w:val="99"/>
              </w:rPr>
              <w:t>facilities providing for combined borrowings of up to $65,000,000. On November</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28, 1994, the Company renegotiated the revolving credit facility to provide for borrowings of up to $150,000,000. At the Company's option, the interest rate on any loan under the revolving credit facility will be based on an adjusted prime rate or Eurodollar rate, as defined in the agreement. The facility matures on November 30, 1997. The Company's borrowing rate was 7.74% as of December 31, 1994. The revolving credit facility, among other conditions, requires the payment of a 3/8 of 1% commitment fee on the unused balance, payable in arrears, and provides for certain restrictions on the ability of the Company to incur borrowings, sell assets, or pay cash</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91" w:right="1440" w:bottom="1440" w:gutter="0" w:footer="0" w:header="0"/>
        </w:sectPr>
      </w:pPr>
    </w:p>
    <w:bookmarkStart w:id="168" w:name="page169"/>
    <w:bookmarkEnd w:id="168"/>
    <w:p>
      <w:pPr>
        <w:ind w:left="268"/>
        <w:spacing w:after="0"/>
        <w:rPr>
          <w:sz w:val="20"/>
          <w:szCs w:val="20"/>
          <w:color w:val="auto"/>
        </w:rPr>
      </w:pPr>
      <w:r>
        <w:rPr>
          <w:rFonts w:ascii="Courier New" w:cs="Courier New" w:eastAsia="Courier New" w:hAnsi="Courier New"/>
          <w:sz w:val="15"/>
          <w:szCs w:val="15"/>
          <w:color w:val="auto"/>
        </w:rPr>
        <w:t>165</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dividends. The facility also requires the maintenance of certain financial ratios, including interest coverage ratios, minimum net worth requirements, and profitable operations. The facility is collateralized by all the stock of the Company's subsidiaries, whether now owned or hereafter acquired.</w:t>
      </w:r>
    </w:p>
    <w:p>
      <w:pPr>
        <w:spacing w:after="0" w:line="176"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In September 1992, the Company issued $49,000,000 of 8 1/2% Convertible Subordinated Debentures due October 15, 2002 in an underwritten public offering. Interest on the bonds is payable semi-annually. The bonds are convertible into the Company's Common Stock at any time on or before maturity, unless previously redeemed, at $13.25 per share, subject to adjustment in certain events. The bonds are redeemable at the option of the Company, in whole or in part, at any time on or after October 15, 1995, at an original redemption price of 105.67% of the principal amount, declining to par over the term of the bonds. The bonds are subordinated to all existing and future indebtedness of the Company and do not restrict the incurrence of additional senior debt. The proceeds from the issuance of the bonds were used to retire existing indebtedness of approximately $28,000,000, for acquisitions, and other general corporate purposes.</w:t>
      </w:r>
    </w:p>
    <w:p>
      <w:pPr>
        <w:spacing w:after="0" w:line="16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Long-term debt maturities in each of the five years subsequent to December 31, 1994, are: 1995 -- $1,830,000; 1996 -- $2,110,000; 1997 -- $101,420,000; 1998 -- $860,000; and 1999 -- $420,000.</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 PREFERRED STOCK:</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Board of Directors is authorized to provide for the issuance of the preferred stock in series; and with respect to each series, to fix its designation, relative rights (including voting, dividend, conversion, sinking fund and redemption rights), preferences (including with respect to dividends and upon liquidation) and limitations. The Company currently has no issued or outstanding preferred stock.</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contemplation of the transaction between the Company and Envirofil, the Envirofil preferred shareholders converted all of their preferred stock into shares of Envirofil common stock, which were subsequently exchanged for shares of the Company's common stock.</w:t>
      </w:r>
    </w:p>
    <w:p>
      <w:pPr>
        <w:spacing w:after="0" w:line="176" w:lineRule="exact"/>
        <w:rPr>
          <w:sz w:val="20"/>
          <w:szCs w:val="20"/>
          <w:color w:val="auto"/>
        </w:rPr>
      </w:pPr>
    </w:p>
    <w:p>
      <w:pPr>
        <w:ind w:left="8" w:right="6899" w:hanging="8"/>
        <w:spacing w:after="0" w:line="488" w:lineRule="auto"/>
        <w:tabs>
          <w:tab w:leader="none" w:pos="27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OPTIONS AND WARRANTS: Options</w:t>
      </w:r>
    </w:p>
    <w:p>
      <w:pPr>
        <w:spacing w:after="0" w:line="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1990, the Company's shareholders adopted the 1990 Stock Option Plan (the "1990 Plan"). A total of 900,000 shares may be issued under the Plan. In 1993, the Company adopted the 1993 Stock Option Incentive Plan (the "1993 Plan"), which allows the Company to grant up to 1,000,000 options to officers, directors and key employees. Stock options have been granted under the 1990 and 1993 Plans at an exercise price which equals or exceeds the fair market value of the common stock on the date of grant. No options are available for future grant under the 1990 Plan.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March 1993, the stockholders of Envirofil approved the adoption of the Envirofil Employees' 1993 Stock Option Plan (the "1993 Envirofil Plan"). Under the 1993 Envirofil Plan, options may be granted to purchase up to an aggregate of 600,000 shares of Common Stock of the Company. The 1993 Envirofil Plan will terminate in January 2003. Under the terms of the 1993 Envirofil Plan, options may be granted at an exercise price per share not less than the fair market value of the Common Stock. On May 27, 1994, Envirofil had outstanding options to purchase 443,182 shares under the 1993 Envirofil Plan. No additional options will be issued under such plan.</w:t>
      </w:r>
    </w:p>
    <w:p>
      <w:pPr>
        <w:spacing w:after="0" w:line="17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7"/>
          </w:cols>
          <w:pgMar w:left="232" w:top="291"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166</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following table summarizes activity under the Company's stock option plans:</w:t>
      </w:r>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1992</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46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Outstanding, beginning.............................</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487,825</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464,500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1,130,682</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34,000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682,182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324,000</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(51,225)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(98,700)</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(189,100)</w:t>
            </w:r>
          </w:p>
        </w:tc>
      </w:tr>
      <w:tr>
        <w:trPr>
          <w:trHeight w:val="173"/>
        </w:trPr>
        <w:tc>
          <w:tcPr>
            <w:tcW w:w="46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Outstanding, end of year...........................</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464,500</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1,130,682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1,166,882</w:t>
            </w:r>
          </w:p>
        </w:tc>
      </w:tr>
      <w:tr>
        <w:trPr>
          <w:trHeight w:val="173"/>
        </w:trPr>
        <w:tc>
          <w:tcPr>
            <w:tcW w:w="46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option prices of shares exercised during 1992, 1993 and 1994 were from $2.50 to $9.00 in 1992, $6.00 in 1993, and from $2.50 to $14.00 in 1994. As of December 31, 1994, 472,556 of the options outstanding are exercisable at prices ranging from $5.00 to $19.39 per share. The Company holds 149,285 shares of its common stock in treasury as of December 31, 1994, for future distribution upon exercise of options under the plans.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issued 3,138,864 common stock warrants expiring through</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2002 in connection with private placements of debt and equity securities, acquisitions of businesses, bank borrowings, reorganizations, and certain employment agreements. Transactions involving common stock warrants during each of the two years ended December 31, 1994, are summarized as follows:</w:t>
      </w:r>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EXERCISE</w:t>
            </w:r>
          </w:p>
        </w:tc>
      </w:tr>
      <w:tr>
        <w:trPr>
          <w:trHeight w:val="173"/>
        </w:trPr>
        <w:tc>
          <w:tcPr>
            <w:tcW w:w="532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WARRANTS</w:t>
            </w:r>
          </w:p>
        </w:tc>
        <w:tc>
          <w:tcPr>
            <w:tcW w:w="13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532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Outstanding at December 31, 1992..........................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1,822,232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$ 0.55-$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17.50</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406,632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$ 1.25-$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10.00</w:t>
            </w:r>
          </w:p>
        </w:tc>
      </w:tr>
      <w:tr>
        <w:trPr>
          <w:trHeight w:val="173"/>
        </w:trPr>
        <w:tc>
          <w:tcPr>
            <w:tcW w:w="532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Outstanding at December 31, 1993..........................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2,228,864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$ 0.55-$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17.50</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910,000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12.88</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(443,399)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$ 0.55-$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r>
      <w:tr>
        <w:trPr>
          <w:trHeight w:val="173"/>
        </w:trPr>
        <w:tc>
          <w:tcPr>
            <w:tcW w:w="532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Outstanding at December 31, 1994..........................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2,695,465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$ 1.25-$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17.50</w:t>
            </w:r>
          </w:p>
        </w:tc>
      </w:tr>
      <w:tr>
        <w:trPr>
          <w:trHeight w:val="173"/>
        </w:trPr>
        <w:tc>
          <w:tcPr>
            <w:tcW w:w="532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Expense</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1992 and 1993, Envirofil granted certain options and warrants with exercise prices that were less than the fair market value of Envirofil's common stock at the date of the grant of the options or warrants or the renegotiation of the exercise price of warrants previously granted. Stock compensation expense has been recorded to the extent that the exercise prices of the vested options or warrants were less than the fair market value of Envirofil's common stock at the date of the renegotiation of the exercise price reduction or the granting of the options or warrants. As a result, charges of $5,249,000 and $923,000 were recorded as stock compensation expense in the consolidated statement of operations for the years ended December 31, 1992 and 1993, respectively. The offset to these charges was an increase in additional paid-in capital.</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1992</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1993</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432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$3,012,000</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$4,418,000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$7,560,000</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943,000</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995,000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3"/>
        </w:trPr>
        <w:tc>
          <w:tcPr>
            <w:tcW w:w="432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$3,955,000</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$5,413,000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$7,760,000</w:t>
            </w:r>
          </w:p>
        </w:tc>
      </w:tr>
      <w:tr>
        <w:trPr>
          <w:trHeight w:val="173"/>
        </w:trPr>
        <w:tc>
          <w:tcPr>
            <w:tcW w:w="432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1" w:right="1440" w:bottom="1086" w:gutter="0" w:footer="0" w:header="0"/>
        </w:sectPr>
      </w:pPr>
    </w:p>
    <w:p>
      <w:pPr>
        <w:spacing w:after="0" w:line="1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19"/>
          </w:cols>
          <w:pgMar w:left="240" w:top="291" w:right="1440" w:bottom="1086" w:gutter="0" w:footer="0" w:header="0"/>
          <w:type w:val="continuous"/>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167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Deferred income taxes are primarily attributable to the temporary differences in reporting depreciation and amortization for financial and tax purposes. The difference in the federal income tax rate and the effective income tax rate for the years presented above is as follows:</w:t>
      </w:r>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1992</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68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Losses for which no tax benefit was provided..................</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288.8</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13.9</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State and local taxes.........................................</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16.0</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568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332.4%</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35.9%</w:t>
            </w:r>
          </w:p>
        </w:tc>
      </w:tr>
      <w:tr>
        <w:trPr>
          <w:trHeight w:val="173"/>
        </w:trPr>
        <w:tc>
          <w:tcPr>
            <w:tcW w:w="568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1993, the current provision for income taxes includes a distribution to the former sole shareholder of SRI to fund the tax provision for the period prior to SRI's acquisition by the Company.</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of December 31, 1994, the Company has approximately $8,200,000 of net operating loss carryforwards that may be offset against future taxable income. These carryforwards will begin to expire in 1998. The utilization of these net operating loss carryforwards are subject to annual limitations due to ownership changes upon the Company's acquisition of certain entities.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net deferred tax liability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1993</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14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Property and equipment, net...........................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$11,136,000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$ 9,352,000</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and other intangibles..........................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4,725,000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8,540,000</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1,191,000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3,954,000</w:t>
            </w:r>
          </w:p>
        </w:tc>
      </w:tr>
      <w:tr>
        <w:trPr>
          <w:trHeight w:val="173"/>
        </w:trPr>
        <w:tc>
          <w:tcPr>
            <w:tcW w:w="514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deferred tax liabilities................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17,052,000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21,846,000</w:t>
            </w:r>
          </w:p>
        </w:tc>
      </w:tr>
      <w:tr>
        <w:trPr>
          <w:trHeight w:val="173"/>
        </w:trPr>
        <w:tc>
          <w:tcPr>
            <w:tcW w:w="514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operating loss carryforwards......................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4,048,000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3,125,000</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Closure, post-closure and other liabilities...........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2,641,000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5,107,000</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1,032,000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458,000</w:t>
            </w:r>
          </w:p>
        </w:tc>
      </w:tr>
      <w:tr>
        <w:trPr>
          <w:trHeight w:val="173"/>
        </w:trPr>
        <w:tc>
          <w:tcPr>
            <w:tcW w:w="514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deferred tax assets.....................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7,721,000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8,690,000</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Valuation allowance...................................</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(2,511,000)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(2,636,000)</w:t>
            </w:r>
          </w:p>
        </w:tc>
      </w:tr>
      <w:tr>
        <w:trPr>
          <w:trHeight w:val="173"/>
        </w:trPr>
        <w:tc>
          <w:tcPr>
            <w:tcW w:w="514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deferred tax assets.......................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5,210,000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6,054,000</w:t>
            </w:r>
          </w:p>
        </w:tc>
      </w:tr>
      <w:tr>
        <w:trPr>
          <w:trHeight w:val="173"/>
        </w:trPr>
        <w:tc>
          <w:tcPr>
            <w:tcW w:w="514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deferred tax liability..............................</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$11,842,000</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$15,792,000</w:t>
            </w:r>
          </w:p>
        </w:tc>
      </w:tr>
      <w:tr>
        <w:trPr>
          <w:trHeight w:val="173"/>
        </w:trPr>
        <w:tc>
          <w:tcPr>
            <w:tcW w:w="514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BUSINESS SEGMENT INFORMATION:</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Company operates in one business segment providing waste collection, transfer, disposal, soil remediation and recycling services to municipal, commercial, industrial, and residential customers.</w:t>
      </w:r>
    </w:p>
    <w:p>
      <w:pPr>
        <w:spacing w:after="0" w:line="175" w:lineRule="exact"/>
        <w:rPr>
          <w:sz w:val="20"/>
          <w:szCs w:val="20"/>
          <w:color w:val="auto"/>
        </w:rPr>
      </w:pPr>
    </w:p>
    <w:p>
      <w:pPr>
        <w:ind w:right="3739" w:firstLine="451"/>
        <w:spacing w:after="0" w:line="243" w:lineRule="auto"/>
        <w:rPr>
          <w:sz w:val="20"/>
          <w:szCs w:val="20"/>
          <w:color w:val="auto"/>
        </w:rPr>
      </w:pPr>
      <w:r>
        <w:rPr>
          <w:rFonts w:ascii="Courier New" w:cs="Courier New" w:eastAsia="Courier New" w:hAnsi="Courier New"/>
          <w:sz w:val="15"/>
          <w:szCs w:val="15"/>
          <w:color w:val="auto"/>
        </w:rPr>
        <w:t>During 1992, 1993 and 1994, there were no individual customers that accounted for more than 10% of operating revenues.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FAIR VALUE OF FINANCIAL INSTRUMENTS: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following disclosures of the fair value of financial instruments are presented in accordance with the requirements of Statement of Financial Accounting Standards No. 107, "Disclosures About Fair Value of</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91"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168</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Financial Instruments." The estimated fair value amounts have been determined by the Company using available market data and valuation methodologies.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December 31, 1994, the estimated fair value of the 8 1/2% Convertible Subordinated Debentures due 2002 of $48,265,000 is based on a quoted market price. The book values of the revolving credit facility and other notes payable approximate their fair value.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book values of cash, trade accounts receivable, trade accounts payable and financial instruments included in notes and other receivables and other assets approximate their fair values principally because of the short-term maturities of these instruments.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normal course of business, the Company has letters of credit, performance bonds, and other guarantees that are not reflected in the accompanying consolidated balance sheets. In the past, no significant claims have been made against these financial instruments. Management believes that the likelihood of performance under these financial instruments is minimal and expects no material losses to occur in connection with these financial instruments.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ENVIROFIL REORGANIZATION AND DISCONTINUED OPERATIONS: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December 1992, Envirofil completed a financial and management reorganization that effectively recapitalized Envirofil and provided it with a new management team. The reorganization included the following items:</w:t>
      </w:r>
    </w:p>
    <w:p>
      <w:pPr>
        <w:spacing w:after="0" w:line="175" w:lineRule="exact"/>
        <w:rPr>
          <w:sz w:val="20"/>
          <w:szCs w:val="20"/>
          <w:color w:val="auto"/>
        </w:rPr>
      </w:pPr>
    </w:p>
    <w:p>
      <w:pPr>
        <w:ind w:left="620" w:right="3199" w:hanging="177"/>
        <w:spacing w:after="0" w:line="244"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Envirofil completed a private placement of its common stock raising net proceeds of $3,388,000 from the sale of 16,000,000 shares of Envirofil common stock.</w:t>
      </w:r>
    </w:p>
    <w:p>
      <w:pPr>
        <w:spacing w:after="0" w:line="174"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Envirofil converted $10,000,000 of Convertible Subordinated Notes and</w:t>
      </w:r>
    </w:p>
    <w:p>
      <w:pPr>
        <w:spacing w:after="0" w:line="4" w:lineRule="exact"/>
        <w:rPr>
          <w:rFonts w:ascii="Courier New" w:cs="Courier New" w:eastAsia="Courier New" w:hAnsi="Courier New"/>
          <w:sz w:val="15"/>
          <w:szCs w:val="15"/>
          <w:color w:val="auto"/>
        </w:rPr>
      </w:pPr>
    </w:p>
    <w:p>
      <w:pPr>
        <w:ind w:left="62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$750,000 of Convertible Subordinated Bridge Notes together with accrued interest into 7,188,956 shares of common stock of Envirofil at a conversion rate of $1.60 per share. In addition, 521,644 shares of Convertible Preferred Stock, Series B were converted into 332,638 shares of common stock of the Company at a conversion rate of $1.60 per share. The difference between the face value of these obligations and the fair market value of the common stock issued, net of applicable deferred financing costs, plus the debt forgiven by certain of Envirofil's vendors, was recorded as extraordinary income in 1992 in the amount of $10,066,000.</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Effective June 30, 1991, Envirofil formally discontinued operations in all non-landfill related businesses. As part of the December 1992 reorganization, Envirofil sold the stock of its home medical equipment operations holding company, Med-Care Corp., and its related subsidiaries for $10 to the former Chairman, President and majority shareholder of Envirofil. Although sold for a nominal amount, due to its net liability position on the date of sale, Envirofil recorded a net gain of $897,000 on this sale. The disposition of these companies completed Envirofil's plan to liquidate all non-landfill related businesses and to concentrate on the acquisition, development and operation of non-hazardous sanitary landfills. The Company believes that Envirofil has settled or satisfied all claims and liabilities with respect to such discontinued operations, however, there can be no assurance that claims and liabilities arising out of or related to the home medical equipment business will not be made against Envirofil and will not be significant.</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part of the December 1992 reorganization, Envirofil had restructuring charges of $1,507,000. The restructuring costs primarily related to the granting of warrants with exercise prices less than the fair market value of Envirofil common stock at the date of the grant or the renegotiation of the exercise price of warrants previously granted. See Note 6.</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91"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169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RELATED PARTY TRANSACTIONS:</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The Company has invested $400,000 in EDM Corporation ("EDM"), in return for a 15% equity interest and agreed to provide a line of credit of up to $5,600,000 to EDM at an interest rate equal to the greater of 8 1/2% or the prime rate plus two percent. The Company has a right of first refusal to acquire any landfills, collection, or other operations that EDM wishes to sell.</w:t>
      </w:r>
    </w:p>
    <w:p>
      <w:pPr>
        <w:spacing w:after="0" w:line="177"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In February 1993, the Company purchased a 19% equity interest in WPP, Inc., an Ohio corporation ("WPP"), for $190,000. WPP was engaged in the development of landfill projects and provided consulting, engineering, and permit acquisition services in connection with the development of landfills. On March 30, 1994, the Company purchased the remaining 81% of the outstanding capital stock of WPP from an unrelated party for $810,000. Following its acquisition of WPP, the Company sold WPP's landfill development projects to third parties.</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June 1993, Donald F. Moorehead, Jr., Chairman of the Board of the Company, acquired approximately a 5% ownership interest in EMCO Metals &amp; Recycling Corporation ("EMCO"), a company engaged in scrap metal recycling in Phoenix. In October 1993, the Company acquired certain trucks from EMCO for $191,000 and entered into a three-year service agreement to transport scrap metal for EMCO. Contemporaneously, the Company acquired certain trucks, trailers, and roll-off containers used in the collection and transportation of scrap metal from an unaffiliated entity for $998,000. In connection with its decision to leave the Phoenix market in October 1994, the Company sold the foregoing vehicles and containers to EMCO for $100,000 in cash and a note for $895,000 bearing interest at a rate of 9% per annum and payable in eleven monthly installments of principal and interest of $18,567 and a balloon payment of $765,083.</w:t>
      </w:r>
    </w:p>
    <w:p>
      <w:pPr>
        <w:spacing w:after="0" w:line="182"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In connection with the acquisition of Envirofil in May 1994, Sanders Morris Mundy Inc., ("SMMI"), in its capacity as financial advisor to Envirofil received a fee of $850,000. Prior to joining the Company, John E. Drury, Chief Executive Officer of the Company, was a Managing Director and shareholder of SMMI and remains a director. George L. Ball, a director of the Company, is Chairman of the Board and a director of SMMI. In 1992, the Company sold $46,000,000 of its 8 1/2% Convertible Subordinated Debentures due 2002 in a public offering underwritten by Dillon Read &amp; Co., Inc. and SMMI. In connection with such offering, the Company paid the underwriters commissions aggregating $1,995,000.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COMMITMENTS AND CONTINGENCIES: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obtained environmental impairment liability insurance covering certain of its disposal sites and transfer stations. The Company is in the process of securing coverage for those operations not yet insured. However, if the Company should decide to operate without insurance, or should be unable to obtain adequate insurance in the future, a partially or completely uninsured claim against the Company, if successful and of sufficient magnitude, could have a material adverse effect on the Company's business or its financial condition and results of operations.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Company has entered into employment agreements with certain of its executives and officers. These employment agreements include provisions governing compensation and benefits to be paid upon termination of employment with the Company or certain changes in control of the Company. Under certain conditions, the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91"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170</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agreements can be terminated by the Company or the employee. Upon termination of the agreement, the employee's compensation would continue at approximately 75% of the employee's prior compensation for periods ranging from three to five years. During the three to five year period the employee would be available to the Company on a part-time basis for consulting and also would not be permitted to engage in any activities in direct competition with the Company. If these executives were to be terminated without cause during 1995 or if certain executives elected to terminate their agreements, the annual compensation on a part-time basis would be approximately $1,000,000. If a change in control were to occur in 1995 and the executives elected to take the change in control payments, they would receive approximately $4,000,000. As of December 31, 1994, the Company has not recorded any accruals in the financial statements related to these employment agreements.</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has entered into certain agreements with EDM and certain other parties in which the Company has committed to advance or invest up to approximately $20,000,000 for purchase commitments, investment obligations and loans. Certain of these commitments are dependent upon the fulfillment of certain conditions by the other party prior to the Company's outlay of funds. These commitments, if ultimately fulfilled, are expected to occur over a period of one to five years. The total amount invested and advanced under these agreements amounted to $3,400,000 as of December 31, 1994.</w:t>
      </w:r>
    </w:p>
    <w:p>
      <w:pPr>
        <w:spacing w:after="0" w:line="178" w:lineRule="exact"/>
        <w:rPr>
          <w:sz w:val="20"/>
          <w:szCs w:val="20"/>
          <w:color w:val="auto"/>
        </w:rPr>
      </w:pPr>
    </w:p>
    <w:p>
      <w:pPr>
        <w:jc w:val="both"/>
        <w:ind w:right="3459" w:firstLine="451"/>
        <w:spacing w:after="0" w:line="244" w:lineRule="auto"/>
        <w:rPr>
          <w:sz w:val="20"/>
          <w:szCs w:val="20"/>
          <w:color w:val="auto"/>
        </w:rPr>
      </w:pPr>
      <w:r>
        <w:rPr>
          <w:rFonts w:ascii="Courier New" w:cs="Courier New" w:eastAsia="Courier New" w:hAnsi="Courier New"/>
          <w:sz w:val="15"/>
          <w:szCs w:val="15"/>
          <w:color w:val="auto"/>
        </w:rPr>
        <w:t>The Company is a party to litigation (other than discussed in Note 13) arising in the normal course of business. In addition, contingencies of an environmental nature currently exist at certain of its disposal sites.</w:t>
      </w:r>
    </w:p>
    <w:p>
      <w:pPr>
        <w:spacing w:after="0" w:line="2" w:lineRule="exact"/>
        <w:rPr>
          <w:sz w:val="20"/>
          <w:szCs w:val="20"/>
          <w:color w:val="auto"/>
        </w:rPr>
      </w:pPr>
    </w:p>
    <w:p>
      <w:pPr>
        <w:jc w:val="both"/>
        <w:ind w:right="3199"/>
        <w:spacing w:after="0" w:line="278" w:lineRule="auto"/>
        <w:rPr>
          <w:sz w:val="20"/>
          <w:szCs w:val="20"/>
          <w:color w:val="auto"/>
        </w:rPr>
      </w:pPr>
      <w:r>
        <w:rPr>
          <w:rFonts w:ascii="Courier New" w:cs="Courier New" w:eastAsia="Courier New" w:hAnsi="Courier New"/>
          <w:sz w:val="14"/>
          <w:szCs w:val="14"/>
          <w:color w:val="auto"/>
        </w:rPr>
        <w:t>Management believes that the ultimate outcome of these matters will not have a material effect on the Company's financial position and results of operations.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MERGER WITH CHAMBERS DEVELOPMENT COMPANY, INC.:</w:t>
      </w:r>
    </w:p>
    <w:p>
      <w:pPr>
        <w:spacing w:after="0" w:line="178" w:lineRule="exact"/>
        <w:rPr>
          <w:sz w:val="20"/>
          <w:szCs w:val="20"/>
          <w:color w:val="auto"/>
        </w:rPr>
      </w:pPr>
    </w:p>
    <w:p>
      <w:pPr>
        <w:jc w:val="both"/>
        <w:ind w:right="3199" w:firstLine="451"/>
        <w:spacing w:after="0" w:line="262" w:lineRule="auto"/>
        <w:rPr>
          <w:sz w:val="20"/>
          <w:szCs w:val="20"/>
          <w:color w:val="auto"/>
        </w:rPr>
      </w:pPr>
      <w:r>
        <w:rPr>
          <w:rFonts w:ascii="Courier New" w:cs="Courier New" w:eastAsia="Courier New" w:hAnsi="Courier New"/>
          <w:sz w:val="14"/>
          <w:szCs w:val="14"/>
          <w:color w:val="auto"/>
        </w:rPr>
        <w:t>In December 1994, the Company entered an agreement to merge with Chambers Development Company, Inc., ("Chambers"). The merger is subject to, among other conditions, approval of both companies' boards of directors and shareholders.</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Completion of the merger is expected by June 1995 and will be accounted for as a pooling of interests. The agreement provides that on the effective date of the merger the Company will issue 0.41667 of a share for each share of Chambers common stock outstanding. The Company currently has 22,678,822 shares outstanding and, after the merger, expects to have approximately 50,525,000 common shares outstanding. Following the merger, the Board of Directors will include nominees of both the Company and Chambers. Subsequent to the merger, John E. Drury will serve as Chairman of the Board and Chief Executive Officer. Donald F. Moorehead, Jr. and John G. Rangos, Sr. will become Vice Chairmen and Alexander W. Rangos will become Executive Vice President for Landfill Development. David Sutherland-Yoest will continue as President and Chief Operating Officer and Earl E. DeFrates will continue as Executive Vice President and Chief Financial Officer.</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the merger, the Company and Chambers have entered into a financing agreement to provide for the financing of certain Chambers' obligations. Under this financing agreement, the Company has agreed to accelerate debt payments and acquire certain assets of Chambers for $35,100,000 in 1995 and $45,000,000 in 1996 in the event that the merger is not consummated and Chamber is not successful in refinancing its obligations. Subsequent to December 31, 1994, and in accordance with the financing agreement, the Company has made payments to Chambers in the amount of $6,800,000.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Between November 30, 1994 and January 13, 1995, three lawsuits were filed as class actions on behalf of all security holders of Chambers. The lawsuits arise out of a proposed merger of a wholly-owned subsidiary of the Company with and into Chambers whereby Chambers will become a wholly-owned subsidiary of the Company. Named as defendants are the Company and its wholly-owned subsidiary, Envirofil, Chambers and certain officers and directors of Chambers. The lawsuits allege that the execution of the merger agreement constituted a breach of fiduciary duties by the Chambers officers and directors and that the Company and Envirofil aided and abetted those breaches. The lawsuits seek an order to enjoin the defendants from</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91" w:right="1440" w:bottom="1440" w:gutter="0" w:footer="0" w:header="0"/>
        </w:sectPr>
      </w:pPr>
    </w:p>
    <w:bookmarkStart w:id="174" w:name="page175"/>
    <w:bookmarkEnd w:id="174"/>
    <w:p>
      <w:pPr>
        <w:ind w:left="268"/>
        <w:spacing w:after="0"/>
        <w:rPr>
          <w:sz w:val="20"/>
          <w:szCs w:val="20"/>
          <w:color w:val="auto"/>
        </w:rPr>
      </w:pPr>
      <w:r>
        <w:rPr>
          <w:rFonts w:ascii="Courier New" w:cs="Courier New" w:eastAsia="Courier New" w:hAnsi="Courier New"/>
          <w:sz w:val="15"/>
          <w:szCs w:val="15"/>
          <w:color w:val="auto"/>
        </w:rPr>
        <w:t>171</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proceeding with the merger agreement as well as compensatory damages. 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177" w:lineRule="exact"/>
        <w:rPr>
          <w:sz w:val="20"/>
          <w:szCs w:val="20"/>
          <w:color w:val="auto"/>
        </w:rPr>
      </w:pPr>
    </w:p>
    <w:p>
      <w:pPr>
        <w:ind w:left="8" w:right="3019" w:hanging="8"/>
        <w:spacing w:after="0" w:line="243" w:lineRule="auto"/>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QUARTERLY FINANCIAL DATA, UNAUDITED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FIRST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SECOND</w:t>
            </w:r>
          </w:p>
        </w:tc>
        <w:tc>
          <w:tcPr>
            <w:tcW w:w="2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THIRD</w:t>
            </w: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FOURTH</w:t>
            </w:r>
          </w:p>
        </w:tc>
      </w:tr>
      <w:tr>
        <w:trPr>
          <w:trHeight w:val="173"/>
        </w:trPr>
        <w:tc>
          <w:tcPr>
            <w:tcW w:w="47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QUARTER</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QUARTER</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QUARTER</w:t>
            </w: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QUARTER</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$10,708</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$14,146</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$15,001</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$17,194</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$16,448</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$21,131</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$23,173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$33,001</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$38,205</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$44,870</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$47,134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$46,026</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for income taxes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$ 1,685</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$(3,679)</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$ 2,193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991</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$ 2,673</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$ 1,754</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$ 3,065</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$ 3,111</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$ 4,340</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$ 1,515</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$ 7,236</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$ 8,500</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862</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$(3,780)</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$ 1,142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$ 1,405</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328</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$ 2,033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$ 1,424</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$ 2,704</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$ 1,021</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$ 4,616</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$ 5,490</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Extraordinary income from forgiveness of debt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$10,066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862</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$ 6,286</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$ 1,142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$ 1,405</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328</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$ 2,033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$ 1,424</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$ 2,704</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$ 1,021</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$ 4,616</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$ 5,490</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.09</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3"/>
        </w:trPr>
        <w:tc>
          <w:tcPr>
            <w:tcW w:w="478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Amounts presented for all 1992 and 1993 quarters and the first quarter of 1994 are as restated for the pooling of interests discussed in Note 2, and are different from amounts originally reported due to the business combination with Envirofil.</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7"/>
          </w:cols>
          <w:pgMar w:left="232" w:top="291"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172</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50"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CONSOLIDATED BALANCE SHEETS</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6,613,000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7,620,000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 net.......................................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19,992,000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20,481,000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Notes and other receivables....................................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8,072,000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11,794,000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2,361,000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2,869,000</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37,038,000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42,764,000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Notes and other receivables......................................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2,462,000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2,522,000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Property and equipment, net......................................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182,415,000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181,707,000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Excess of cost over net assets of acquired businesses, net.......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73,305,000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74,363,000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intangible assets, net.....................................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14,375,000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13,798,000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assets.....................................................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13,572,000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23,070,000</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$323,167,000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$338,224,000</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LIABILITIES AND STOCKHOLDERS' EQUITY</w:t>
            </w: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$ 12,023,000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$ 11,249,000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liabilities............................................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12,783,000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8,730,000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1,783,000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2,008,000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1,830,000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1,735,000</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28,419,000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23,722,000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Revolving credit facility........................................</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98,000,000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115,000,000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Convertible subordinated debentures..............................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49,000,000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49,000,000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long-term debt.............................................</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6,903,000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3,715,000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Closure, post-closure and other liabilities......................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17,067,000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17,149,000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Deferred income taxes............................................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15,792,000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16,292,000</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215,181,000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224,878,000</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Commitments and contingencies....................................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594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Common stock, $.01 par value; 50,000,000 shares</w:t>
            </w: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22,728,548 and 22,828,159 shares issued.........</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95,758,000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96,329,000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13,962,000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18,750,000</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Less treasury stock, 149,285 shares, at cost...................</w:t>
            </w:r>
          </w:p>
        </w:tc>
        <w:tc>
          <w:tcPr>
            <w:tcW w:w="1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(1,961,000)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(1,961,000)</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107,986,000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113,346,000</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$323,167,000</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$338,224,000</w:t>
            </w:r>
          </w:p>
        </w:tc>
      </w:tr>
      <w:tr>
        <w:trPr>
          <w:trHeight w:val="173"/>
        </w:trPr>
        <w:tc>
          <w:tcPr>
            <w:tcW w:w="594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91"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173</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FOR THE THREE MONTHS</w:t>
            </w:r>
          </w:p>
        </w:tc>
      </w:tr>
      <w:tr>
        <w:trPr>
          <w:trHeight w:val="173"/>
        </w:trPr>
        <w:tc>
          <w:tcPr>
            <w:tcW w:w="6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ENDED MARCH 31,</w:t>
            </w:r>
          </w:p>
        </w:tc>
      </w:tr>
      <w:tr>
        <w:trPr>
          <w:trHeight w:val="173"/>
        </w:trPr>
        <w:tc>
          <w:tcPr>
            <w:tcW w:w="6220" w:type="dxa"/>
            <w:vAlign w:val="bottom"/>
          </w:tcPr>
          <w:p>
            <w:pPr>
              <w:spacing w:after="0"/>
              <w:rPr>
                <w:sz w:val="15"/>
                <w:szCs w:val="15"/>
                <w:color w:val="auto"/>
              </w:rPr>
            </w:pPr>
          </w:p>
        </w:tc>
        <w:tc>
          <w:tcPr>
            <w:tcW w:w="24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2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$38,205,000</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$46,508,000</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21,915,000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25,496,000</w:t>
            </w: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5,321,000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6,087,000</w:t>
            </w: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4,393,000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5,408,000</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31,629,000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36,991,000</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6,576,000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9,517,000</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 net of capitalized interest.....................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(2,457,000)</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(3,152,000)</w:t>
            </w: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1,235,000</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(2,236,000)</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(1,917,000)</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provision for income 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4,340,000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7,600,000</w:t>
            </w: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1,636,000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2,812,000</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2,704,000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4,788,000</w:t>
            </w: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Preferred dividends.................................................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available to common shareholders.............................</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$ 2,324,000</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$ 4,788,000</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0.21</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 equivalent shares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6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19,408,000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23,259,000</w:t>
            </w:r>
          </w:p>
        </w:tc>
      </w:tr>
      <w:tr>
        <w:trPr>
          <w:trHeight w:val="173"/>
        </w:trPr>
        <w:tc>
          <w:tcPr>
            <w:tcW w:w="622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91"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174</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2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3"/>
        </w:trPr>
        <w:tc>
          <w:tcPr>
            <w:tcW w:w="39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COMMON</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RETAINED</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TREASURY</w:t>
            </w:r>
          </w:p>
        </w:tc>
      </w:tr>
      <w:tr>
        <w:trPr>
          <w:trHeight w:val="173"/>
        </w:trPr>
        <w:tc>
          <w:tcPr>
            <w:tcW w:w="396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STOCK</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EARNINGS</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STOCK</w:t>
            </w:r>
          </w:p>
        </w:tc>
      </w:tr>
      <w:tr>
        <w:trPr>
          <w:trHeight w:val="173"/>
        </w:trPr>
        <w:tc>
          <w:tcPr>
            <w:tcW w:w="396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Balance, December 31, 1994.................</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$ 227,000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$95,758,000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$13,962,000</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w w:val="98"/>
              </w:rPr>
              <w:t>$(1,961,000)</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stock warrants...............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516,000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Issuance of common stock to directors....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25,000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stock options................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30,000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4,788,000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3"/>
        </w:trPr>
        <w:tc>
          <w:tcPr>
            <w:tcW w:w="3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Balance, March 31, 1995....................</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$ 228,000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$96,329,000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$18,750,000</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w w:val="98"/>
              </w:rPr>
              <w:t>$(1,961,000)</w:t>
            </w:r>
          </w:p>
        </w:tc>
      </w:tr>
      <w:tr>
        <w:trPr>
          <w:trHeight w:val="173"/>
        </w:trPr>
        <w:tc>
          <w:tcPr>
            <w:tcW w:w="396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91"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175</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2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26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FOR THE THREE MONTHS</w:t>
            </w:r>
          </w:p>
        </w:tc>
      </w:tr>
      <w:tr>
        <w:trPr>
          <w:trHeight w:val="173"/>
        </w:trPr>
        <w:tc>
          <w:tcPr>
            <w:tcW w:w="6040" w:type="dxa"/>
            <w:vAlign w:val="bottom"/>
          </w:tcPr>
          <w:p>
            <w:pPr>
              <w:spacing w:after="0"/>
              <w:rPr>
                <w:sz w:val="15"/>
                <w:szCs w:val="15"/>
                <w:color w:val="auto"/>
              </w:rPr>
            </w:pPr>
          </w:p>
        </w:tc>
        <w:tc>
          <w:tcPr>
            <w:tcW w:w="26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ENDED MARCH 31,</w:t>
            </w:r>
          </w:p>
        </w:tc>
      </w:tr>
      <w:tr>
        <w:trPr>
          <w:trHeight w:val="173"/>
        </w:trPr>
        <w:tc>
          <w:tcPr>
            <w:tcW w:w="6040" w:type="dxa"/>
            <w:vAlign w:val="bottom"/>
          </w:tcPr>
          <w:p>
            <w:pPr>
              <w:spacing w:after="0"/>
              <w:rPr>
                <w:sz w:val="15"/>
                <w:szCs w:val="15"/>
                <w:color w:val="auto"/>
              </w:rPr>
            </w:pPr>
          </w:p>
        </w:tc>
        <w:tc>
          <w:tcPr>
            <w:tcW w:w="2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$ 2,704,000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$ 4,788,000</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4,450,000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5,408,000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income taxes........................................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341,000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gain on disposal of assets...............................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(514,000)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non-cash adjustments...................................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Change in assets and liabilities, net of effects of business</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4265"/>
              <w:spacing w:after="0"/>
              <w:rPr>
                <w:sz w:val="20"/>
                <w:szCs w:val="20"/>
                <w:color w:val="auto"/>
              </w:rPr>
            </w:pPr>
            <w:r>
              <w:rPr>
                <w:rFonts w:ascii="Courier New" w:cs="Courier New" w:eastAsia="Courier New" w:hAnsi="Courier New"/>
                <w:sz w:val="15"/>
                <w:szCs w:val="15"/>
                <w:color w:val="auto"/>
              </w:rPr>
              <w:t>acquisitions:</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in accounts receivables...........................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(2,153,000)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(490,000)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in prepaid expenses and other.....................</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(508,000)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in notes and other receivables....................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(868,000)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Increase in other assets...................................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(2,778,000)</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Increase (decrease) in accounts payable and accrued</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liabilities...............................................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3,533,000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(5,489,000)</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(Decrease) increase in deferred revenues and other</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liabilities...............................................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(1,395,000)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308,000</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cash provided by operating activities.........................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6,939,000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357,000</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(16,204,000)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 expenditures............................................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(8,972,000)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(7,948,000)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Loans and advances to others....................................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(9,726,000)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Collection of loans to others...................................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sale of assets....................................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3,969,000</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cash used in investing activities.............................</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(25,075,000)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(13,614,000)</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issuance of long-term debt........................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21,121,000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17,000,000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Principal payments on long-term debt............................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(1,172,000)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(3,283,000)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exercise of stock options.........................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300,000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exercise of warrants..............................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517,000</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cash provided by financing activities.........................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20,249,000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14,264,000</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Increase in cash and cash equivalents.............................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2,113,000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1,007,000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Cash and cash equivalents at beginning of period..................</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3,235,000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6,613,000</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Cash and cash equivalents at end of period........................</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$ 5,348,000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$ 7,620,000</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Cash paid during the period for:</w:t>
            </w: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919,000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$ 2,513,000</w:t>
            </w:r>
          </w:p>
        </w:tc>
      </w:tr>
      <w:tr>
        <w:trPr>
          <w:trHeight w:val="173"/>
        </w:trPr>
        <w:tc>
          <w:tcPr>
            <w:tcW w:w="6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1,191,000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4,200,000</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291" w:right="1440" w:bottom="1440" w:gutter="0" w:footer="0" w:header="0"/>
        </w:sectPr>
      </w:pP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19"/>
          </w:cols>
          <w:pgMar w:left="240" w:top="291" w:right="1440" w:bottom="1440" w:gutter="0" w:footer="0" w:header="0"/>
          <w:type w:val="continuous"/>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176</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5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NOTES TO INTERIM CONSOLIDATED FINANCIAL STATEMENTS</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consolidated balance sheets as of March 31, 1995 and December 31, 1994, and the related consolidated statements of income for the three months ended March 31, 1995 and 1994, stockholders' equity for the three months ended March 31, 1995, and cash flows for the three months ended March 31, 1995 and 1994 are unaudited; in the opinion of management, such financial statements reflect all adjustments, consisting only of normal recurring adjustments, necessary to a fair statement of the results of the interim periods presented. The Company has restated the previously issued financial statements for the three months ended March 31, 1994 to reflect the acquisition of Envirofil, Inc. ("Envirofil") consummated May 27, 1994, and accounted for using the pooling of interests method of accounting.</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CHAMBERS ACQUISITION:</w:t>
      </w:r>
    </w:p>
    <w:p>
      <w:pPr>
        <w:spacing w:after="0" w:line="200" w:lineRule="exact"/>
        <w:rPr>
          <w:sz w:val="20"/>
          <w:szCs w:val="20"/>
          <w:color w:val="auto"/>
        </w:rPr>
      </w:pPr>
    </w:p>
    <w:p>
      <w:pPr>
        <w:spacing w:after="0" w:line="32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December 1994, the Company entered into a Plan and Agreement of Reorganization to acquire Chambers through a merger transaction. The merger is subject to, among other conditions, approval of both companies' boards of directors and shareholders. It is anticipated that the merger will be completed in June 1995 and that it will be accounted for as a pooling of interests. The Agreement provides that on the effective date of the merger the Company will issue one share of its Common Stock for every 2.4 shares of Chambers common stock outstanding. The Company currently has approximately 22,967,000 common shares outstanding and, after the merger, expects to have approximately 50,800,000 common shares outstanding. Following the merger, the Board of Directors will include nominees of both the Company and Chambers. John E. Drury will serve as Chairman and Chief Executive Officer. Donald F. Moorehead, Jr. will serve as Vice Chairman of the Board of Directors and Chief Development Officer. John G. Rangos, Sr. will serve as non-executive Vice-Chairman of the Board of Directors. David Sutherland-Yoest will continue to serve as President and Chief Operating Officer and Earl E. DeFrates will continue as Chief Financial Officer.</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LONG-TERM DEBT:</w:t>
      </w: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5140" w:type="dxa"/>
            <w:vAlign w:val="bottom"/>
          </w:tcPr>
          <w:p>
            <w:pPr>
              <w:spacing w:after="0"/>
              <w:rPr>
                <w:sz w:val="15"/>
                <w:szCs w:val="15"/>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51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$98,000,000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$115,000,000</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8 1/2% Convertible Subordinated Debentures..............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49,000,000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49,000,000</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8,733,000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5,450,000</w:t>
            </w:r>
          </w:p>
        </w:tc>
      </w:tr>
      <w:tr>
        <w:trPr>
          <w:trHeight w:val="173"/>
        </w:trPr>
        <w:tc>
          <w:tcPr>
            <w:tcW w:w="51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155,733,000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169,450,000</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1,830,000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1,735,000</w:t>
            </w:r>
          </w:p>
        </w:tc>
      </w:tr>
      <w:tr>
        <w:trPr>
          <w:trHeight w:val="173"/>
        </w:trPr>
        <w:tc>
          <w:tcPr>
            <w:tcW w:w="51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$153,903,000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$167,715,000</w:t>
            </w:r>
          </w:p>
        </w:tc>
      </w:tr>
      <w:tr>
        <w:trPr>
          <w:trHeight w:val="173"/>
        </w:trPr>
        <w:tc>
          <w:tcPr>
            <w:tcW w:w="5140" w:type="dxa"/>
            <w:vAlign w:val="bottom"/>
          </w:tcPr>
          <w:p>
            <w:pPr>
              <w:spacing w:after="0"/>
              <w:rPr>
                <w:sz w:val="15"/>
                <w:szCs w:val="15"/>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On November 28, 1994, the Company entered into a new revolving credit facility providing for borrowings of up to $150,000,000. At the Company's option, the interest rate on any loan under the revolving credit facility will be based on an adjusted prime rate or Eurodollar rate, as defined in the agreement. The facility matures on November 30, 1997. The revolving credit facility, among other conditions, requires the payment of a 3/8 of 1% commitment fee on the unused balance, payable in arrears, and provides for certain restrictions on the ability of the Company, subject to certain limitations, to incur borrowings, sell assets, or pay cash dividends. The facility also requires the maintenance of certain financial ratios, minimum net worth requirements and profitable operations. The facility is collateralized by all the stock of the Company's subsidiaries, whether now owned or hereafter acquired.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CHANGE IN ACCOUNTING ESTIMATE:</w:t>
      </w:r>
    </w:p>
    <w:p>
      <w:pPr>
        <w:sectPr>
          <w:pgSz w:w="11900" w:h="16838" w:orient="portrait"/>
          <w:cols w:equalWidth="0" w:num="1">
            <w:col w:w="10219"/>
          </w:cols>
          <w:pgMar w:left="240" w:top="291" w:right="1440" w:bottom="208" w:gutter="0" w:footer="0" w:header="0"/>
        </w:sectPr>
      </w:pPr>
    </w:p>
    <w:bookmarkStart w:id="180" w:name="page181"/>
    <w:bookmarkEnd w:id="180"/>
    <w:p>
      <w:pPr>
        <w:ind w:right="3019" w:firstLine="451"/>
        <w:spacing w:after="0" w:line="244" w:lineRule="auto"/>
        <w:rPr>
          <w:sz w:val="20"/>
          <w:szCs w:val="20"/>
          <w:color w:val="auto"/>
        </w:rPr>
      </w:pPr>
      <w:r>
        <w:rPr>
          <w:rFonts w:ascii="Courier New" w:cs="Courier New" w:eastAsia="Courier New" w:hAnsi="Courier New"/>
          <w:sz w:val="15"/>
          <w:szCs w:val="15"/>
          <w:color w:val="auto"/>
        </w:rPr>
        <w:t>As of January 1, 1995, the Company changed the useful life of the excess of cost over net assets of acquired businesses from 25 years to 40 years to more appropriately reflect the estimated periods during which the benefit of the assets will be realized. This change in accounting estimate had the effect of reducing amortization expense by approximately $360,000 for the three months ended March 31, 1995.</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142"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177</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TO THE BOARD OF DIRECTORS AND STOCKHOLDERS OF CHAMBERS DEVELOPMENT COMPANY, INC.:</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Chambers Development Company, Inc. and subsidiaries as of December 31, 1994 and 1993, and the related consolidated statements of operations, stockholders' equity and cash flows for each of the three years in the period ended December 31, 1994. These financial statements are the responsibility of Chambers' management. Our responsibility is to express an opinion on these financial statements based on our audits.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Chambers Development Company, Inc. and subsidiaries as of December 31, 1994 and 1993, and the results of their operations and their cash flows for each of the three years in the period ended December 31, 1994 in conformity with generally accepted accounting principles.</w:t>
      </w:r>
    </w:p>
    <w:p>
      <w:pPr>
        <w:spacing w:after="0" w:line="161"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As discussed in Note B, Chambers changed its method of accounting for contributions effective January 1, 1994.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1995</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91"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178</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5"/>
          <w:szCs w:val="15"/>
          <w:color w:val="auto"/>
        </w:rPr>
        <w:t>(DOLLARS IN THOUSANDS, EXCEPT PER SHARE AMOUNTS)</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ASSETS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82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44,553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23,548</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Trade, less allowances of $1,062 and $1,383, respectively..............................</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28,573</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28,961</w:t>
            </w:r>
          </w:p>
        </w:tc>
      </w:tr>
      <w:tr>
        <w:trPr>
          <w:trHeight w:val="173"/>
        </w:trPr>
        <w:tc>
          <w:tcPr>
            <w:tcW w:w="2340" w:type="dxa"/>
            <w:vAlign w:val="bottom"/>
            <w:gridSpan w:val="2"/>
          </w:tcPr>
          <w:p>
            <w:pPr>
              <w:ind w:left="360"/>
              <w:spacing w:after="0"/>
              <w:rPr>
                <w:sz w:val="20"/>
                <w:szCs w:val="20"/>
                <w:color w:val="auto"/>
              </w:rPr>
            </w:pPr>
            <w:r>
              <w:rPr>
                <w:rFonts w:ascii="Courier New" w:cs="Courier New" w:eastAsia="Courier New" w:hAnsi="Courier New"/>
                <w:sz w:val="5"/>
                <w:szCs w:val="5"/>
                <w:color w:val="auto"/>
                <w:w w:val="75"/>
              </w:rPr>
              <w:t>Other..................................................................................</w:t>
            </w: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2,977</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13,673</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Inventories and prepaid expenses.........................................................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4,751</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5,281</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Divestiture proceeds and other funds held in escrow......................................</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11,287</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2,210</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Net assets held for sale</w:t>
            </w:r>
          </w:p>
        </w:tc>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11,030</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9,298</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5,334</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1,795</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Total current assets.......................................................................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108,505</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84,766</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w:t>
            </w: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Land, primarily landfill sites...........................................................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312,886</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345,900</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Vehicles and equipment...................................................................</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107,183</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108,133</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5"/>
                <w:szCs w:val="5"/>
                <w:color w:val="auto"/>
                <w:w w:val="80"/>
              </w:rPr>
              <w:t>Other....................................................................................</w:t>
            </w: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23,290</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24,759</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Construction in progress</w:t>
            </w:r>
          </w:p>
        </w:tc>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42,382</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34,391</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485,741</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513,183</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128,730</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158,755</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Property and equipment -- net..............................................................</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357,011</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354,428</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Funds held for escrow requirements and construction......................................</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31,954</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23,506</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Intangible assets........................................................................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21,995</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15,811</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5"/>
                <w:szCs w:val="5"/>
                <w:color w:val="auto"/>
                <w:w w:val="80"/>
              </w:rPr>
              <w:t>Other....................................................................................</w:t>
            </w: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14,157</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9,987</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Total other assets</w:t>
            </w:r>
          </w:p>
        </w:tc>
        <w:tc>
          <w:tcPr>
            <w:tcW w:w="6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68,106</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49,304</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$ 533,622</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$ 488,498</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94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29,748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46,465</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Trade accounts payable...................................................................</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9,344</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10,889</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30,709</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34,751</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Deferred revenues........................................................................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8,637</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4,881</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Total current liabilities..................................................................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78,438</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96,986</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Long-term Obligations, Less Current Maturities.............................................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261,803</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211,016</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Accrued Shareholder Litigation Settlement..................................................</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75,300</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Other Noncurrent Liabilities...............................................................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39,208</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41,264</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Commitments and Contingencies..............................................................</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Preferred Stock -- authorized 10,000,000 shares; no par value; no shares issued..........</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Class A Common Stock --</w:t>
            </w:r>
          </w:p>
        </w:tc>
        <w:tc>
          <w:tcPr>
            <w:tcW w:w="5940" w:type="dxa"/>
            <w:vAlign w:val="bottom"/>
          </w:tcPr>
          <w:p>
            <w:pPr>
              <w:spacing w:after="0"/>
              <w:rPr>
                <w:sz w:val="20"/>
                <w:szCs w:val="20"/>
                <w:color w:val="auto"/>
              </w:rPr>
            </w:pPr>
            <w:r>
              <w:rPr>
                <w:rFonts w:ascii="Courier New" w:cs="Courier New" w:eastAsia="Courier New" w:hAnsi="Courier New"/>
                <w:sz w:val="15"/>
                <w:szCs w:val="15"/>
                <w:color w:val="auto"/>
              </w:rPr>
              <w:t>authorized 100,000,000 shares; par value $.50 per share; issued</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50,742,377 and 50,829,559 shares, respectively.........................................</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25,371</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25,415</w:t>
            </w:r>
          </w:p>
        </w:tc>
      </w:tr>
      <w:tr>
        <w:trPr>
          <w:trHeight w:val="173"/>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Common Stock --</w:t>
            </w:r>
          </w:p>
        </w:tc>
        <w:tc>
          <w:tcPr>
            <w:tcW w:w="66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authorized 50,000,000 shares; par value $.50 per share; convertible into</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Class A Common Stock; issued 16,415,750 and 16,329,168 shares, respectively............</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8,208</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8,165</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395,119</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395,121</w:t>
            </w:r>
          </w:p>
        </w:tc>
      </w:tr>
      <w:tr>
        <w:trPr>
          <w:trHeight w:val="173"/>
        </w:trPr>
        <w:tc>
          <w:tcPr>
            <w:tcW w:w="8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(270,375)</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(360,619)</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158,323</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68,082</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Treasury stock, at cost</w:t>
            </w:r>
          </w:p>
        </w:tc>
        <w:tc>
          <w:tcPr>
            <w:tcW w:w="5940" w:type="dxa"/>
            <w:vAlign w:val="bottom"/>
          </w:tcPr>
          <w:p>
            <w:pPr>
              <w:spacing w:after="0"/>
              <w:rPr>
                <w:sz w:val="20"/>
                <w:szCs w:val="20"/>
                <w:color w:val="auto"/>
              </w:rPr>
            </w:pPr>
            <w:r>
              <w:rPr>
                <w:rFonts w:ascii="Courier New" w:cs="Courier New" w:eastAsia="Courier New" w:hAnsi="Courier New"/>
                <w:sz w:val="15"/>
                <w:szCs w:val="15"/>
                <w:color w:val="auto"/>
              </w:rPr>
              <w:t>-- Class A Common Stock, 400 shares; Common Stock, 369,200</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2340" w:type="dxa"/>
            <w:vAlign w:val="bottom"/>
            <w:gridSpan w:val="2"/>
          </w:tcPr>
          <w:p>
            <w:pPr>
              <w:ind w:left="360"/>
              <w:spacing w:after="0"/>
              <w:rPr>
                <w:sz w:val="20"/>
                <w:szCs w:val="20"/>
                <w:color w:val="auto"/>
              </w:rPr>
            </w:pPr>
            <w:r>
              <w:rPr>
                <w:rFonts w:ascii="Courier New" w:cs="Courier New" w:eastAsia="Courier New" w:hAnsi="Courier New"/>
                <w:sz w:val="5"/>
                <w:szCs w:val="5"/>
                <w:color w:val="auto"/>
                <w:w w:val="75"/>
              </w:rPr>
              <w:t>shares.................................................................................</w:t>
            </w: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(4,150)</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(4,150)</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stockholders' equity</w:t>
            </w:r>
          </w:p>
        </w:tc>
        <w:tc>
          <w:tcPr>
            <w:tcW w:w="5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154,173</w:t>
            </w:r>
          </w:p>
        </w:tc>
        <w:tc>
          <w:tcPr>
            <w:tcW w:w="26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63,932</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$ 533,622</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$ 488,498</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540"/>
          </w:cols>
          <w:pgMar w:left="240" w:top="291" w:right="1119"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179</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(DOLLARS IN THOUSANDS, EXCEPT PER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1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0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1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$294,310</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$288,481</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$257,989</w:t>
            </w:r>
          </w:p>
        </w:tc>
      </w:tr>
      <w:tr>
        <w:trPr>
          <w:trHeight w:val="173"/>
        </w:trPr>
        <w:tc>
          <w:tcPr>
            <w:tcW w:w="17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Operating..................................................</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206,761</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194,355</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179,542</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37,853</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23,210</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24,796</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38,363</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41,764</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37,568</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Unusual items -- operations................................</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44,291</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(11,851)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8,863</w:t>
            </w:r>
          </w:p>
        </w:tc>
      </w:tr>
      <w:tr>
        <w:trPr>
          <w:trHeight w:val="173"/>
        </w:trPr>
        <w:tc>
          <w:tcPr>
            <w:tcW w:w="1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(Loss) from Operations................................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(32,958)</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41,003</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7,220</w:t>
            </w:r>
          </w:p>
        </w:tc>
      </w:tr>
      <w:tr>
        <w:trPr>
          <w:trHeight w:val="173"/>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Unusual items --</w:t>
            </w:r>
          </w:p>
        </w:tc>
        <w:tc>
          <w:tcPr>
            <w:tcW w:w="38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9"/>
              </w:rPr>
              <w:t>shareholder litigation settlement and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other litigation related costs..........................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(10,853)</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(5,500)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(79,400)</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Other income, primarily interest...........................</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6,509</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3,563</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1,848</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(31,628)</w:t>
            </w:r>
          </w:p>
        </w:tc>
        <w:tc>
          <w:tcPr>
            <w:tcW w:w="2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(29,163)</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(23,843)</w:t>
            </w:r>
          </w:p>
        </w:tc>
      </w:tr>
      <w:tr>
        <w:trPr>
          <w:trHeight w:val="173"/>
        </w:trPr>
        <w:tc>
          <w:tcPr>
            <w:tcW w:w="1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(68,930)</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9,903</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(94,175)</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Tax Provision (Benefit)...............................</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1,325</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(3,931)</w:t>
            </w:r>
          </w:p>
        </w:tc>
      </w:tr>
      <w:tr>
        <w:trPr>
          <w:trHeight w:val="173"/>
        </w:trPr>
        <w:tc>
          <w:tcPr>
            <w:tcW w:w="1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(70,255)</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8,303</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(90,244)</w:t>
            </w:r>
          </w:p>
        </w:tc>
      </w:tr>
      <w:tr>
        <w:trPr>
          <w:trHeight w:val="173"/>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(1,407)</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Gain on sale of assets.....................................</w:t>
            </w:r>
          </w:p>
        </w:tc>
        <w:tc>
          <w:tcPr>
            <w:tcW w:w="1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939</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Net Income (Loss)............................................</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$(70,723)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8,303</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$(90,244)</w:t>
            </w:r>
          </w:p>
        </w:tc>
      </w:tr>
      <w:tr>
        <w:trPr>
          <w:trHeight w:val="173"/>
        </w:trPr>
        <w:tc>
          <w:tcPr>
            <w:tcW w:w="1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Per Common Share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3"/>
        </w:trPr>
        <w:tc>
          <w:tcPr>
            <w:tcW w:w="5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w w:val="98"/>
              </w:rPr>
              <w:t>Net Income (Loss)</w:t>
            </w:r>
          </w:p>
        </w:tc>
        <w:tc>
          <w:tcPr>
            <w:tcW w:w="3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3"/>
        </w:trPr>
        <w:tc>
          <w:tcPr>
            <w:tcW w:w="17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91"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180</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THREE YEARS ENDED DECEMBER 31, 1994</w:t>
            </w:r>
          </w:p>
        </w:tc>
        <w:tc>
          <w:tcPr>
            <w:tcW w:w="1000" w:type="dxa"/>
            <w:vAlign w:val="bottom"/>
          </w:tcPr>
          <w:p>
            <w:pPr>
              <w:spacing w:after="0"/>
              <w:rPr>
                <w:sz w:val="14"/>
                <w:szCs w:val="14"/>
                <w:color w:val="auto"/>
              </w:rPr>
            </w:pPr>
          </w:p>
        </w:tc>
      </w:tr>
      <w:tr>
        <w:trPr>
          <w:trHeight w:val="173"/>
        </w:trPr>
        <w:tc>
          <w:tcPr>
            <w:tcW w:w="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4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CLASS A</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w:t>
            </w: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COMMON</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COMMON</w:t>
            </w:r>
          </w:p>
        </w:tc>
        <w:tc>
          <w:tcPr>
            <w:tcW w:w="220" w:type="dxa"/>
            <w:vAlign w:val="bottom"/>
          </w:tcPr>
          <w:p>
            <w:pPr>
              <w:spacing w:after="0"/>
              <w:rPr>
                <w:sz w:val="15"/>
                <w:szCs w:val="15"/>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TREASURY</w:t>
            </w:r>
          </w:p>
        </w:tc>
      </w:tr>
      <w:tr>
        <w:trPr>
          <w:trHeight w:val="173"/>
        </w:trPr>
        <w:tc>
          <w:tcPr>
            <w:tcW w:w="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STOCK</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5"/>
                <w:szCs w:val="15"/>
                <w:color w:val="auto"/>
              </w:rPr>
            </w:pPr>
          </w:p>
        </w:tc>
        <w:tc>
          <w:tcPr>
            <w:tcW w:w="12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STOCK</w:t>
            </w:r>
          </w:p>
        </w:tc>
      </w:tr>
      <w:tr>
        <w:trPr>
          <w:trHeight w:val="173"/>
        </w:trPr>
        <w:tc>
          <w:tcPr>
            <w:tcW w:w="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at</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January 1, 1992................</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$25,358</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$8,217</w:t>
            </w:r>
          </w:p>
        </w:tc>
        <w:tc>
          <w:tcPr>
            <w:tcW w:w="22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$ 394,986</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$(207,955)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(4,150)</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Exchange</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Common Stock................</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940" w:type="dxa"/>
            <w:vAlign w:val="bottom"/>
            <w:gridSpan w:val="2"/>
          </w:tcPr>
          <w:p>
            <w:pPr>
              <w:jc w:val="right"/>
              <w:ind w:right="70"/>
              <w:spacing w:after="0"/>
              <w:rPr>
                <w:sz w:val="20"/>
                <w:szCs w:val="20"/>
                <w:color w:val="auto"/>
              </w:rPr>
            </w:pPr>
            <w:r>
              <w:rPr>
                <w:rFonts w:ascii="Courier New" w:cs="Courier New" w:eastAsia="Courier New" w:hAnsi="Courier New"/>
                <w:sz w:val="15"/>
                <w:szCs w:val="15"/>
                <w:color w:val="auto"/>
              </w:rPr>
              <w:t>(4 )</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stock options...............</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(70,723)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at</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1992..............</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25,366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8,213</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395,119</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(278,678)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(4,150)</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Exchange</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Common Stock................</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940" w:type="dxa"/>
            <w:vAlign w:val="bottom"/>
            <w:gridSpan w:val="2"/>
          </w:tcPr>
          <w:p>
            <w:pPr>
              <w:jc w:val="right"/>
              <w:ind w:right="70"/>
              <w:spacing w:after="0"/>
              <w:rPr>
                <w:sz w:val="20"/>
                <w:szCs w:val="20"/>
                <w:color w:val="auto"/>
              </w:rPr>
            </w:pPr>
            <w:r>
              <w:rPr>
                <w:rFonts w:ascii="Courier New" w:cs="Courier New" w:eastAsia="Courier New" w:hAnsi="Courier New"/>
                <w:sz w:val="15"/>
                <w:szCs w:val="15"/>
                <w:color w:val="auto"/>
              </w:rPr>
              <w:t>(5 )</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8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8,303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at</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1993..............</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25,371</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8,208</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395,119</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(270,375)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(4,150)</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Exchange</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Common Stock................</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stock options...............</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(90,244)</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Balance at</w:t>
            </w:r>
          </w:p>
        </w:tc>
        <w:tc>
          <w:tcPr>
            <w:tcW w:w="2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1994..............</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$25,415</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$8,165</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$ 395,121</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$(360,619)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(4,150)</w:t>
            </w:r>
          </w:p>
        </w:tc>
      </w:tr>
      <w:tr>
        <w:trPr>
          <w:trHeight w:val="173"/>
        </w:trPr>
        <w:tc>
          <w:tcPr>
            <w:tcW w:w="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291"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181</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(DOLLARS IN THOUSANDS)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94"/>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5320" w:type="dxa"/>
            <w:vAlign w:val="bottom"/>
          </w:tcPr>
          <w:p>
            <w:pPr>
              <w:spacing w:after="0"/>
              <w:rPr>
                <w:sz w:val="15"/>
                <w:szCs w:val="15"/>
                <w:color w:val="auto"/>
              </w:rPr>
            </w:pPr>
          </w:p>
        </w:tc>
        <w:tc>
          <w:tcPr>
            <w:tcW w:w="33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1992</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32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(70,255)</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8,303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$(90,244)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Adjustments to reconcile to net cash provided by</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38,363</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41,764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37,568</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42,112</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(7,618)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88,580</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12,000</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Provision for doubtful accounts.........................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454</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839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1,447</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earned on escrowed funds.......................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(2,844)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r>
      <w:tr>
        <w:trPr>
          <w:trHeight w:val="173"/>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rPr>
              <w:t>Change in assets and liabilities, net of effects of</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320" w:type="dxa"/>
            <w:vAlign w:val="bottom"/>
          </w:tcPr>
          <w:p>
            <w:pPr>
              <w:jc w:val="right"/>
              <w:ind w:right="3725"/>
              <w:spacing w:after="0"/>
              <w:rPr>
                <w:sz w:val="20"/>
                <w:szCs w:val="20"/>
                <w:color w:val="auto"/>
              </w:rPr>
            </w:pPr>
            <w:r>
              <w:rPr>
                <w:rFonts w:ascii="Courier New" w:cs="Courier New" w:eastAsia="Courier New" w:hAnsi="Courier New"/>
                <w:sz w:val="15"/>
                <w:szCs w:val="15"/>
                <w:color w:val="auto"/>
              </w:rPr>
              <w:t>divestitures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749</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(11,629)</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Refundable taxes.....................................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12,495</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16,049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(659)</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(13,608)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(20,330)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1,622</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(9,018)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(3,756)</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assets and liabilities.........................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4,008</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9,476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8,285</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3,578</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1,349</w:t>
            </w:r>
          </w:p>
        </w:tc>
      </w:tr>
      <w:tr>
        <w:trPr>
          <w:trHeight w:val="173"/>
        </w:trPr>
        <w:tc>
          <w:tcPr>
            <w:tcW w:w="532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cash provided by continuing operations................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18,034</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38,017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32,148</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cash used in operating activities of discontinued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(5,885)</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cash provided by operating activities.................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12,149</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35,869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32,148</w:t>
            </w:r>
          </w:p>
        </w:tc>
      </w:tr>
      <w:tr>
        <w:trPr>
          <w:trHeight w:val="173"/>
        </w:trPr>
        <w:tc>
          <w:tcPr>
            <w:tcW w:w="532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Capital expenditures......................................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(111,869)</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(38,085)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(39,802)</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Acquisition of businesses.................................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(20,916)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Proceeds from disposition of assets.......................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12,575</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48,595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3,249</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Purchases of marketable securities........................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(18,491)</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Maturities and sales of marketable securities.............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68,840</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Decrease (increase) in funds held in escrow...............</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32,933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17,940</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1,399</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Proceeds from sale of discontinued operations.............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22,930</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net investing activities of discontinued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(3,258)</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cash (used in) provided by investing activities.......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(16,106)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(17,214)</w:t>
            </w:r>
          </w:p>
        </w:tc>
      </w:tr>
      <w:tr>
        <w:trPr>
          <w:trHeight w:val="173"/>
        </w:trPr>
        <w:tc>
          <w:tcPr>
            <w:tcW w:w="532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Short-term note payments..................................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Principal payments on long-term obligations...............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(55,388)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(60,669)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(35,312)</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Proceeds from issuance of long-term obligations...........</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21,100</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Funds (used for) provided by replacement of letters of</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credit..................................................</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(10,243)</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10,243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(1,626)</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(627)</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financing activities of discontinued operations.......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(506)</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cash used in financing activities.....................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(56,663)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(35,939)</w:t>
            </w:r>
          </w:p>
        </w:tc>
      </w:tr>
      <w:tr>
        <w:trPr>
          <w:trHeight w:val="173"/>
        </w:trPr>
        <w:tc>
          <w:tcPr>
            <w:tcW w:w="532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decrease in cash and cash equivalents.................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(60,620)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(21,005)</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Cash and cash equivalents at beginning of year............</w:t>
            </w:r>
          </w:p>
        </w:tc>
        <w:tc>
          <w:tcPr>
            <w:tcW w:w="1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106,519</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45,899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44,553</w:t>
            </w:r>
          </w:p>
        </w:tc>
      </w:tr>
      <w:tr>
        <w:trPr>
          <w:trHeight w:val="173"/>
        </w:trPr>
        <w:tc>
          <w:tcPr>
            <w:tcW w:w="532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45,899</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$ 44,553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$ 23,548</w:t>
            </w:r>
          </w:p>
        </w:tc>
      </w:tr>
      <w:tr>
        <w:trPr>
          <w:trHeight w:val="173"/>
        </w:trPr>
        <w:tc>
          <w:tcPr>
            <w:tcW w:w="5320" w:type="dxa"/>
            <w:vAlign w:val="bottom"/>
          </w:tcPr>
          <w:p>
            <w:pPr>
              <w:spacing w:after="0"/>
              <w:rPr>
                <w:sz w:val="15"/>
                <w:szCs w:val="15"/>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291"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182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SUMMARY OF SIGNIFICANT ACCOUNTING POLICIES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Principles of Consolidation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Chambers Development Company, Inc. and its subsidiaries ("Chambers"), after appropriate elimination of intercompany accounts and transactions.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 Recognition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Chambers recognizes revenues as services are provided.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pacing w:after="0" w:line="178"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Cash and cash equivalents include cash on hand and on deposit and highly liquid debt instruments purchased with original maturities of three months or less.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Rate Swap Agreements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Chambers has used interest rate swap agreements, the last of which expired in November 1993, to minimize the impact of rate fluctuations on floating interest rate long-term borrowings. The differential paid or received on interest rate swap agreements is recognized as an adjustment to interest expense.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Funds Held for Escrow Requirements and Construction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Funds held for escrow requirements and construction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Chambers considers its landfill closure, post-closure and construction escrow investments to be held to maturity. The aggregate fair value of these investments approximates their amortized cost. Substantially all of these investments mature within one year. Chambers' insurance escrow funds are invested in pooled investment accounts that hold debt and equity securities and are considered to be available for sale. The aggregate cost and market value of those pooled accounts was approximately $11,043,000 and $11,076,000, respectively, at December 31, 1994.</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Inventories</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Inventories, consisting of parts and supplies, are stated at the lower of first-in, first-out cost or market.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Property and Equipment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Landfill sites, including land and related landfill preparation and improvement costs, are stated at cost. Such costs, which include construction, engineering, permitting, interest and other costs, are amortized as airspace is consumed. Also included in the cost of landfill sites are acquisition, engineering and other costs related to the permitting and development of planned landfills and proposed expansions of existing landfills, which costs management of Chambers believes are recoverable.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Other items of property and equipment are stated at cost. Depreciation of such property and equipment is provided over the estimated useful lives of the assets, on the straight-line method, as follows: buildings -- 7 to 25 years; vehicles and equipment -- 3 to 20 years; and office furniture and fixtures -- 5 years.</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Depreciation and amortization of property and equipment was $32,088,000, $35,639,000 and $32,261,000 for the years ended December 31, 1992, 1993 and 1994, respectively.</w:t>
      </w:r>
    </w:p>
    <w:p>
      <w:pPr>
        <w:spacing w:after="0" w:line="175" w:lineRule="exact"/>
        <w:rPr>
          <w:sz w:val="20"/>
          <w:szCs w:val="20"/>
          <w:color w:val="auto"/>
        </w:rPr>
      </w:pPr>
    </w:p>
    <w:p>
      <w:pPr>
        <w:jc w:val="both"/>
        <w:ind w:right="3199" w:firstLine="451"/>
        <w:spacing w:after="0" w:line="244" w:lineRule="auto"/>
        <w:rPr>
          <w:sz w:val="20"/>
          <w:szCs w:val="20"/>
          <w:color w:val="auto"/>
        </w:rPr>
      </w:pPr>
      <w:r>
        <w:rPr>
          <w:rFonts w:ascii="Courier New" w:cs="Courier New" w:eastAsia="Courier New" w:hAnsi="Courier New"/>
          <w:sz w:val="15"/>
          <w:szCs w:val="15"/>
          <w:color w:val="auto"/>
        </w:rPr>
        <w:t>Items of an ordinary maintenance or repair nature are charged directly to operations, whereas betterments and major expenditures that extend the life of the asset are capitalized.</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291"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183</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Intangible Assets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Intangible assets consist principally of the excess of cost over fair value of the net assets of acquired businesses, which is being amortized on a straight-line basis over 20 years, and covenants not to compete and customer contracts and routes of acquired businesses, which are being amortized on a straight-line basis over periods of up to 10 years. Accumulated amortization of intangible assets was $15,631,000 and $18,490,000 at December 31, 1993 and 1994, respectively, excluding $1,279,000 related to assets held for sale at December 31, 1993. Chambers assesses whether its goodwill and other intangible assets are impaired based on the ability of the operation to which they relate to generate cash flows in amounts adequate to cover the amortization of such assets. If an impairment is determined, the amount of such impairment is calculated based on the estimated fair value of the asset.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Environmental Costs and Liabilities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Environmental costs and liabilities primarily include accruals for closure and post-closure monitoring and site maintenance costs associated with Chambers' landfills. The accruals for these costs are recorded as airspace at the respective landfill site is consumed. Chambers' engineers estimate landfill site closure and post-closure costs and such estimates are reviewed on a periodic basis; accordingly, the related accrual rates are subject to periodic revision and adjustment.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Capitalized Interest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the years ended December 31, 1992, 1993 and 1994, the interest costs of continuing operations were $38,349,000, $32,613,000 and $26,809,000, respectively, of which $6,721,000, $3,450,000 and $2,966,000 were capitalized with respect to landfills and facilities under construction.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Deferred income taxes are recorded based upon temporary differences between the financial statement and tax bases of assets and liabilities and net operating loss carryforwards available for income tax purposes.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Effective January 1, 1993, Chambers adopted Statement of Financial Accounting Standards No. 109, "Accounting for Income Taxes," using an asset and liability approach. If it is more likely than not that some portion or all of a deferred tax asset will not be realized, a valuation allowance is recognized. There was no effect on Chambers' 1993 financial statements upon adoption of the new standard using the cumulative effect method.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(Loss) per Common Share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Income (loss) per common share is computed using the weighted average number of shares outstanding during the year. Common stock equivalents, which consist of stock options outstanding, had an antidilutive effect on income (loss) per common share for each of the years presented and, accordingly, have not been included in the computation. The weighted average number of common shares outstanding was 66,788,000 for each of the years ended December 31, 1992 and 1993 and 66,789,000 for the year ended December 31, 1994.</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Reclassifications</w:t>
      </w:r>
    </w:p>
    <w:p>
      <w:pPr>
        <w:spacing w:after="0" w:line="178" w:lineRule="exact"/>
        <w:rPr>
          <w:sz w:val="20"/>
          <w:szCs w:val="20"/>
          <w:color w:val="auto"/>
        </w:rPr>
      </w:pPr>
    </w:p>
    <w:p>
      <w:pPr>
        <w:ind w:right="3819" w:firstLine="451"/>
        <w:spacing w:after="0" w:line="243" w:lineRule="auto"/>
        <w:rPr>
          <w:sz w:val="20"/>
          <w:szCs w:val="20"/>
          <w:color w:val="auto"/>
        </w:rPr>
      </w:pPr>
      <w:r>
        <w:rPr>
          <w:rFonts w:ascii="Courier New" w:cs="Courier New" w:eastAsia="Courier New" w:hAnsi="Courier New"/>
          <w:sz w:val="15"/>
          <w:szCs w:val="15"/>
          <w:color w:val="auto"/>
        </w:rPr>
        <w:t>Certain reclassifications have been made to prior years' financial statements to conform to 1994 classifications.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91"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184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CHANGE IN ACCOUNTING PRINCIPLE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fourth quarter of 1994, Chambers elected early adoption of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Financial Accounting Standards No. 116, "Accounting for Contributions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and Contributions Made." The new standard requires, among other things,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recognition of the fair value of contributions made, including unconditional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promises to give, in the period in which the contribution is made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unconditional promise is given. Prior to adoption, Chambers had recognized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contributions made or unconditional promises to give in the period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 was paid. On December 29, 1994, Chambers made unconditional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promises to contribute $3,000,000 to certain charitable organizations, payable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annual installments of $500,000 over the next six years; accordingly,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has recorded a charge to general and administrative expense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$2,269,000, representing the present value of these obligations. There was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cumulative effect as of January 1, 1994 of adopting the new standard.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PROPOSED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has entered into an Amended and Restated Agreement and Plan of Merger dated as of November 28, 1994 (the "Merger Agreement"), pursuant to which Chambers would become a wholly-owned subsidiary of USA Waste Services, Inc. ("USA Waste") through the merger of an existing wholly-owned subsidiary of USA Waste with and into Chambers (the "Merger"). The Merger Agreement provides, among other things, for each outstanding share of Chambers' Common Stock and Class A Common Stock to be converted into .41667 of a share of USA Waste's Common Stock. Based upon the 15,699,768 shares of Chambers' Common Stock and the 51,089,359 shares of Class A Common Stock outstanding as of March 1, 1995, Chambers' stockholders will collectively be issued approximately 27,829,000 shares of USA Waste's Common Stock, representing approximately 55.2% of the expected total issued and outstanding shares of USA Waste's Common Stock after the Merger.</w:t>
      </w:r>
    </w:p>
    <w:p>
      <w:pPr>
        <w:spacing w:after="0" w:line="182"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The Merger is subject to a number of conditions, including obtaining the approval of the stockholders of Chambers and of USA Waste, final settlement of the shareholder litigation discussed in Note D and certain other proceedings involving Chambers, and obtaining any necessary regulatory waivers and approvals. It is anticipated that the Merger will be completed by June 30, 1995.</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SETTLEMENT OF SHAREHOLDER LITIGATION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Between March 18, 1992 and May 7, 1992, various Chambers' shareholders filed twenty-three actions in the United States District Court for the Western District of Pennsylvania asserting federal securities fraud claims and pendent state law claims against Chambers, certain of its officers and directors, its former auditors, and the underwriters of its securities (the "Federal Class Action"). The significant part of these actions, as amended and consolidated on November 4, 1992, under the caption In Re: Chambers Development Company, Inc. Shareholders Litigation, Civil Action No. 92-0679, and brought on behalf of a putative class of purchasers of Chambers' securities between March 18, 1988 and October 20, 1992, is the allegation that the decrease in Chambers' stock price during the period from Chambers' March 17, 1992 announcement of a change in accounting method relating to capitalization of certain costs and expenses through its October 20, 1992 announcement of a $362,000,000 reduction in retained earnings as of December 31, 1991, as compared to the amount previously reported, and a restatement of its 1990 and 1989 consolidated financial statements, was caused by Chambers' misrepresentation of its earnings and financial condition. One of the original twenty-three complaints, Yeager v. Rangos, et al., C.A. No. 92-1081, also asserts derivative claims on behalf of Chambers (which is named as a nominal defendant) for breach of fiduciary duty against certain of its officers and directors and negligence against its former auditors (the "Federal Derivative Action"). Derivative claims were also filed in state courts on behalf of Chambers (which was named as a nominal defendant) for breach of fiduciary duty against certain of its officers and directors and for negligence against its former auditors (the "Related Actions").</w:t>
      </w:r>
    </w:p>
    <w:p>
      <w:pPr>
        <w:spacing w:after="0" w:line="1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91"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185</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February 24, 1995, representatives of the plaintiffs in the Federal Class Action, representatives of the plaintiffs in the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 described above. Implementation of the Settlement Agreements is conditioned upon the dismissal, with prejudice, of the Related Actions referred to above. On March 22, 1995, the court granted preliminary approval of the settlements and distribution of notices to Chambers' stockholders and the plaintiff class members regarding the settlements. The hearing upon the fairness, reasonableness and adequacy of the proposed settlements has been scheduled for May 19, 1995.</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Settlement Agreements provide that the sum of $10,000,000 will be paid by Chambers' directors and officers liability insurance carrier and the sum of $70,000,000 will be paid by Chambers in two installments following final court approval of the settlements. The first installment of $25,000,000 is to be paid within thirty days after the settlement effective date (the date upon which the court has finally approved the settlements of the class actions and derivative actions described above, and all times for appeal have expired or all appeals have been finally rejected) and the second installment of $45,000,000 (the "Second Installment") is to be paid one year after the settlement effective date subject to possible earlier payments based on the Merger and subsequent refinancing. If the Merger or a comparable transaction is consummated, the total settlement payment will be adjusted by a base increase of $5,000,000, which will be adjusted upward or downward by an amount consisting of $16,000 for each penny above or below $4.50 of merger consideration received in the transaction by Chambers' stockholders per share of Chambers' Common Stock and Class A Common Stock, together with interest from the settlement effective date to the payment date (the base increase, together with any adjustment thereto, collectively referred to as the "Adjustment"). Based on the market value of USA Waste Common Stock on March 27, 1995, the Adjustment would be $5,800,000. Any amount by which the sum of the Second Installment and the Adjustment exceeds $50,600,000 will be paid by John G. Rangos, Sr., Chairman and Chief Executive Officer of Chambers. John G. Rangos, Sr. has also agreed to guarantee Chambers' obligations to make certain payments in the Class Action Settlement in an amount not to exceed $15,000,000.</w:t>
      </w:r>
    </w:p>
    <w:p>
      <w:pPr>
        <w:spacing w:after="0" w:line="18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Synergy Associates has agreed, under the Derivative Action Settlement Agreement, to contribute to Chambers the headquarters property presently leased by Chambers from Synergy Associates, subject to assumption or discharge by Chambers of an existing mortgage.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Settlement Agreements will be subject to certain conditions, including court approval, and to the refinancing of Chambers' principal borrowings. The current lending agreements of Chambers restrict Chambers from making the settlement payments without the consent of the lending groups. The terms of the Class Action Settlement Agreement also include a right to terminate the settlements based on appeals or opt-outs with respect to the Federal Class Action.</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After Chambers entered into the Settlement Agreements, the class and derivative plaintiffs entered into settlements with Chambers' former independent auditors. Chambers then entered into an agreement with the class plaintiffs to settle their claims against a group of underwriters of certain of Chambers' securities offerings. Chambers agreed to pay $300,000 to the class plaintiffs to resolve these claims for which the underwriters sought indemnity from Chambers.</w:t>
      </w:r>
    </w:p>
    <w:p>
      <w:pPr>
        <w:spacing w:after="0" w:line="16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result of the foregoing, Chambers accrued $85,300,000 for the cost of the settlements and $4,100,000 for other litigation related costs in 1994. Of that total, $79,400,000 was recorded as a charge to unusual items as a component of other income (expense) and $10,000,000 to be paid from the proceeds of Chambers' directors and officers liability insurance policy was recorded as a current asset and is included in accounts receivable-other at December 31, 1994. At December 31, 1994, $75,300,000 of the amount accrued</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91"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186</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 settlement payments has been classified as a noncurrent liability based on the expectation that such amount would be funded by long-term financing in connection with the Merger. The $10,000,000 of settlement payments to be funded by the proceeds of Chambers' directors and officers liability insurance policy and the $4,100,000 of other litigation related costs are included in current liabilities at December 31, 1994.</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While Chambers believes the above-mentioned accruals and charges are adequate to provide for the settlement and related costs, certain of these amounts are estimates, and actual amounts will depend on the outcome of future events. If such estimated amounts are not adequate, additional charges against income would be made when such determinations are made.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DIVESTITURES AND DISCONTINUED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DIVESTITURES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late 1992, Chambers initiated a program to divest certain businesses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did not meet strategic and performance objectives and, in 1993 and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a series of asset sales to various parties. During 1993 Chambers sold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landfill, one transfer station and six collection and hauling businesses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proceeds of $39,535,000, consisting of $35,479,000 in cash and $4,056,000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notes and other receivables. These sales resulted in net gains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$21,799,000. Chambers also sold land in Georgia for $1,284,000 in cash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$996,000 with respect to a development project in California,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resulted in losses of $964,000 and $134,000, respectively.</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Additionally, on December 31, 1993, Chambers sold its two transfer stations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Morris County, New Jersey, to the Morris County Municipal Utilities Authority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("MCMUA") for $9,500,000 in cash, which resulted in a deferred gain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$3,950,000. Simultaneous with entering into the agreement for the sale of these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stations, Chambers and the MCMUA amended the agreement pursuant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Chambers operates the transfer stations and provides waste disposal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reducing the rates charged for such services in 1994. As a result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interrelationship of the sale of the transfer stations and the operating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disposal service agreement, the gain on sale was deferred and recognized in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services were provided. As part of the agreement of sale, Chambers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 to operate the transfer stations and provide waste disposal services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until the county's long-term solid waste system is in operation or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if later.</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During 1994 Chambers sold a recycling operation, a building and a parcel of land for a total of $2,089,000 in cash. The losses incurred as a result of these sales have been charged to the previously established allowance for divestiture losses.</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Approximately $24,999,000 and $7,623,000 of the net proceeds from these divestitures were applied to reduce long-term obligations of Chambers in 1993 and 1994, respectively.</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are summarized operating results of the businesses that were sold during 1993 and 1994 which are included in the results of continuing operations. These results exclude the two transfer stations in Morris County, New Jersey, that Chambers will continue to operate, and the net gain from divestitures of $20,701,000 included in unusual items -- operations for the year ended December 31, 1993 (in thousands):</w:t>
      </w:r>
    </w:p>
    <w:p>
      <w:pPr>
        <w:spacing w:after="0" w:line="200" w:lineRule="exact"/>
        <w:rPr>
          <w:sz w:val="20"/>
          <w:szCs w:val="20"/>
          <w:color w:val="auto"/>
        </w:rPr>
      </w:pPr>
    </w:p>
    <w:p>
      <w:pPr>
        <w:spacing w:after="0" w:line="323"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YEAR ENDED DECEMBER 31,</w:t>
      </w:r>
    </w:p>
    <w:p>
      <w:pPr>
        <w:spacing w:after="0" w:line="4"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760"/>
        <w:spacing w:after="0"/>
        <w:tabs>
          <w:tab w:leader="none" w:pos="6820" w:val="left"/>
          <w:tab w:leader="none" w:pos="7720" w:val="left"/>
        </w:tabs>
        <w:rPr>
          <w:sz w:val="20"/>
          <w:szCs w:val="20"/>
          <w:color w:val="auto"/>
        </w:rPr>
      </w:pPr>
      <w:r>
        <w:rPr>
          <w:rFonts w:ascii="Courier New" w:cs="Courier New" w:eastAsia="Courier New" w:hAnsi="Courier New"/>
          <w:sz w:val="15"/>
          <w:szCs w:val="15"/>
          <w:color w:val="auto"/>
        </w:rPr>
        <w:t>1992</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1994</w:t>
      </w:r>
    </w:p>
    <w:p>
      <w:pPr>
        <w:spacing w:after="0" w:line="3" w:lineRule="exact"/>
        <w:rPr>
          <w:sz w:val="20"/>
          <w:szCs w:val="20"/>
          <w:color w:val="auto"/>
        </w:rPr>
      </w:pPr>
    </w:p>
    <w:p>
      <w:pPr>
        <w:ind w:left="5680"/>
        <w:spacing w:after="0"/>
        <w:tabs>
          <w:tab w:leader="none" w:pos="6640" w:val="left"/>
          <w:tab w:leader="none" w:pos="7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Revenues.................................................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Income (loss) from operations............................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hanging="89"/>
        <w:spacing w:after="0" w:line="243" w:lineRule="auto"/>
        <w:rPr>
          <w:sz w:val="20"/>
          <w:szCs w:val="20"/>
          <w:color w:val="auto"/>
        </w:rPr>
      </w:pPr>
      <w:r>
        <w:rPr>
          <w:rFonts w:ascii="Courier New" w:cs="Courier New" w:eastAsia="Courier New" w:hAnsi="Courier New"/>
          <w:sz w:val="15"/>
          <w:szCs w:val="15"/>
          <w:color w:val="auto"/>
        </w:rPr>
        <w:t>$31,870 (5,426)</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spacing w:after="0" w:line="278" w:lineRule="auto"/>
        <w:rPr>
          <w:sz w:val="20"/>
          <w:szCs w:val="20"/>
          <w:color w:val="auto"/>
        </w:rPr>
      </w:pPr>
      <w:r>
        <w:rPr>
          <w:rFonts w:ascii="Courier New" w:cs="Courier New" w:eastAsia="Courier New" w:hAnsi="Courier New"/>
          <w:sz w:val="14"/>
          <w:szCs w:val="14"/>
          <w:color w:val="auto"/>
        </w:rPr>
        <w:t>$ 15,921 377</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$1,323</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(22)</w:t>
      </w:r>
    </w:p>
    <w:p>
      <w:pPr>
        <w:spacing w:after="0" w:line="224" w:lineRule="exact"/>
        <w:rPr>
          <w:sz w:val="20"/>
          <w:szCs w:val="20"/>
          <w:color w:val="auto"/>
        </w:rPr>
      </w:pPr>
    </w:p>
    <w:p>
      <w:pPr>
        <w:sectPr>
          <w:pgSz w:w="11900" w:h="16838" w:orient="portrait"/>
          <w:cols w:equalWidth="0" w:num="4">
            <w:col w:w="5500" w:space="260"/>
            <w:col w:w="640" w:space="260"/>
            <w:col w:w="720" w:space="280"/>
            <w:col w:w="2559"/>
          </w:cols>
          <w:pgMar w:left="240" w:top="291" w:right="1440" w:bottom="1440" w:gutter="0" w:footer="0" w:header="0"/>
          <w:type w:val="continuous"/>
        </w:sectPr>
      </w:pPr>
    </w:p>
    <w:p>
      <w:pPr>
        <w:spacing w:after="0" w:line="12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a result of changes in Chambers' assessment of the marketability of one of its operations intended for divestiture, in the second quarter of 1994 Chambers reclassified $1,309,000 of assets of that operation, net of a related contract loss reserve, from assets held for sale to their respective balance sheet classifications.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291" w:right="1440" w:bottom="1440" w:gutter="0" w:footer="0" w:header="0"/>
          <w:type w:val="continuous"/>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Additionally, in the fourth quarter of 1994, assets of $1,226,000, related to undeveloped land that is permitted for use as a transfer station, were reclassified to assets held for sale. The remaining assets held for sale at December 31, 1994, include an undeveloped permitted landfill site and certain assets of a hauling and transfer station operation discussed below.</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March 1995, Chambers entered into an asset purchase agreement related to its hauling, recycling and transfer station operations in Atlantic City, New Jersey, with Mid-Jersey Disposal, Inc. ("Mid-Jersey"), a wholly-owned subsidiary of USA Waste, whereby Mid-Jersey agreed to purchase certain assets of this operation. Terms of the purchase agreement provide for the sale of selected assets, principally vehicles, equipment and containers, for $727,000, which approximates their net book value. The asset purchase agreement is subject to final approval from the New Jersey Department of Environmental Protection ("NJDEP"). In conjunction with the asset purchase agreement, Chambers also entered into a separate management agreement, effective April 1, 1995, whereby Chambers will discontinue operating the facility and Mid-Jersey will manage, operate and service all facets of the business until the sale takes place, which will occur after approval is received from the NJDEP. As a result of the foregoing, in 1994 Chambers wrote off certain assets against previously recorded divestiture loss reserves and recorded an additional divestiture loss provision of $1,114,000 for the remaining assets of the Atlantic City operation, which Chambers is attempting to sell or lease.</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the results of continuing operations are revenues for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hauling, recycling and transfer operation of $6,551,000, $6,259,000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$4,222,000 for the years ended December 31, 1992, 1993 and 1994,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losses for this operation of $690,000, $857,000 and $874,000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 years have been incurred and charged to the previously established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 for divestiture losses.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Chambers had recorded a provision of $10,466,000 in 1992 for estimated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losses on the disposition of certain of its businesses (see Note 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reflected the expected loss from the disposition of net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anticipated operating losses from the measurement date through the expected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dates of disposal and estimated disposal costs. An aggregate of $2,299,000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losses incurred by these businesses during 1993 and 1994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$1,484,000 of losses on divestitures incurred in 1993 and 1994 have been charged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 the loss reserve. Approximately $3,689,000 was charged to the loss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 in 1993 and 1994 as a result of writing down assets to their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realizable value. Accruals of $7,689,000, consisting principally of provisions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previously recorded for expected losses on the disposition of the businesses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subsequently retained, have been reversed and are included in unusual items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and 1994 (see Note 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1993, Chambers also recorded a provision of $3,194,000 for estimated losses on the disposition of additional businesses classified as assets held for sale and in 1993 and 1994 recorded provisions of $2,321,000 and $1,114,000, respectively, for changes to estimates for losses related to the remaining assets held for sale.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assets held for sale consist of the following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5940" w:type="dxa"/>
            <w:vAlign w:val="bottom"/>
          </w:tcPr>
          <w:p>
            <w:pPr>
              <w:spacing w:after="0"/>
              <w:rPr>
                <w:sz w:val="15"/>
                <w:szCs w:val="15"/>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1993</w:t>
            </w:r>
          </w:p>
        </w:tc>
        <w:tc>
          <w:tcPr>
            <w:tcW w:w="320" w:type="dxa"/>
            <w:vAlign w:val="bottom"/>
          </w:tcPr>
          <w:p>
            <w:pPr>
              <w:spacing w:after="0"/>
              <w:rPr>
                <w:sz w:val="15"/>
                <w:szCs w:val="15"/>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94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Inventories and prepaid expenses.................................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16,260</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11,222</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Intangibles and other noncurrent assets..........................</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17,727</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11,318</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Less allowance for losses........................................</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6,697</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2,020</w:t>
            </w:r>
          </w:p>
        </w:tc>
      </w:tr>
      <w:tr>
        <w:trPr>
          <w:trHeight w:val="173"/>
        </w:trPr>
        <w:tc>
          <w:tcPr>
            <w:tcW w:w="594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Net assets held for sale.........................................</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11,030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9,298</w:t>
            </w:r>
          </w:p>
        </w:tc>
      </w:tr>
      <w:tr>
        <w:trPr>
          <w:trHeight w:val="173"/>
        </w:trPr>
        <w:tc>
          <w:tcPr>
            <w:tcW w:w="594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1" w:right="1440" w:bottom="1440" w:gutter="0" w:footer="0" w:header="0"/>
        </w:sectPr>
      </w:pPr>
    </w:p>
    <w:p>
      <w:pPr>
        <w:spacing w:after="0" w:line="1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F-35</w:t>
      </w:r>
    </w:p>
    <w:p>
      <w:pPr>
        <w:sectPr>
          <w:pgSz w:w="11900" w:h="16838" w:orient="portrait"/>
          <w:cols w:equalWidth="0" w:num="1">
            <w:col w:w="10219"/>
          </w:cols>
          <w:pgMar w:left="240" w:top="291" w:right="1440" w:bottom="1440" w:gutter="0" w:footer="0" w:header="0"/>
          <w:type w:val="continuous"/>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188</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December 11, 1992, Chambers sold substantially all of the assets of its security services business to Baker Industries, Inc./BPS Guard Services, Inc. for approximately $27,430,000, of which $22,930,000 was received at closing with the balance received in 1993.</w:t>
      </w:r>
    </w:p>
    <w:p>
      <w:pPr>
        <w:spacing w:after="0" w:line="176"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Operating results of the security services business for the nine months ended September 30, 1992, which have been classified in the consolidated statements of operations as discontinued operations, include revenues of $68,079,000 and a loss from operations of $1,407,000.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BUSINESS COMBINATIONS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1991, Chambers acquired a medical, special and municipal waste incineration facility. Included in the original purchase price was a promissory note of $1,550,000 payable in May 1993 and a $4,000,000 contingent payment, net of related discounts. At December 31, 1993, such obligations were included in current maturities of long-term obligations and other noncurrent liabilities, respectively.</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In 1994, Chambers settled these obligations by the payment of $2,180,000 to the sellers. The $3,370,000 excess of the recorded liability over the settlement has been applied to reduce the net book value of the assets acquired, primarily property and equipment.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CURRENT ACCRUED LIABILITIES</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62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Current accrued liabilities consist of the following (in thousands):</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4"/>
        </w:trPr>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594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94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Shareholder litigation settlement................................</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$ 10,000</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7,308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4,098</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Legal fees and other litigation related costs....................</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4,239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3,441</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Taxes, other than income.........................................</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2,983</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15,183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14,229</w:t>
            </w:r>
          </w:p>
        </w:tc>
      </w:tr>
      <w:tr>
        <w:trPr>
          <w:trHeight w:val="173"/>
        </w:trPr>
        <w:tc>
          <w:tcPr>
            <w:tcW w:w="594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30,709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$ 34,751</w:t>
            </w:r>
          </w:p>
        </w:tc>
      </w:tr>
      <w:tr>
        <w:trPr>
          <w:trHeight w:val="173"/>
        </w:trPr>
        <w:tc>
          <w:tcPr>
            <w:tcW w:w="594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940" w:type="dxa"/>
            <w:vAlign w:val="bottom"/>
          </w:tcPr>
          <w:p>
            <w:pPr>
              <w:ind w:left="3060"/>
              <w:spacing w:after="0"/>
              <w:rPr>
                <w:sz w:val="20"/>
                <w:szCs w:val="20"/>
                <w:color w:val="auto"/>
              </w:rPr>
            </w:pPr>
            <w:r>
              <w:rPr>
                <w:rFonts w:ascii="Courier New" w:cs="Courier New" w:eastAsia="Courier New" w:hAnsi="Courier New"/>
                <w:sz w:val="15"/>
                <w:szCs w:val="15"/>
                <w:color w:val="auto"/>
              </w:rPr>
              <w:t>F-36</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189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LONG-TERM OBLIGATIONS</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Long-term obligations consist of the following (in thousands):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94"/>
        </w:trPr>
        <w:tc>
          <w:tcPr>
            <w:tcW w:w="5760" w:type="dxa"/>
            <w:vAlign w:val="bottom"/>
          </w:tcPr>
          <w:p>
            <w:pPr>
              <w:spacing w:after="0"/>
              <w:rPr>
                <w:sz w:val="24"/>
                <w:szCs w:val="24"/>
                <w:color w:val="auto"/>
              </w:rPr>
            </w:pPr>
          </w:p>
        </w:tc>
        <w:tc>
          <w:tcPr>
            <w:tcW w:w="1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576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76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Senior notes, interest at 11.45%, principal payable in periodic</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installments, maturing in 1996...............................</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$152,843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$133,501</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Senior notes, interest at 11.95%, principal payable in periodic</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installments, maturing in 1996...............................</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17,929</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Industrial revenue bonds, variable interest rates (5.8% to 6.0%</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at December 31, 1994), principal payable in annual</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installments, maturing in 2001-2007, collateralized by</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letters of credit............................................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95,200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88,800</w:t>
            </w:r>
          </w:p>
        </w:tc>
      </w:tr>
      <w:tr>
        <w:trPr>
          <w:trHeight w:val="173"/>
        </w:trPr>
        <w:tc>
          <w:tcPr>
            <w:tcW w:w="5760" w:type="dxa"/>
            <w:vAlign w:val="bottom"/>
          </w:tcPr>
          <w:p>
            <w:pPr>
              <w:jc w:val="right"/>
              <w:ind w:right="825"/>
              <w:spacing w:after="0"/>
              <w:rPr>
                <w:sz w:val="20"/>
                <w:szCs w:val="20"/>
                <w:color w:val="auto"/>
              </w:rPr>
            </w:pPr>
            <w:r>
              <w:rPr>
                <w:rFonts w:ascii="Courier New" w:cs="Courier New" w:eastAsia="Courier New" w:hAnsi="Courier New"/>
                <w:sz w:val="15"/>
                <w:szCs w:val="15"/>
                <w:color w:val="auto"/>
                <w:w w:val="99"/>
              </w:rPr>
              <w:t>Noninterest-bearing notes, principal payable in annual</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installments, maturing in 2002, less unamortized discount of</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$4,464 and $3,630, respectively, based on imputed interest</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rate of 12%..................................................</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7,686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7,170</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notes payable and equipment loans, various interest rates</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(6.0% to 11.5% at December 31, 1994), maturities through</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760" w:type="dxa"/>
            <w:vAlign w:val="bottom"/>
          </w:tcPr>
          <w:p>
            <w:pPr>
              <w:ind w:left="180"/>
              <w:spacing w:after="0"/>
              <w:rPr>
                <w:sz w:val="20"/>
                <w:szCs w:val="20"/>
                <w:color w:val="auto"/>
              </w:rPr>
            </w:pPr>
            <w:r>
              <w:rPr>
                <w:rFonts w:ascii="Courier New" w:cs="Courier New" w:eastAsia="Courier New" w:hAnsi="Courier New"/>
                <w:sz w:val="15"/>
                <w:szCs w:val="15"/>
                <w:color w:val="auto"/>
              </w:rPr>
              <w:t>2000, collateralized by vehicles, equipment and other</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12,979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7,885</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Capital lease obligation on building (see Note I)..............</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2,196</w:t>
            </w:r>
          </w:p>
        </w:tc>
      </w:tr>
      <w:tr>
        <w:trPr>
          <w:trHeight w:val="173"/>
        </w:trPr>
        <w:tc>
          <w:tcPr>
            <w:tcW w:w="576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291,551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257,481</w:t>
            </w:r>
          </w:p>
        </w:tc>
      </w:tr>
      <w:tr>
        <w:trPr>
          <w:trHeight w:val="173"/>
        </w:trPr>
        <w:tc>
          <w:tcPr>
            <w:tcW w:w="57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Less current maturities........................................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29,748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46,465</w:t>
            </w:r>
          </w:p>
        </w:tc>
      </w:tr>
      <w:tr>
        <w:trPr>
          <w:trHeight w:val="173"/>
        </w:trPr>
        <w:tc>
          <w:tcPr>
            <w:tcW w:w="576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76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$261,803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$211,016</w:t>
            </w:r>
          </w:p>
        </w:tc>
      </w:tr>
      <w:tr>
        <w:trPr>
          <w:trHeight w:val="173"/>
        </w:trPr>
        <w:tc>
          <w:tcPr>
            <w:tcW w:w="576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aggregate estimated payments, including scheduled minimum maturities, of long-term obligations for the five years ending December 31, 1995 through 1999 are: 1995-$46,465,000; 1996-$202,150,000; 1997-$3,480,000; 1998-$1,968,000; and 1999-$1,534,000.</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July 1993, Chambers executed comprehensive amendments to its bank credit facility (the "Credit Facility") and note purchase agreements under which Chambers issued senior notes (the "Senior Notes"). The amendments to the Credit Facility and Senior Note agreements (collectively, as amended, the "Amended Agreements") included revisions to the terms and conditions of the original agreements and provided for additional terms and conditions with respect to future periods. Chambers' lenders and bonding company were granted security interests in substantially all of the assets of Chambers and an intercreditor agreement was executed among the Credit Facility banks, the Senior Note holders and the bonding company with respect to priority of interests in collateral and access to assets. In November 1994, Chambers executed additional amendments (the "Amendments") to its Credit Facility and Senior Note agreements which included waivers (with respect to noncompliance of consolidated working capital and consolidated tangible net worth covenants attributable to the proposed settlement of the shareholder litigation and financial statement delivery covenants) and revisions to the terms and conditions of the Amended Agreements, principally with respect to payment terms and compliance covenants.</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Amendments provide that 90% of the $74,421,000 scheduled payments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previously due on July 1, 1995 may be deferred until July 1, 1996, with further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deferral to December 31, 1996, at Chambers' option, of up to 75%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$95,512,000 scheduled payments previously due on October 31, 1995 and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1995 and all of the $95,512,000 scheduled payments due on October 31,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December 30, 1996. Certain of such scheduled payments due in 1995 and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be reduced by pro rata payments made prior to the scheduled payment dates.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non-deferred portion of these scheduled payments will be applied to reduce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 obligations, industrial revenue bond obligations and letters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issued under the Credit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91"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190</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Facility. The Amendments also provide that the remaining originally scheduled principal payments on the Senior Notes due after 1996 become due on December 31, 1996.</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Amendments require, however, that Chambers reduce Senior Note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obligations by a total of $60,000,000, primarily through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the non-deferred portions of the scheduled payments discussed above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other scheduled payments, between August 31, 1994 and December 31, 1995,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$20,000,000 was required to be paid by January 31, 1995.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$60,000,000, $23,671,000 has been paid to date, with the January 1995 payment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requirement having been satisfied. Portions of the remaining required payments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expected to be satisfied by currently available funds and operating cash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flow; however, in the absence of the Merger and related refinancing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 and Credit Facility obligations discussed below, Chambers will need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refinance the Senior Note and Credit Facility obligations on a stand-alone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or complete significant divestitures to satisfy any remaining payments.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Amendments, Chambers is also required to pay to the holders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Notes and the Credit Facility banks, the amount by which its daily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unrestricted cash balance exceeds $40,000,000 for any calendar month,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 minimum of 50% of the net proceeds from specified divestitures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by the Amendments, which proceeds will be applied to the $60,000,000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discussed above.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Amendments also provide for the issuance to the Senior Note holders and Credit Facility banks, at nominal consideration, of shares of Chambers' Class A Common Stock in the event Chambers has not refinanced the Senior Note and Credit Facility obligations prior to October 1, 1995. On that date, additional shares equal to 4% of Chambers' then issued and outstanding common stock would become issuable. Additional shares equal to 4% of Chambers' then issued and outstanding common stock would also become issuable if Chambers has not refinanced prior to April 1, 1996.</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Amendments contain financial covenants which require Chambers to maintain minimum levels of tangible net worth, working capital and quarterly cash flows from operations. The Amendments also prohibit the incurrence of additional indebtedness and the payment of cash dividends, and limit annual cash capital expenditures.</w:t>
      </w:r>
    </w:p>
    <w:p>
      <w:pPr>
        <w:spacing w:after="0" w:line="177" w:lineRule="exact"/>
        <w:rPr>
          <w:sz w:val="20"/>
          <w:szCs w:val="20"/>
          <w:color w:val="auto"/>
        </w:rPr>
      </w:pPr>
    </w:p>
    <w:p>
      <w:pPr>
        <w:jc w:val="both"/>
        <w:ind w:right="3019" w:firstLine="451"/>
        <w:spacing w:after="0" w:line="262" w:lineRule="auto"/>
        <w:rPr>
          <w:sz w:val="20"/>
          <w:szCs w:val="20"/>
          <w:color w:val="auto"/>
        </w:rPr>
      </w:pPr>
      <w:r>
        <w:rPr>
          <w:rFonts w:ascii="Courier New" w:cs="Courier New" w:eastAsia="Courier New" w:hAnsi="Courier New"/>
          <w:sz w:val="14"/>
          <w:szCs w:val="14"/>
          <w:color w:val="auto"/>
        </w:rPr>
        <w:t>Chambers anticipates that the combined company will refinance substantially all of the indebtedness of Chambers and USA Waste, including the Senior Note and Credit Facility obligations of Chambers, before or at the time of the Merger.</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Upon any refinancing of the Senior Note and Credit Facility obligations, Chambers expects to pay an early redemption premium to the Senior Note holders (the "Premium") based on the difference between the interest rates on the Senior Notes and an adjusted rate for U.S. Treasury securities having a similar maturity. Based on interest rates on U.S. Treasury securities at December 31, 1994, if the refinancing were to occur on June 30, 1995, management's estimate of the approximate date of the Merger, the Premium would be approximately $6,962,000.</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Amendments also require payment of escalating extension fees by Chambers to the Senior Note holders and Credit Facility banks, based upon the principal amounts outstanding as of the beginning of each calendar quarter, until such time as the existing debt under these agreements has been retired. Such extension fees are expected to aggregate approximately $652,000 through June 30, 1995.</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amounts shown above for the extension fees and the Premium are estimates, and the final amounts will depend on the date of the refinancing and the actual principal amounts outstanding under the Senior Notes during that period. The estimated extension fees and the Premium are being charged to interest expense through the period ending June 30, 1995. At December 31, 1994, Chambers had accrued a total of $1,245,000 related to the Premium. Such accrual is included in other noncurrent liabilities as the payment of the obligation is expected to be funded by long-term financing by the combined company as discussed above. In addition, a fee of approximately $673,000 paid upon execution of the Amendments was charged to interest expense in 1994.</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291"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191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Credit Facility at December 31, 1994, provided for letters of credit supporting Industrial Revenue Bonds (the "IRBs"), performance of landfill closure and post-closure requirements, insurance and other contracts. Letters of credit outstanding at December 31, 1994, aggregated $113,080,000, the maximum amount then issuable under the Credit Facility. Chambers pays an annual commission of 2% on the amount of letters of credit outstanding.</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IRBs outstanding at December 31, 1994, were collateralized by letters of credit totalling $90,550,000. The terms of the IRBs provide that Chambers may convert them to fixed interest rate obligations prior to the expiration of the applicable letters of credit, at prevailing market interest rates. The holders of such IRBs, upon giving notice, may tender them for redemption to the designated agent who will either remarket the obligations or use the letters of credit to fund their retirement. In the latter situation, Chambers would be indebted to the Credit Facility banks for the amounts advanced, and the banks could request cash collateral in the amount thereof.</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event the Merger is not consummated, Chambers intends to seek refinancing for its Senior Note and Credit Facility obligations. It is anticipated that such refinancing could be completed by September 30, 1995; however, management of Chambers believes that such refinancing would not be available to Chambers on a stand-alone basis without significant dilution to the stockholders of Chambers. If a refinancing were to occur on September 30, 1995, the Premium amount would be approximately $5,500,000. In addition, $895,000 in additional extension fees would be incurred.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event that the Merger is not consummated, Chambers would necessarily undertake a series of actions to provide for liquidity and funding of the Settlement Agreements. Chambers has the ability to abandon the Settlement Agreements in the absence of funding sufficient to comply with the payment obligations. However, it is the intention of Chambers, should the Merger not be consummated, to seek a refinancing and to delay the funding of the Settlement Agreements rather than abandon such agreements.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believes that a refinancing cannot be obtained in the absence of a settlement of the shareholder litigation. While Chambers has, under certain circumstances, alternate available financing through a funding agreement with USA Waste in an amount sufficient to satisfy Chambers' obligations under the Settlement Agreements, actual payments under such funding agreement remain subject to the consent of Chambers' current lending group. In the alternative, Chambers could delay the implementation of the shareholder litigation settlement until refinancing has been obtained.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absence of a settlement of the shareholder litigation and a refinancing of the Senior Note and Credit Facility obligations, Chambers would be compelled to implement an action plan to ensure continuing liquidity. The steps that would be necessary with respect to liquidity would include a reduction in discretionary capital expenditures with respect to current transfer station and methane recovery projects. Capital expenditures for vehicle and heavy equipment purchases would be reduced to a maintenance level, or otherwise deferred, and Chambers would employ lease financing programs, to the extent available, for certain equipment, in substitution for capital expenditure programs currently planned. Chambers would also resume and accelerate its divestiture program with respect to non-core assets and operations. As an additional step, Chambers would endeavor to accelerate remaining tax refunds and to substitute surety bond programs where permitted, with respect to closure and post-closure bond requirements, for cash collateral programs presently in place in certain jurisdictions.</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Should the Merger not be consummated, management of Chambers believes that the foregoing plan of action would be adequate to maintain compliance with the covenants and payment obligations under its Senior Note and Credit Facility obligations through December 31, 1995 and would provide a sufficient period of time to achieve a refinancing, which, in turn would permit the implementation of the settlement of the shareholder litigation. As indicated above, the Amendments provide that deferred payments previously due on July 1, 1995 may be deferred until July 1, 1996, with other deferred payments becoming due in December 1996, and with</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19"/>
          </w:cols>
          <w:pgMar w:left="240" w:top="291"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192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remaining originally scheduled payments due after 1996 becoming due on December 31, 1996. With the bulk of Chambers' long-term obligations becoming due in the second half of 1996 under the Amendments, the liquidity of Chambers would be adversely affected if the Merger were not consummated or a refinancing or modification of the current lending agreements were not achieved in a timely fashion.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 COMMITMENTS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Capital Lease on Building</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Chambers' headquarters facility is presently leased from the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of Chambers under a lease with an initial term expiring in October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2006 and which has a ten-year renewal option. The agreement provides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lease payments of $1,012,000 during 1995, payable monthly, and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increases based on increases in taxes and other costs. The rent may 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upward for increases in certain costs of the lessor on an annual basis.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1994, future minimum payments for the initial term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based on the aforementioned annual lease obligation were $11,140,000,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$918,000 representing interest and $8,026,000 representing executory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Chambers has guaranteed the demand note borrowing by the lessor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 the building, which is collateral for such note. The outstanding balance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note was $1,945,000 at December 31, 1994. In 1988, Chambers prepaid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$752,000 on the lease payments due in the final year of the original lease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prepayment has been deducted in arriving at the above-mentioned future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payments.</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As discussed in Note D, pursuant to the terms of the Derivative Action Settlement Agreement, Chambers' headquarters facility will be contributed to Chambers, subject to assumption or discharge by Chambers of the demand note borrowing of the lessor.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Leases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Chambers has entered into a number of noncancelable operating leases for vehicles, equipment, offices and other facilities which expire through 2012. Lease expense aggregated $12,027,000, $11,020,000 and $7,632,000 during 1992, 1993 and 1994, respectively. The following is a summary of the future minimum lease payments under operating leases in effect at December 31, 1994 (in thousands):</w:t>
      </w:r>
    </w:p>
    <w:p>
      <w:pPr>
        <w:spacing w:after="0" w:line="200" w:lineRule="exact"/>
        <w:rPr>
          <w:sz w:val="20"/>
          <w:szCs w:val="20"/>
          <w:color w:val="auto"/>
        </w:rPr>
      </w:pPr>
    </w:p>
    <w:p>
      <w:pPr>
        <w:spacing w:after="0" w:line="32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YEAR ENDING DECEMBER 31,</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$ 4,032</w:t>
            </w:r>
          </w:p>
        </w:tc>
      </w:tr>
      <w:tr>
        <w:trPr>
          <w:trHeight w:val="173"/>
        </w:trPr>
        <w:tc>
          <w:tcPr>
            <w:tcW w:w="580" w:type="dxa"/>
            <w:vAlign w:val="bottom"/>
          </w:tcPr>
          <w:p>
            <w:pPr>
              <w:spacing w:after="0"/>
              <w:rPr>
                <w:sz w:val="15"/>
                <w:szCs w:val="15"/>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2,419</w:t>
            </w:r>
          </w:p>
        </w:tc>
      </w:tr>
      <w:tr>
        <w:trPr>
          <w:trHeight w:val="173"/>
        </w:trPr>
        <w:tc>
          <w:tcPr>
            <w:tcW w:w="580" w:type="dxa"/>
            <w:vAlign w:val="bottom"/>
          </w:tcPr>
          <w:p>
            <w:pPr>
              <w:spacing w:after="0"/>
              <w:rPr>
                <w:sz w:val="15"/>
                <w:szCs w:val="15"/>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1,269</w:t>
            </w:r>
          </w:p>
        </w:tc>
      </w:tr>
      <w:tr>
        <w:trPr>
          <w:trHeight w:val="173"/>
        </w:trPr>
        <w:tc>
          <w:tcPr>
            <w:tcW w:w="580" w:type="dxa"/>
            <w:vAlign w:val="bottom"/>
          </w:tcPr>
          <w:p>
            <w:pPr>
              <w:spacing w:after="0"/>
              <w:rPr>
                <w:sz w:val="15"/>
                <w:szCs w:val="15"/>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r>
      <w:tr>
        <w:trPr>
          <w:trHeight w:val="173"/>
        </w:trPr>
        <w:tc>
          <w:tcPr>
            <w:tcW w:w="580" w:type="dxa"/>
            <w:vAlign w:val="bottom"/>
          </w:tcPr>
          <w:p>
            <w:pPr>
              <w:spacing w:after="0"/>
              <w:rPr>
                <w:sz w:val="15"/>
                <w:szCs w:val="15"/>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3"/>
        </w:trPr>
        <w:tc>
          <w:tcPr>
            <w:tcW w:w="580" w:type="dxa"/>
            <w:vAlign w:val="bottom"/>
          </w:tcPr>
          <w:p>
            <w:pPr>
              <w:spacing w:after="0"/>
              <w:rPr>
                <w:sz w:val="15"/>
                <w:szCs w:val="15"/>
                <w:color w:val="auto"/>
              </w:rPr>
            </w:pPr>
          </w:p>
        </w:tc>
        <w:tc>
          <w:tcPr>
            <w:tcW w:w="6720" w:type="dxa"/>
            <w:vAlign w:val="bottom"/>
          </w:tcPr>
          <w:p>
            <w:pPr>
              <w:ind w:left="40"/>
              <w:spacing w:after="0"/>
              <w:rPr>
                <w:sz w:val="20"/>
                <w:szCs w:val="20"/>
                <w:color w:val="auto"/>
              </w:rPr>
            </w:pPr>
            <w:r>
              <w:rPr>
                <w:rFonts w:ascii="Courier New" w:cs="Courier New" w:eastAsia="Courier New" w:hAnsi="Courier New"/>
                <w:sz w:val="15"/>
                <w:szCs w:val="15"/>
                <w:color w:val="auto"/>
              </w:rPr>
              <w:t>Thereafter...............................................................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1,380</w:t>
            </w:r>
          </w:p>
        </w:tc>
      </w:tr>
      <w:tr>
        <w:trPr>
          <w:trHeight w:val="173"/>
        </w:trPr>
        <w:tc>
          <w:tcPr>
            <w:tcW w:w="5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$ 9,641</w:t>
            </w:r>
          </w:p>
        </w:tc>
      </w:tr>
      <w:tr>
        <w:trPr>
          <w:trHeight w:val="173"/>
        </w:trPr>
        <w:tc>
          <w:tcPr>
            <w:tcW w:w="5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80" w:type="dxa"/>
            <w:vAlign w:val="bottom"/>
          </w:tcPr>
          <w:p>
            <w:pPr>
              <w:spacing w:after="0"/>
              <w:rPr>
                <w:sz w:val="20"/>
                <w:szCs w:val="20"/>
                <w:color w:val="auto"/>
              </w:rPr>
            </w:pPr>
            <w:r>
              <w:rPr>
                <w:rFonts w:ascii="Courier New" w:cs="Courier New" w:eastAsia="Courier New" w:hAnsi="Courier New"/>
                <w:sz w:val="15"/>
                <w:szCs w:val="15"/>
                <w:color w:val="auto"/>
              </w:rPr>
              <w:t>NOTE J</w:t>
            </w:r>
          </w:p>
        </w:tc>
        <w:tc>
          <w:tcPr>
            <w:tcW w:w="6720" w:type="dxa"/>
            <w:vAlign w:val="bottom"/>
          </w:tcPr>
          <w:p>
            <w:pPr>
              <w:ind w:left="40"/>
              <w:spacing w:after="0"/>
              <w:rPr>
                <w:sz w:val="20"/>
                <w:szCs w:val="20"/>
                <w:color w:val="auto"/>
              </w:rPr>
            </w:pPr>
            <w:r>
              <w:rPr>
                <w:rFonts w:ascii="Courier New" w:cs="Courier New" w:eastAsia="Courier New" w:hAnsi="Courier New"/>
                <w:sz w:val="15"/>
                <w:szCs w:val="15"/>
                <w:color w:val="auto"/>
              </w:rPr>
              <w:t>-- ENVIRONMENTAL COSTS AND LIABILITIES</w:t>
            </w:r>
          </w:p>
        </w:tc>
        <w:tc>
          <w:tcPr>
            <w:tcW w:w="720" w:type="dxa"/>
            <w:vAlign w:val="bottom"/>
          </w:tcPr>
          <w:p>
            <w:pPr>
              <w:spacing w:after="0"/>
              <w:rPr>
                <w:sz w:val="24"/>
                <w:szCs w:val="24"/>
                <w:color w:val="auto"/>
              </w:rPr>
            </w:pPr>
          </w:p>
        </w:tc>
      </w:tr>
    </w:tbl>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operation within the environmental services industry subjects it to future financial obligations with regard to closure and post-closure monitoring and site maintenance costs associated with the solid waste landfills it operates. Chambers' engineers estimate such costs based on the technical requirements of the U.S. Environmental Protection Agency's Subtitle D regulations and the proposed air emissions standards under the Clean Air Act, as they are being applied on a state-by-state basis.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Final closure and post-closure monitoring and site maintenance costs represent the costs related to cash expenditures to be incurred after a landfill ceases to accept waste and closes. Such costs include final capping of the site and site inspections, groundwater monitoring, leachate management, methane gas control and</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19"/>
          </w:cols>
          <w:pgMar w:left="240" w:top="291"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193</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maintenance costs to be incurred for up to 30 years after the facility closes. Final closure and post-closure monitoring and site maintenance costs are estimated to be approximately $140,000,000 at the time all Chambers landfills have reached their respective capacity. The accrual for these costs is recorded as airspace at the respective landfill site is consumed.</w:t>
      </w:r>
    </w:p>
    <w:p>
      <w:pPr>
        <w:spacing w:after="0" w:line="177"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In addition, Chambers expects to incur other closure costs, principally related to capping and methane gas control activities, during the operating lives of the landfill sites. The accrual for these costs is also recorded as airspace at the respective landfill site is consumed.</w:t>
      </w:r>
    </w:p>
    <w:p>
      <w:pPr>
        <w:spacing w:after="0" w:line="176" w:lineRule="exact"/>
        <w:rPr>
          <w:sz w:val="20"/>
          <w:szCs w:val="20"/>
          <w:color w:val="auto"/>
        </w:rPr>
      </w:pPr>
    </w:p>
    <w:p>
      <w:pPr>
        <w:ind w:right="3739" w:firstLine="451"/>
        <w:spacing w:after="0" w:line="243" w:lineRule="auto"/>
        <w:rPr>
          <w:sz w:val="20"/>
          <w:szCs w:val="20"/>
          <w:color w:val="auto"/>
        </w:rPr>
      </w:pPr>
      <w:r>
        <w:rPr>
          <w:rFonts w:ascii="Courier New" w:cs="Courier New" w:eastAsia="Courier New" w:hAnsi="Courier New"/>
          <w:sz w:val="15"/>
          <w:szCs w:val="15"/>
          <w:color w:val="auto"/>
        </w:rPr>
        <w:t>Accrued liabilities for all closure and post-closure monitoring and maintenance costs are as follows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594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94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portion, included in accrued liabilities.................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1,534</w:t>
            </w:r>
          </w:p>
        </w:tc>
      </w:tr>
      <w:tr>
        <w:trPr>
          <w:trHeight w:val="173"/>
        </w:trPr>
        <w:tc>
          <w:tcPr>
            <w:tcW w:w="5940" w:type="dxa"/>
            <w:vAlign w:val="bottom"/>
          </w:tcPr>
          <w:p>
            <w:pPr>
              <w:spacing w:after="0"/>
              <w:rPr>
                <w:sz w:val="20"/>
                <w:szCs w:val="20"/>
                <w:color w:val="auto"/>
              </w:rPr>
            </w:pPr>
            <w:r>
              <w:rPr>
                <w:rFonts w:ascii="Courier New" w:cs="Courier New" w:eastAsia="Courier New" w:hAnsi="Courier New"/>
                <w:sz w:val="15"/>
                <w:szCs w:val="15"/>
                <w:color w:val="auto"/>
              </w:rPr>
              <w:t>Noncurrent portion, included in other noncurrent liabilities.....</w:t>
            </w:r>
          </w:p>
        </w:tc>
        <w:tc>
          <w:tcPr>
            <w:tcW w:w="2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18,114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24,113</w:t>
            </w:r>
          </w:p>
        </w:tc>
      </w:tr>
      <w:tr>
        <w:trPr>
          <w:trHeight w:val="173"/>
        </w:trPr>
        <w:tc>
          <w:tcPr>
            <w:tcW w:w="594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940" w:type="dxa"/>
            <w:vAlign w:val="bottom"/>
          </w:tcPr>
          <w:p>
            <w:pPr>
              <w:spacing w:after="0"/>
              <w:rPr>
                <w:sz w:val="15"/>
                <w:szCs w:val="15"/>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19,972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$ 25,647</w:t>
            </w:r>
          </w:p>
        </w:tc>
      </w:tr>
      <w:tr>
        <w:trPr>
          <w:trHeight w:val="173"/>
        </w:trPr>
        <w:tc>
          <w:tcPr>
            <w:tcW w:w="594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Chambers periodically reviews and updates the underlying assumptions used to determine such estimates and, accordingly, the estimate of total projected costs is subject to periodic revision and adjustment.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K -- CAPITAL STOCK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Class A Common Stock is entitled to a noncumulative quarterly dividend preference of $.003125 per share before any dividend may be paid on the Common Stock. Additional dividends declared on the Class A Common Stock and the Common Stock are shared equally on a per share basis. Holders of Class A Common Stock are entitled to one vote per share, whereas holders of Common Stock have ten votes per share. Common Stock is convertible into Class A Common Stock at the option of the holder on a one-for-one basis.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At December 31, 1994, approximately 19,158,000 shares of Class A Common Stock were reserved for issuance under Chambers' stock option plans and for the conversion of Common Stock.</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During the years ended December 31, 1992, 1993 and 1994, 8,700, 10,150 and 86,582 shares, respectively, of Chambers' Common Stock were exchanged for an equal number of shares of Class A Common Stock. In addition, during 1992 and 1994, 8,366 and 600 shares, respectively, of Class A Common Stock were issued upon the exercise of stock options.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L -- STOCK OPTION PLANS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Chambers has two plans under which stock options for the purchase of Class A Common Stock currently may be granted: the 1993 Stock Incentive Plan (the "1993 Plan") and the 1991 Stock Option Plan for Non-Employee Directors (the "Directors' Plan"). The 1990 Stock Option Plan for Consultants and Advisors was terminated on March 16, 1994.</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maximum number of shares of Class A Common stock available for grant under the 1993 Plan in each calendar year is equal to one percent of the total number of outstanding shares of Class A Common Stock as of the beginning of the year, plus any shares then reserved but not subject to grant under Chambers' terminated 1988 Stock Option Plan. Any unused shares available for grant in any calendar year are carried forward and available for award in succeeding calendar years.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1993 Plan permits the granting to key officers and employees, including directors who are employees, the following types of awards: (i) stock options including incentive stock options, (ii) stock appreciation rights, (iii) restricted stock, (iv) deferred stock, (v) performance awards, (vi) dividend equivalents and</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19"/>
          </w:cols>
          <w:pgMar w:left="240" w:top="291" w:right="1440" w:bottom="1440" w:gutter="0" w:footer="0" w:header="0"/>
        </w:sectPr>
      </w:pPr>
    </w:p>
    <w:bookmarkStart w:id="198" w:name="page199"/>
    <w:bookmarkEnd w:id="198"/>
    <w:p>
      <w:pPr>
        <w:ind w:left="268"/>
        <w:spacing w:after="0"/>
        <w:rPr>
          <w:sz w:val="20"/>
          <w:szCs w:val="20"/>
          <w:color w:val="auto"/>
        </w:rPr>
      </w:pPr>
      <w:r>
        <w:rPr>
          <w:rFonts w:ascii="Courier New" w:cs="Courier New" w:eastAsia="Courier New" w:hAnsi="Courier New"/>
          <w:sz w:val="15"/>
          <w:szCs w:val="15"/>
          <w:color w:val="auto"/>
        </w:rPr>
        <w:t>194</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left="8" w:right="3019" w:hanging="8"/>
        <w:spacing w:after="0" w:line="244" w:lineRule="auto"/>
        <w:tabs>
          <w:tab w:leader="none" w:pos="5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stock-based awards. The type and number of awards to be granted, as well as the terms, conditions and other provisions applicable to each award, are determined by the Human Resource Committee of the Board of Directors.</w:t>
      </w:r>
    </w:p>
    <w:p>
      <w:pPr>
        <w:spacing w:after="0" w:line="175" w:lineRule="exact"/>
        <w:rPr>
          <w:sz w:val="20"/>
          <w:szCs w:val="20"/>
          <w:color w:val="auto"/>
        </w:rPr>
      </w:pPr>
    </w:p>
    <w:p>
      <w:pPr>
        <w:ind w:left="8" w:right="3199" w:firstLine="451"/>
        <w:spacing w:after="0" w:line="265" w:lineRule="auto"/>
        <w:rPr>
          <w:sz w:val="20"/>
          <w:szCs w:val="20"/>
          <w:color w:val="auto"/>
        </w:rPr>
      </w:pPr>
      <w:r>
        <w:rPr>
          <w:rFonts w:ascii="Courier New" w:cs="Courier New" w:eastAsia="Courier New" w:hAnsi="Courier New"/>
          <w:sz w:val="14"/>
          <w:szCs w:val="14"/>
          <w:color w:val="auto"/>
        </w:rPr>
        <w:t>Under the 1993 Plan, the exercise price of stock options granted may be more or less than the fair market value of the stock on the date of grant, but in no event may it be less than the par value of the stock. Stock appreciation rights may be granted, either alone or in tandem with stock options. These rights entitle the optionee to receive the excess of the fair market value of the stock on the date of exercise over the grant price which generally may not be less than the fair market value of the stock on the date of grant.</w:t>
      </w:r>
    </w:p>
    <w:p>
      <w:pPr>
        <w:spacing w:after="0" w:line="16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Directors' Plan provides for the granting of options for the purchase of a maximum of 150,000 shares of Class A Common Stock. Under the Directors' Plan, each person serving as a director and who is not employed by Chambers will automatically be granted options for the purchase of 2,000 shares of stock on the third business day following each annual stockholders' meeting. In addition, each nonemployee director at the effective date of the plan was granted options to purchase 2,000 shares of stock for each year previously served on Chambers' Board of Directors. Options granted under the Directors' Plan become fully exercisable one year after the date of grant.</w:t>
      </w:r>
    </w:p>
    <w:p>
      <w:pPr>
        <w:spacing w:after="0" w:line="179" w:lineRule="exact"/>
        <w:rPr>
          <w:sz w:val="20"/>
          <w:szCs w:val="20"/>
          <w:color w:val="auto"/>
        </w:rPr>
      </w:pPr>
    </w:p>
    <w:p>
      <w:pPr>
        <w:ind w:left="8" w:right="3199" w:firstLine="451"/>
        <w:spacing w:after="0" w:line="262" w:lineRule="auto"/>
        <w:rPr>
          <w:sz w:val="20"/>
          <w:szCs w:val="20"/>
          <w:color w:val="auto"/>
        </w:rPr>
      </w:pPr>
      <w:r>
        <w:rPr>
          <w:rFonts w:ascii="Courier New" w:cs="Courier New" w:eastAsia="Courier New" w:hAnsi="Courier New"/>
          <w:sz w:val="14"/>
          <w:szCs w:val="14"/>
          <w:color w:val="auto"/>
        </w:rPr>
        <w:t>Provisions of the 1988 Plan continue with respect to stock options previously granted. Options outstanding under the 1988 Plan become exercisable</w:t>
      </w:r>
    </w:p>
    <w:p>
      <w:pPr>
        <w:ind w:left="8" w:right="3019" w:hanging="8"/>
        <w:spacing w:after="0" w:line="244" w:lineRule="auto"/>
        <w:tabs>
          <w:tab w:leader="none" w:pos="36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cumulative annual increments of 25 percent each year, commencing one year after the date of grant, or (ii) in cumulative annual increments of 50 percent each year, commencing three years after the date of grant.</w:t>
      </w:r>
    </w:p>
    <w:p>
      <w:pPr>
        <w:spacing w:after="0" w:line="175" w:lineRule="exact"/>
        <w:rPr>
          <w:sz w:val="20"/>
          <w:szCs w:val="20"/>
          <w:color w:val="auto"/>
        </w:rPr>
      </w:pPr>
    </w:p>
    <w:p>
      <w:pPr>
        <w:jc w:val="both"/>
        <w:ind w:left="8" w:right="3099" w:firstLine="451"/>
        <w:spacing w:after="0" w:line="243" w:lineRule="auto"/>
        <w:rPr>
          <w:sz w:val="20"/>
          <w:szCs w:val="20"/>
          <w:color w:val="auto"/>
        </w:rPr>
      </w:pPr>
      <w:r>
        <w:rPr>
          <w:rFonts w:ascii="Courier New" w:cs="Courier New" w:eastAsia="Courier New" w:hAnsi="Courier New"/>
          <w:sz w:val="15"/>
          <w:szCs w:val="15"/>
          <w:color w:val="auto"/>
        </w:rPr>
        <w:t>Information related to stock options under all plans is as follows (shares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080" w:type="dxa"/>
            <w:vAlign w:val="bottom"/>
          </w:tcPr>
          <w:p>
            <w:pPr>
              <w:spacing w:after="0"/>
              <w:rPr>
                <w:sz w:val="14"/>
                <w:szCs w:val="14"/>
                <w:color w:val="auto"/>
              </w:rPr>
            </w:pPr>
          </w:p>
        </w:tc>
      </w:tr>
      <w:tr>
        <w:trPr>
          <w:trHeight w:val="173"/>
        </w:trPr>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14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1992</w:t>
            </w:r>
          </w:p>
        </w:tc>
        <w:tc>
          <w:tcPr>
            <w:tcW w:w="280" w:type="dxa"/>
            <w:vAlign w:val="bottom"/>
          </w:tcPr>
          <w:p>
            <w:pPr>
              <w:spacing w:after="0"/>
              <w:rPr>
                <w:sz w:val="15"/>
                <w:szCs w:val="15"/>
                <w:color w:val="auto"/>
              </w:rPr>
            </w:pPr>
          </w:p>
        </w:tc>
        <w:tc>
          <w:tcPr>
            <w:tcW w:w="13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1993</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Outstanding at beginning of year...........</w:t>
            </w:r>
          </w:p>
        </w:tc>
        <w:tc>
          <w:tcPr>
            <w:tcW w:w="180" w:type="dxa"/>
            <w:vAlign w:val="bottom"/>
          </w:tcPr>
          <w:p>
            <w:pPr>
              <w:spacing w:after="0"/>
              <w:rPr>
                <w:sz w:val="24"/>
                <w:szCs w:val="2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876</w:t>
            </w:r>
          </w:p>
        </w:tc>
        <w:tc>
          <w:tcPr>
            <w:tcW w:w="280" w:type="dxa"/>
            <w:vAlign w:val="bottom"/>
          </w:tcPr>
          <w:p>
            <w:pPr>
              <w:spacing w:after="0"/>
              <w:rPr>
                <w:sz w:val="24"/>
                <w:szCs w:val="2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1,451</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1,622</w:t>
            </w:r>
          </w:p>
        </w:tc>
      </w:tr>
      <w:tr>
        <w:trPr>
          <w:trHeight w:val="173"/>
        </w:trPr>
        <w:tc>
          <w:tcPr>
            <w:tcW w:w="4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Granted....................................</w:t>
            </w:r>
          </w:p>
        </w:tc>
        <w:tc>
          <w:tcPr>
            <w:tcW w:w="1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751</w:t>
            </w:r>
          </w:p>
        </w:tc>
        <w:tc>
          <w:tcPr>
            <w:tcW w:w="28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481</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585</w:t>
            </w:r>
          </w:p>
        </w:tc>
      </w:tr>
      <w:tr>
        <w:trPr>
          <w:trHeight w:val="173"/>
        </w:trPr>
        <w:tc>
          <w:tcPr>
            <w:tcW w:w="4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Cancelled..................................</w:t>
            </w:r>
          </w:p>
        </w:tc>
        <w:tc>
          <w:tcPr>
            <w:tcW w:w="1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w:t>
            </w:r>
          </w:p>
        </w:tc>
        <w:tc>
          <w:tcPr>
            <w:tcW w:w="28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(269)</w:t>
            </w:r>
          </w:p>
        </w:tc>
      </w:tr>
      <w:tr>
        <w:trPr>
          <w:trHeight w:val="173"/>
        </w:trPr>
        <w:tc>
          <w:tcPr>
            <w:tcW w:w="4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Exercised..................................</w:t>
            </w:r>
          </w:p>
        </w:tc>
        <w:tc>
          <w:tcPr>
            <w:tcW w:w="1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3"/>
        </w:trPr>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Outstanding at end of year.................</w:t>
            </w:r>
          </w:p>
        </w:tc>
        <w:tc>
          <w:tcPr>
            <w:tcW w:w="1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1,451</w:t>
            </w:r>
          </w:p>
        </w:tc>
        <w:tc>
          <w:tcPr>
            <w:tcW w:w="28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1,622</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1,937</w:t>
            </w:r>
          </w:p>
        </w:tc>
      </w:tr>
      <w:tr>
        <w:trPr>
          <w:trHeight w:val="173"/>
        </w:trPr>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3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Exercisable at end of year.................</w:t>
            </w:r>
          </w:p>
        </w:tc>
        <w:tc>
          <w:tcPr>
            <w:tcW w:w="1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372</w:t>
            </w:r>
          </w:p>
        </w:tc>
        <w:tc>
          <w:tcPr>
            <w:tcW w:w="28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572</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779</w:t>
            </w:r>
          </w:p>
        </w:tc>
      </w:tr>
      <w:tr>
        <w:trPr>
          <w:trHeight w:val="173"/>
        </w:trPr>
        <w:tc>
          <w:tcPr>
            <w:tcW w:w="43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Available for future grants at end of</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540" w:type="dxa"/>
            <w:vAlign w:val="bottom"/>
          </w:tcPr>
          <w:p>
            <w:pPr>
              <w:spacing w:after="0"/>
              <w:rPr>
                <w:sz w:val="15"/>
                <w:szCs w:val="15"/>
                <w:color w:val="auto"/>
              </w:rPr>
            </w:pPr>
          </w:p>
        </w:tc>
        <w:tc>
          <w:tcPr>
            <w:tcW w:w="37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year.....................................</w:t>
            </w:r>
          </w:p>
        </w:tc>
        <w:tc>
          <w:tcPr>
            <w:tcW w:w="1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662</w:t>
            </w:r>
          </w:p>
        </w:tc>
        <w:tc>
          <w:tcPr>
            <w:tcW w:w="28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892</w:t>
            </w:r>
          </w:p>
        </w:tc>
      </w:tr>
      <w:tr>
        <w:trPr>
          <w:trHeight w:val="173"/>
        </w:trPr>
        <w:tc>
          <w:tcPr>
            <w:tcW w:w="1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Price range:</w:t>
            </w: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540" w:type="dxa"/>
            <w:vAlign w:val="bottom"/>
          </w:tcPr>
          <w:p>
            <w:pPr>
              <w:spacing w:after="0"/>
              <w:rPr>
                <w:sz w:val="15"/>
                <w:szCs w:val="15"/>
                <w:color w:val="auto"/>
              </w:rPr>
            </w:pPr>
          </w:p>
        </w:tc>
        <w:tc>
          <w:tcPr>
            <w:tcW w:w="37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Granted..................................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$2.25- 3.88</w:t>
            </w:r>
          </w:p>
        </w:tc>
      </w:tr>
      <w:tr>
        <w:trPr>
          <w:trHeight w:val="173"/>
        </w:trPr>
        <w:tc>
          <w:tcPr>
            <w:tcW w:w="540" w:type="dxa"/>
            <w:vAlign w:val="bottom"/>
          </w:tcPr>
          <w:p>
            <w:pPr>
              <w:spacing w:after="0"/>
              <w:rPr>
                <w:sz w:val="15"/>
                <w:szCs w:val="15"/>
                <w:color w:val="auto"/>
              </w:rPr>
            </w:pPr>
          </w:p>
        </w:tc>
        <w:tc>
          <w:tcPr>
            <w:tcW w:w="37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Cancelled................................</w:t>
            </w:r>
          </w:p>
        </w:tc>
        <w:tc>
          <w:tcPr>
            <w:tcW w:w="1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4.38-21.19</w:t>
            </w:r>
          </w:p>
        </w:tc>
        <w:tc>
          <w:tcPr>
            <w:tcW w:w="28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4.38-17.44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2.25-17.44</w:t>
            </w:r>
          </w:p>
        </w:tc>
      </w:tr>
      <w:tr>
        <w:trPr>
          <w:trHeight w:val="173"/>
        </w:trPr>
        <w:tc>
          <w:tcPr>
            <w:tcW w:w="540" w:type="dxa"/>
            <w:vAlign w:val="bottom"/>
          </w:tcPr>
          <w:p>
            <w:pPr>
              <w:spacing w:after="0"/>
              <w:rPr>
                <w:sz w:val="15"/>
                <w:szCs w:val="15"/>
                <w:color w:val="auto"/>
              </w:rPr>
            </w:pPr>
          </w:p>
        </w:tc>
        <w:tc>
          <w:tcPr>
            <w:tcW w:w="37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Exercised................................</w:t>
            </w:r>
          </w:p>
        </w:tc>
        <w:tc>
          <w:tcPr>
            <w:tcW w:w="1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12.22-17.44</w:t>
            </w:r>
          </w:p>
        </w:tc>
        <w:tc>
          <w:tcPr>
            <w:tcW w:w="28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4.38</w:t>
            </w:r>
          </w:p>
        </w:tc>
      </w:tr>
      <w:tr>
        <w:trPr>
          <w:trHeight w:val="173"/>
        </w:trPr>
        <w:tc>
          <w:tcPr>
            <w:tcW w:w="540" w:type="dxa"/>
            <w:vAlign w:val="bottom"/>
          </w:tcPr>
          <w:p>
            <w:pPr>
              <w:spacing w:after="0"/>
              <w:rPr>
                <w:sz w:val="15"/>
                <w:szCs w:val="15"/>
                <w:color w:val="auto"/>
              </w:rPr>
            </w:pPr>
          </w:p>
        </w:tc>
        <w:tc>
          <w:tcPr>
            <w:tcW w:w="37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Outstanding at end of year...............</w:t>
            </w:r>
          </w:p>
        </w:tc>
        <w:tc>
          <w:tcPr>
            <w:tcW w:w="1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4.38-24.63</w:t>
            </w:r>
          </w:p>
        </w:tc>
        <w:tc>
          <w:tcPr>
            <w:tcW w:w="280" w:type="dxa"/>
            <w:vAlign w:val="bottom"/>
          </w:tcPr>
          <w:p>
            <w:pPr>
              <w:spacing w:after="0"/>
              <w:rPr>
                <w:sz w:val="15"/>
                <w:szCs w:val="15"/>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4.03-24.63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2.25-24.63</w:t>
            </w:r>
          </w:p>
        </w:tc>
      </w:tr>
      <w:tr>
        <w:trPr>
          <w:trHeight w:val="52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 M</w:t>
            </w:r>
          </w:p>
        </w:tc>
        <w:tc>
          <w:tcPr>
            <w:tcW w:w="3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REVENUES FROM MAJOR CUSTOMERS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7"/>
        </w:trPr>
        <w:tc>
          <w:tcPr>
            <w:tcW w:w="7380" w:type="dxa"/>
            <w:vAlign w:val="bottom"/>
            <w:gridSpan w:val="7"/>
          </w:tcPr>
          <w:p>
            <w:pPr>
              <w:jc w:val="right"/>
              <w:ind w:right="465"/>
              <w:spacing w:after="0"/>
              <w:rPr>
                <w:sz w:val="20"/>
                <w:szCs w:val="20"/>
                <w:color w:val="auto"/>
              </w:rPr>
            </w:pPr>
            <w:r>
              <w:rPr>
                <w:rFonts w:ascii="Courier New" w:cs="Courier New" w:eastAsia="Courier New" w:hAnsi="Courier New"/>
                <w:sz w:val="15"/>
                <w:szCs w:val="15"/>
                <w:color w:val="auto"/>
              </w:rPr>
              <w:t>Chambers operates in one industry segment, integrated waste management.</w:t>
            </w:r>
          </w:p>
        </w:tc>
        <w:tc>
          <w:tcPr>
            <w:tcW w:w="1080" w:type="dxa"/>
            <w:vAlign w:val="bottom"/>
          </w:tcPr>
          <w:p>
            <w:pPr>
              <w:spacing w:after="0"/>
              <w:rPr>
                <w:sz w:val="24"/>
                <w:szCs w:val="24"/>
                <w:color w:val="auto"/>
              </w:rPr>
            </w:pPr>
          </w:p>
        </w:tc>
      </w:tr>
      <w:tr>
        <w:trPr>
          <w:trHeight w:val="173"/>
        </w:trPr>
        <w:tc>
          <w:tcPr>
            <w:tcW w:w="7380" w:type="dxa"/>
            <w:vAlign w:val="bottom"/>
            <w:gridSpan w:val="7"/>
          </w:tcPr>
          <w:p>
            <w:pPr>
              <w:spacing w:after="0"/>
              <w:rPr>
                <w:sz w:val="20"/>
                <w:szCs w:val="20"/>
                <w:color w:val="auto"/>
              </w:rPr>
            </w:pPr>
            <w:r>
              <w:rPr>
                <w:rFonts w:ascii="Courier New" w:cs="Courier New" w:eastAsia="Courier New" w:hAnsi="Courier New"/>
                <w:sz w:val="15"/>
                <w:szCs w:val="15"/>
                <w:color w:val="auto"/>
              </w:rPr>
              <w:t>Revenues from the Bergen County Utilities Authority totaled $33,476,000 and</w:t>
            </w:r>
          </w:p>
        </w:tc>
        <w:tc>
          <w:tcPr>
            <w:tcW w:w="1080" w:type="dxa"/>
            <w:vAlign w:val="bottom"/>
          </w:tcPr>
          <w:p>
            <w:pPr>
              <w:spacing w:after="0"/>
              <w:rPr>
                <w:sz w:val="15"/>
                <w:szCs w:val="15"/>
                <w:color w:val="auto"/>
              </w:rPr>
            </w:pPr>
          </w:p>
        </w:tc>
      </w:tr>
      <w:tr>
        <w:trPr>
          <w:trHeight w:val="173"/>
        </w:trPr>
        <w:tc>
          <w:tcPr>
            <w:tcW w:w="7380" w:type="dxa"/>
            <w:vAlign w:val="bottom"/>
            <w:gridSpan w:val="7"/>
          </w:tcPr>
          <w:p>
            <w:pPr>
              <w:spacing w:after="0"/>
              <w:rPr>
                <w:sz w:val="20"/>
                <w:szCs w:val="20"/>
                <w:color w:val="auto"/>
              </w:rPr>
            </w:pPr>
            <w:r>
              <w:rPr>
                <w:rFonts w:ascii="Courier New" w:cs="Courier New" w:eastAsia="Courier New" w:hAnsi="Courier New"/>
                <w:sz w:val="15"/>
                <w:szCs w:val="15"/>
                <w:color w:val="auto"/>
              </w:rPr>
              <w:t>$33,870,000, or 11.4% and 11.7% of revenues from continuing operations, for the</w:t>
            </w:r>
          </w:p>
        </w:tc>
        <w:tc>
          <w:tcPr>
            <w:tcW w:w="1080" w:type="dxa"/>
            <w:vAlign w:val="bottom"/>
          </w:tcPr>
          <w:p>
            <w:pPr>
              <w:spacing w:after="0"/>
              <w:rPr>
                <w:sz w:val="15"/>
                <w:szCs w:val="15"/>
                <w:color w:val="auto"/>
              </w:rPr>
            </w:pPr>
          </w:p>
        </w:tc>
      </w:tr>
      <w:tr>
        <w:trPr>
          <w:trHeight w:val="173"/>
        </w:trPr>
        <w:tc>
          <w:tcPr>
            <w:tcW w:w="5760" w:type="dxa"/>
            <w:vAlign w:val="bottom"/>
            <w:gridSpan w:val="5"/>
          </w:tcPr>
          <w:p>
            <w:pPr>
              <w:spacing w:after="0"/>
              <w:rPr>
                <w:sz w:val="20"/>
                <w:szCs w:val="20"/>
                <w:color w:val="auto"/>
              </w:rPr>
            </w:pPr>
            <w:r>
              <w:rPr>
                <w:rFonts w:ascii="Courier New" w:cs="Courier New" w:eastAsia="Courier New" w:hAnsi="Courier New"/>
                <w:sz w:val="15"/>
                <w:szCs w:val="15"/>
                <w:color w:val="auto"/>
              </w:rPr>
              <w:t>years ended December 31, 1992 and 1993, respectively.</w:t>
            </w: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47"/>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 N</w:t>
            </w:r>
          </w:p>
        </w:tc>
        <w:tc>
          <w:tcPr>
            <w:tcW w:w="3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UNUSUAL ITEMS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7"/>
        </w:trPr>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Unusual Items --</w:t>
            </w:r>
          </w:p>
        </w:tc>
        <w:tc>
          <w:tcPr>
            <w:tcW w:w="2620" w:type="dxa"/>
            <w:vAlign w:val="bottom"/>
          </w:tcPr>
          <w:p>
            <w:pPr>
              <w:jc w:val="right"/>
              <w:ind w:right="1645"/>
              <w:spacing w:after="0"/>
              <w:rPr>
                <w:sz w:val="20"/>
                <w:szCs w:val="20"/>
                <w:color w:val="auto"/>
              </w:rPr>
            </w:pPr>
            <w:r>
              <w:rPr>
                <w:rFonts w:ascii="Courier New" w:cs="Courier New" w:eastAsia="Courier New" w:hAnsi="Courier New"/>
                <w:sz w:val="15"/>
                <w:szCs w:val="15"/>
                <w:color w:val="auto"/>
                <w:w w:val="97"/>
              </w:rPr>
              <w:t>Operations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8" w:lineRule="exact"/>
        <w:rPr>
          <w:sz w:val="20"/>
          <w:szCs w:val="20"/>
          <w:color w:val="auto"/>
        </w:rPr>
      </w:pPr>
    </w:p>
    <w:p>
      <w:pPr>
        <w:jc w:val="both"/>
        <w:ind w:left="8" w:right="3099" w:firstLine="451"/>
        <w:spacing w:after="0" w:line="244" w:lineRule="auto"/>
        <w:rPr>
          <w:sz w:val="20"/>
          <w:szCs w:val="20"/>
          <w:color w:val="auto"/>
        </w:rPr>
      </w:pPr>
      <w:r>
        <w:rPr>
          <w:rFonts w:ascii="Courier New" w:cs="Courier New" w:eastAsia="Courier New" w:hAnsi="Courier New"/>
          <w:sz w:val="15"/>
          <w:szCs w:val="15"/>
          <w:color w:val="auto"/>
        </w:rPr>
        <w:t>In 1992, Chambers became a defendant in shareholder litigation arising out of financial statement revisions (see Note D) and, as a result of noncompliance with certain covenants of its various long-term borrowing agreements, commenced restructuring of its principal credit facilities and surety arrangements.</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27"/>
          </w:cols>
          <w:pgMar w:left="232" w:top="291"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195</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Chambers also initiated a major restructuring of its operations which included a program to divest certain businesses that no longer met strategic and performance objectives, the abandonment of various development activities and the reorganization of its corporate and regional operations. In 1992, 1993 and 1994, Chambers has incurred substantial expenses related to these matters.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1992, Chambers recorded a charge of $10,525,000 for anticipated losses on planned asset divestitures and contractual commitments and recorded a charge of $12,425,000 for asset impairments and abandoned projects. There was no cash flow effect for these unusual charges.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Chambers recorded charges of $10,388,000 in 1992 for financing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professional fees primarily related to the restructuring of its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facilities and surety arrangements. Chambers also recorded a charge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$7,134,000 for special directors and officers insurance premiums as a result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shareholder litigation and charges of $3,819,000 related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reorganization of its corporate and regional operations. The latter charges were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employee severance, relocation and related transition costs, costs to close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facilities and other related costs.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1993, Chambers sold certain businesses as part of its divestiture program, which resulted in a net gain of $20,701,000. Chambers also recorded charges of $8,687,000 for losses on asset divestitures and contractual commitments including (i) $3,172,000 related to the municipal contract discussed below, (ii) $3,194,000 related to the recycling operation and real estate sold in 1994 and (iii) $2,140,000 related to a hauling, recycling and transfer station held for sale. In addition, Chambers reversed prior year provisions of $6,636,000 for losses on divestitures for businesses that were subsequently retained.</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1993, Chambers also recorded charges of $4,929,000, consisting of $2,028,000 for impaired assets and $2,901,000 for abandoned projects. Additionally, there were charges in 1993 of $1,555,000 for special directors and officers insurance premiums and $315,000 for severance benefits paid to employees terminated in connection with the corporate and regional restructuring.</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1994, Chambers recorded charges of $3,400,000 for losses on asset divestitures including $1,114,000 to adjust a prior year estimate of the loss on divestiture of a hauling, recycling and transfer station operation, and $2,300,000 related to the estimated future loss on a municipal contract. Effective March 1, 1994, Chambers was awarded a three-year contract for the transportation and disposal of municipal solid waste with, at the customer's option, two one-year extension periods beyond February 28, 1997. The costs of operating the contract have been greater than originally estimated and, since inception, the contract has been generating an operating loss. Operational changes and improvements implemented during 1994 did not sufficiently reduce operating costs. As a result, Chambers has estimated it will incur operating losses of approximately $2,300,000 through the remaining two-year term of the contract, and the two one-year extension periods, in order to satisfy the service requirements of the contract and accordingly has accrued such amount. In 1994, Chambers also reversed prior year provisions for losses on divestitures and contractual commitments of $3,565,000, including $2,000,000 previously recorded for expected losses to be incurred on a municipal contract with respect to which Chambers was able to negotiate an early termination and $1,053,000 of excess reserve related to the sale in 1994 of a recycling operation and certain real estate.</w:t>
      </w:r>
    </w:p>
    <w:p>
      <w:pPr>
        <w:spacing w:after="0" w:line="1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in 1994 Chambers recorded net charges of $8,237,000 for asset impairments and abandoned projects. That amount included a fourth quarter charge of $6,978,000 to reduce the carrying value, as of December 31, 1994, of Chambers' medical, special and municipal waste incinerator facility to its estimated net realizable value. The amount of the charge was measured as the difference between the carrying value of long-term assets, principally property, plant and equipment and intangible assets, and the estimated fair value of the assets based on the present value of future cash flows discounted at 12%. The adjustment was based on a review conducted in the fourth quarter which determined there had been a permanent decline in the value of the facility based on the conclusion that Chambers could not recover its investment through future operations, given current and forecasted pricing, waste mix and capacity trends as well as recently proposed regulations</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291"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196</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with respect to medical waste incinerator facilities and general declines in the value of waste incinerator businesses. During 1994, Chambers also reached a favorable settlement of previously reported litigation related to certain contracts entered into with respect to the purchase by Chambers of a landfill and the prior purchase of a waste collection and hauling company. The settlement amount is included as a credit to unusual items and includes receipt by Chambers of $1,200,000 in cash and the forgiveness of all remaining non-compete payments totalling $525,000 that were to have been paid by Chambers to various individuals in 1994, 1995 and 1996. The remaining charge of $2,984,000 represents changes in prior year estimates for certain asset impairments and abandoned projects. In addition, Chambers recorded a charge of $825,000 primarily relating to severance benefits paid to employees terminated as part of Chambers' continued reorganization. With the exception of the $1,200,000 litigation settlement received by Chambers and the $825,000 payment of severance benefits, there was no cash flow effect to these unusual charges.</w:t>
      </w:r>
    </w:p>
    <w:p>
      <w:pPr>
        <w:spacing w:after="0" w:line="183"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UNUSUAL ITEMS -- SHAREHOLDER LITIGATION SETTLEMENT AND OTHER LITIGATION RELATED COSTS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 (expense) includes charges of $10,853,000, $5,500,000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$79,400,000 for the years ended December 31, 1992, 1993 and 1994,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charge in 1994 consists of $75,300,000 for the shareholder litigation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settlement and $4,100,000 for legal and other related costs (see Note 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in 1992 and 1993 are for legal and other costs related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litigation.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unusual items is as follows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4"/>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1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8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1992</w:t>
            </w:r>
          </w:p>
        </w:tc>
        <w:tc>
          <w:tcPr>
            <w:tcW w:w="11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1994</w:t>
            </w:r>
          </w:p>
        </w:tc>
      </w:tr>
      <w:tr>
        <w:trPr>
          <w:trHeight w:val="173"/>
        </w:trPr>
        <w:tc>
          <w:tcPr>
            <w:tcW w:w="1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480" w:type="dxa"/>
            <w:vAlign w:val="bottom"/>
          </w:tcPr>
          <w:p>
            <w:pPr>
              <w:spacing w:after="0"/>
              <w:rPr>
                <w:sz w:val="20"/>
                <w:szCs w:val="20"/>
                <w:color w:val="auto"/>
              </w:rPr>
            </w:pPr>
            <w:r>
              <w:rPr>
                <w:rFonts w:ascii="Courier New" w:cs="Courier New" w:eastAsia="Courier New" w:hAnsi="Courier New"/>
                <w:sz w:val="15"/>
                <w:szCs w:val="15"/>
                <w:color w:val="auto"/>
              </w:rPr>
              <w:t>Unusual items --</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5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gains on asset divestitures......................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$(20,701)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Provision for loss on asset divestitures and</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contractual commitments...........................</w:t>
            </w:r>
          </w:p>
        </w:tc>
        <w:tc>
          <w:tcPr>
            <w:tcW w:w="2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10,525</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8,687</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3,366</w:t>
            </w:r>
          </w:p>
        </w:tc>
      </w:tr>
      <w:tr>
        <w:trPr>
          <w:trHeight w:val="173"/>
        </w:trPr>
        <w:tc>
          <w:tcPr>
            <w:tcW w:w="5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Reversal of prior provisions for loss and costs on</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asset divestitures and contractual commitments....</w:t>
            </w:r>
          </w:p>
        </w:tc>
        <w:tc>
          <w:tcPr>
            <w:tcW w:w="2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(6,636)</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(3,565)</w:t>
            </w:r>
          </w:p>
        </w:tc>
      </w:tr>
      <w:tr>
        <w:trPr>
          <w:trHeight w:val="173"/>
        </w:trPr>
        <w:tc>
          <w:tcPr>
            <w:tcW w:w="5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Asset impairments and abandoned projects.............</w:t>
            </w:r>
          </w:p>
        </w:tc>
        <w:tc>
          <w:tcPr>
            <w:tcW w:w="2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12,425</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4,929</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8,237</w:t>
            </w:r>
          </w:p>
        </w:tc>
      </w:tr>
      <w:tr>
        <w:trPr>
          <w:trHeight w:val="173"/>
        </w:trPr>
        <w:tc>
          <w:tcPr>
            <w:tcW w:w="5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Financing and professional fees......................</w:t>
            </w:r>
          </w:p>
        </w:tc>
        <w:tc>
          <w:tcPr>
            <w:tcW w:w="2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10,388</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Directors and officers insurance.....................</w:t>
            </w:r>
          </w:p>
        </w:tc>
        <w:tc>
          <w:tcPr>
            <w:tcW w:w="2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7,134</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1,555</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Corporate and regional restructuring.................</w:t>
            </w:r>
          </w:p>
        </w:tc>
        <w:tc>
          <w:tcPr>
            <w:tcW w:w="2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3,819</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315</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825</w:t>
            </w:r>
          </w:p>
        </w:tc>
      </w:tr>
      <w:tr>
        <w:trPr>
          <w:trHeight w:val="173"/>
        </w:trPr>
        <w:tc>
          <w:tcPr>
            <w:tcW w:w="1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44,291</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(11,851)</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8,863</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Unusual items --</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shareholder litigation settlement and</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litigation related costs.......................</w:t>
            </w:r>
          </w:p>
        </w:tc>
        <w:tc>
          <w:tcPr>
            <w:tcW w:w="280" w:type="dxa"/>
            <w:vAlign w:val="bottom"/>
          </w:tcPr>
          <w:p>
            <w:pPr>
              <w:spacing w:after="0"/>
              <w:rPr>
                <w:sz w:val="15"/>
                <w:szCs w:val="15"/>
                <w:color w:val="auto"/>
              </w:rPr>
            </w:pP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10,853</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5,500</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79,400</w:t>
            </w:r>
          </w:p>
        </w:tc>
      </w:tr>
      <w:tr>
        <w:trPr>
          <w:trHeight w:val="173"/>
        </w:trPr>
        <w:tc>
          <w:tcPr>
            <w:tcW w:w="1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55,144</w:t>
            </w: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(6,351)</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$88,263</w:t>
            </w:r>
          </w:p>
        </w:tc>
      </w:tr>
      <w:tr>
        <w:trPr>
          <w:trHeight w:val="173"/>
        </w:trPr>
        <w:tc>
          <w:tcPr>
            <w:tcW w:w="1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1480" w:type="dxa"/>
            <w:vAlign w:val="bottom"/>
          </w:tcPr>
          <w:p>
            <w:pPr>
              <w:spacing w:after="0"/>
              <w:rPr>
                <w:sz w:val="24"/>
                <w:szCs w:val="24"/>
                <w:color w:val="auto"/>
              </w:rPr>
            </w:pPr>
          </w:p>
        </w:tc>
        <w:tc>
          <w:tcPr>
            <w:tcW w:w="3560" w:type="dxa"/>
            <w:vAlign w:val="bottom"/>
          </w:tcPr>
          <w:p>
            <w:pPr>
              <w:ind w:left="1580"/>
              <w:spacing w:after="0"/>
              <w:rPr>
                <w:sz w:val="20"/>
                <w:szCs w:val="20"/>
                <w:color w:val="auto"/>
              </w:rPr>
            </w:pPr>
            <w:r>
              <w:rPr>
                <w:rFonts w:ascii="Courier New" w:cs="Courier New" w:eastAsia="Courier New" w:hAnsi="Courier New"/>
                <w:sz w:val="15"/>
                <w:szCs w:val="15"/>
                <w:color w:val="auto"/>
              </w:rPr>
              <w:t>F-44</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197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 O</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 SUPPLEMENTAL CASH FLOW INFORMATION</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7"/>
        </w:trPr>
        <w:tc>
          <w:tcPr>
            <w:tcW w:w="734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Supplemental information related to the consolidated statements of cash</w:t>
            </w:r>
          </w:p>
        </w:tc>
        <w:tc>
          <w:tcPr>
            <w:tcW w:w="940" w:type="dxa"/>
            <w:vAlign w:val="bottom"/>
          </w:tcPr>
          <w:p>
            <w:pPr>
              <w:spacing w:after="0"/>
              <w:rPr>
                <w:sz w:val="24"/>
                <w:szCs w:val="24"/>
                <w:color w:val="auto"/>
              </w:rPr>
            </w:pPr>
          </w:p>
        </w:tc>
      </w:tr>
      <w:tr>
        <w:trPr>
          <w:trHeight w:val="173"/>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flows is as follows (in thousands):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694"/>
        </w:trPr>
        <w:tc>
          <w:tcPr>
            <w:tcW w:w="5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960" w:type="dxa"/>
            <w:vAlign w:val="bottom"/>
            <w:gridSpan w:val="4"/>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1992</w:t>
            </w:r>
          </w:p>
        </w:tc>
        <w:tc>
          <w:tcPr>
            <w:tcW w:w="10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1993</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Cash paid during the year for:</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$ 1,390</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563</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$ 1,586</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Interest (net of amount capitalized)................</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32,252</w:t>
            </w: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29,278</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22,440</w:t>
            </w:r>
          </w:p>
        </w:tc>
      </w:tr>
      <w:tr>
        <w:trPr>
          <w:trHeight w:val="173"/>
        </w:trPr>
        <w:tc>
          <w:tcPr>
            <w:tcW w:w="5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Receivables from sales of businesses................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4,500</w:t>
            </w:r>
          </w:p>
        </w:tc>
        <w:tc>
          <w:tcPr>
            <w:tcW w:w="3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4,056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Liabilities incurred or assumed in acquisitions of</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40" w:type="dxa"/>
            <w:vAlign w:val="bottom"/>
          </w:tcPr>
          <w:p>
            <w:pPr>
              <w:spacing w:after="0"/>
              <w:rPr>
                <w:sz w:val="15"/>
                <w:szCs w:val="15"/>
                <w:color w:val="auto"/>
              </w:rPr>
            </w:pPr>
          </w:p>
        </w:tc>
        <w:tc>
          <w:tcPr>
            <w:tcW w:w="4780" w:type="dxa"/>
            <w:vAlign w:val="bottom"/>
          </w:tcPr>
          <w:p>
            <w:pPr>
              <w:ind w:left="260"/>
              <w:spacing w:after="0"/>
              <w:rPr>
                <w:sz w:val="20"/>
                <w:szCs w:val="20"/>
                <w:color w:val="auto"/>
              </w:rPr>
            </w:pPr>
            <w:r>
              <w:rPr>
                <w:rFonts w:ascii="Courier New" w:cs="Courier New" w:eastAsia="Courier New" w:hAnsi="Courier New"/>
                <w:sz w:val="15"/>
                <w:szCs w:val="15"/>
                <w:color w:val="auto"/>
              </w:rPr>
              <w:t>businesses.......................................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8,025</w:t>
            </w:r>
          </w:p>
        </w:tc>
        <w:tc>
          <w:tcPr>
            <w:tcW w:w="3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Capital lease obligations...........................</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776</w:t>
            </w:r>
          </w:p>
        </w:tc>
        <w:tc>
          <w:tcPr>
            <w:tcW w:w="3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408</w:t>
            </w:r>
          </w:p>
        </w:tc>
      </w:tr>
      <w:tr>
        <w:trPr>
          <w:trHeight w:val="520"/>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NOTE P</w:t>
            </w:r>
          </w:p>
        </w:tc>
        <w:tc>
          <w:tcPr>
            <w:tcW w:w="4780" w:type="dxa"/>
            <w:vAlign w:val="bottom"/>
          </w:tcPr>
          <w:p>
            <w:pPr>
              <w:ind w:left="80"/>
              <w:spacing w:after="0"/>
              <w:rPr>
                <w:sz w:val="20"/>
                <w:szCs w:val="20"/>
                <w:color w:val="auto"/>
              </w:rPr>
            </w:pPr>
            <w:r>
              <w:rPr>
                <w:rFonts w:ascii="Courier New" w:cs="Courier New" w:eastAsia="Courier New" w:hAnsi="Courier New"/>
                <w:sz w:val="15"/>
                <w:szCs w:val="15"/>
                <w:color w:val="auto"/>
              </w:rPr>
              <w:t>-- INCOME TAXES</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7"/>
        </w:trPr>
        <w:tc>
          <w:tcPr>
            <w:tcW w:w="734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The income tax provision (benefit) applicable to continuing operations,</w:t>
            </w:r>
          </w:p>
        </w:tc>
        <w:tc>
          <w:tcPr>
            <w:tcW w:w="940" w:type="dxa"/>
            <w:vAlign w:val="bottom"/>
          </w:tcPr>
          <w:p>
            <w:pPr>
              <w:spacing w:after="0"/>
              <w:rPr>
                <w:sz w:val="24"/>
                <w:szCs w:val="24"/>
                <w:color w:val="auto"/>
              </w:rPr>
            </w:pPr>
          </w:p>
        </w:tc>
      </w:tr>
      <w:tr>
        <w:trPr>
          <w:trHeight w:val="173"/>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consists of the following (in thousands):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694"/>
        </w:trPr>
        <w:tc>
          <w:tcPr>
            <w:tcW w:w="5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960" w:type="dxa"/>
            <w:vAlign w:val="bottom"/>
            <w:gridSpan w:val="4"/>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1992</w:t>
            </w:r>
          </w:p>
        </w:tc>
        <w:tc>
          <w:tcPr>
            <w:tcW w:w="32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1993</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Current:</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$(12,000)</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$(4,300)</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1,325</w:t>
            </w:r>
          </w:p>
        </w:tc>
        <w:tc>
          <w:tcPr>
            <w:tcW w:w="3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1,600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648</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(10,675)</w:t>
            </w:r>
          </w:p>
        </w:tc>
        <w:tc>
          <w:tcPr>
            <w:tcW w:w="3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1,600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(3,652)</w:t>
            </w:r>
          </w:p>
        </w:tc>
      </w:tr>
      <w:tr>
        <w:trPr>
          <w:trHeight w:val="173"/>
        </w:trPr>
        <w:tc>
          <w:tcPr>
            <w:tcW w:w="5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Deferred provision....................................</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12,000</w:t>
            </w:r>
          </w:p>
        </w:tc>
        <w:tc>
          <w:tcPr>
            <w:tcW w:w="3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Utilization of state operating loss carryforwards.....</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1,325</w:t>
            </w: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$1,600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$(3,931)</w:t>
            </w:r>
          </w:p>
        </w:tc>
      </w:tr>
      <w:tr>
        <w:trPr>
          <w:trHeight w:val="173"/>
        </w:trPr>
        <w:tc>
          <w:tcPr>
            <w:tcW w:w="54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Deferred income taxes result from temporary differences in the timing of recognition of costs and expenses for tax and financial reporting purposes and relate principally to the capitalization of costs and expenses for income tax purposes that were deducted for financial reporting purposes, partially offset by the use of accelerated depreciation for income tax purposes.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statute of limitations has expired for Chambers' federal income tax returns for 1987 and prior years. The returns for 1988 through 1992 are currently under examination by the Internal Revenue Service ("IRS"). Chambers has reached tentative agreement with the IRS regarding the tax treatment of certain costs and expenses deducted for financial statement purposes in these open tax years. That agreement is subject to the approval of the Joint Committee on Taxation. Based on the tentative agreement with the IRS, Chambers estimates its tax net operating loss carryforwards at December 31, 1994 to be approximately $232,000,000, the majority of which expire in 2007.</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19"/>
          </w:cols>
          <w:pgMar w:left="240" w:top="291"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198</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Deferred income tax assets and (liabilities) are comprised of the following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DECEMBER 31,</w:t>
            </w:r>
          </w:p>
        </w:tc>
      </w:tr>
      <w:tr>
        <w:trPr>
          <w:trHeight w:val="173"/>
        </w:trPr>
        <w:tc>
          <w:tcPr>
            <w:tcW w:w="5680" w:type="dxa"/>
            <w:vAlign w:val="bottom"/>
          </w:tcPr>
          <w:p>
            <w:pPr>
              <w:spacing w:after="0"/>
              <w:rPr>
                <w:sz w:val="15"/>
                <w:szCs w:val="15"/>
                <w:color w:val="auto"/>
              </w:rPr>
            </w:pPr>
          </w:p>
        </w:tc>
        <w:tc>
          <w:tcPr>
            <w:tcW w:w="21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5680" w:type="dxa"/>
            <w:vAlign w:val="bottom"/>
          </w:tcPr>
          <w:p>
            <w:pPr>
              <w:spacing w:after="0"/>
              <w:rPr>
                <w:sz w:val="15"/>
                <w:szCs w:val="15"/>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77,555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98,030</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Accrued shareholder litigation settlement.....................</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28,360</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Accrued closure reserves......................................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8,500</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10,260</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 (principally asset impairments and losses from planned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5680" w:type="dxa"/>
            <w:vAlign w:val="bottom"/>
          </w:tcPr>
          <w:p>
            <w:pPr>
              <w:ind w:left="180"/>
              <w:spacing w:after="0"/>
              <w:rPr>
                <w:sz w:val="20"/>
                <w:szCs w:val="20"/>
                <w:color w:val="auto"/>
              </w:rPr>
            </w:pPr>
            <w:r>
              <w:rPr>
                <w:rFonts w:ascii="Courier New" w:cs="Courier New" w:eastAsia="Courier New" w:hAnsi="Courier New"/>
                <w:sz w:val="15"/>
                <w:szCs w:val="15"/>
                <w:color w:val="auto"/>
              </w:rPr>
              <w:t>asset divestitures).........................................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6,765</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15,700</w:t>
            </w:r>
          </w:p>
        </w:tc>
      </w:tr>
      <w:tr>
        <w:trPr>
          <w:trHeight w:val="173"/>
        </w:trPr>
        <w:tc>
          <w:tcPr>
            <w:tcW w:w="5680" w:type="dxa"/>
            <w:vAlign w:val="bottom"/>
          </w:tcPr>
          <w:p>
            <w:pPr>
              <w:spacing w:after="0"/>
              <w:rPr>
                <w:sz w:val="15"/>
                <w:szCs w:val="15"/>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Gross deferred income tax assets..............................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92,820</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152,350</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Property, equipment and intangibles assets....................</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(6,400)</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(11,780)</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Less valuation allowance......................................</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(86,420)</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(140,570)</w:t>
            </w:r>
          </w:p>
        </w:tc>
      </w:tr>
      <w:tr>
        <w:trPr>
          <w:trHeight w:val="173"/>
        </w:trPr>
        <w:tc>
          <w:tcPr>
            <w:tcW w:w="5680" w:type="dxa"/>
            <w:vAlign w:val="bottom"/>
          </w:tcPr>
          <w:p>
            <w:pPr>
              <w:spacing w:after="0"/>
              <w:rPr>
                <w:sz w:val="15"/>
                <w:szCs w:val="15"/>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20"/>
                <w:szCs w:val="20"/>
                <w:color w:val="auto"/>
              </w:rPr>
            </w:pPr>
            <w:r>
              <w:rPr>
                <w:rFonts w:ascii="Courier New" w:cs="Courier New" w:eastAsia="Courier New" w:hAnsi="Courier New"/>
                <w:sz w:val="15"/>
                <w:szCs w:val="15"/>
                <w:color w:val="auto"/>
              </w:rPr>
              <w:t>Deferred income tax asset,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680" w:type="dxa"/>
            <w:vAlign w:val="bottom"/>
          </w:tcPr>
          <w:p>
            <w:pPr>
              <w:spacing w:after="0"/>
              <w:rPr>
                <w:sz w:val="15"/>
                <w:szCs w:val="15"/>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A reconciliation of the income tax provision (benefit) applicable to continuing operations computed using the statutory federal income tax rate to the tax provision shown in the consolidated statements of operations is as follows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w:t>
            </w:r>
          </w:p>
        </w:tc>
      </w:tr>
      <w:tr>
        <w:trPr>
          <w:trHeight w:val="173"/>
        </w:trPr>
        <w:tc>
          <w:tcPr>
            <w:tcW w:w="8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1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8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1992</w:t>
            </w: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8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Computed at federal statutory rate..................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(23,400)</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$ 3,500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r>
      <w:tr>
        <w:trPr>
          <w:trHeight w:val="173"/>
        </w:trPr>
        <w:tc>
          <w:tcPr>
            <w:tcW w:w="51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Operating losses not utilized.......................</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23,400</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28,520</w:t>
            </w:r>
          </w:p>
        </w:tc>
      </w:tr>
      <w:tr>
        <w:trPr>
          <w:trHeight w:val="173"/>
        </w:trPr>
        <w:tc>
          <w:tcPr>
            <w:tcW w:w="51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Benefit of operating loss carryforwards.............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Prior year tax adjustment...........................</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(4,300)</w:t>
            </w:r>
          </w:p>
        </w:tc>
      </w:tr>
      <w:tr>
        <w:trPr>
          <w:trHeight w:val="173"/>
        </w:trPr>
        <w:tc>
          <w:tcPr>
            <w:tcW w:w="51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State income taxes..................................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1,325</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1,600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w:t>
            </w:r>
          </w:p>
        </w:tc>
      </w:tr>
      <w:tr>
        <w:trPr>
          <w:trHeight w:val="173"/>
        </w:trPr>
        <w:tc>
          <w:tcPr>
            <w:tcW w:w="51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Nondeductible expenses..............................</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4,480</w:t>
            </w:r>
          </w:p>
        </w:tc>
      </w:tr>
      <w:tr>
        <w:trPr>
          <w:trHeight w:val="173"/>
        </w:trPr>
        <w:tc>
          <w:tcPr>
            <w:tcW w:w="8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Income tax provision (benefit)......................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1,325</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$ 1,600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(3,931)</w:t>
            </w:r>
          </w:p>
        </w:tc>
      </w:tr>
      <w:tr>
        <w:trPr>
          <w:trHeight w:val="173"/>
        </w:trPr>
        <w:tc>
          <w:tcPr>
            <w:tcW w:w="8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Q --</w:t>
            </w:r>
          </w:p>
        </w:tc>
        <w:tc>
          <w:tcPr>
            <w:tcW w:w="4300" w:type="dxa"/>
            <w:vAlign w:val="bottom"/>
          </w:tcPr>
          <w:p>
            <w:pPr>
              <w:ind w:left="60"/>
              <w:spacing w:after="0"/>
              <w:rPr>
                <w:sz w:val="20"/>
                <w:szCs w:val="20"/>
                <w:color w:val="auto"/>
              </w:rPr>
            </w:pPr>
            <w:r>
              <w:rPr>
                <w:rFonts w:ascii="Courier New" w:cs="Courier New" w:eastAsia="Courier New" w:hAnsi="Courier New"/>
                <w:sz w:val="15"/>
                <w:szCs w:val="15"/>
                <w:color w:val="auto"/>
              </w:rPr>
              <w:t>FAIR VALUE OF FINANCIAL INSTRUMENTS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78" w:lineRule="exact"/>
        <w:rPr>
          <w:sz w:val="20"/>
          <w:szCs w:val="20"/>
          <w:color w:val="auto"/>
        </w:rPr>
      </w:pPr>
    </w:p>
    <w:p>
      <w:pPr>
        <w:ind w:right="3739" w:firstLine="451"/>
        <w:spacing w:after="0" w:line="243" w:lineRule="auto"/>
        <w:rPr>
          <w:sz w:val="20"/>
          <w:szCs w:val="20"/>
          <w:color w:val="auto"/>
        </w:rPr>
      </w:pPr>
      <w:r>
        <w:rPr>
          <w:rFonts w:ascii="Courier New" w:cs="Courier New" w:eastAsia="Courier New" w:hAnsi="Courier New"/>
          <w:sz w:val="15"/>
          <w:szCs w:val="15"/>
          <w:color w:val="auto"/>
        </w:rPr>
        <w:t>The following methods and assumptions have been used by Chambers to estimate the fair value of each class of financial instrument: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and Cash Equivalents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fair value approximates the carrying amount due to the short period to maturity (three months or less) of the instruments.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Funds Held In Escrow</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estimated fair value of financial instruments that reprice or mature in less than three months approximates the carrying amount due to the short maturity of the instruments. The fair value of financial instruments with maturities greater than three months are estimated based on quoted market prices for the same or similar financial instruments.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Obligations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fair value of Chambers' debt maturing within one year approximates the carrying amount due to the short-term maturities involved.</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19"/>
          </w:cols>
          <w:pgMar w:left="240" w:top="291"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199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fair value of the Senior Note obligations approximates the carrying amount for obligations of similar risk and duration. The interest rates on these notes were established in December 1992 and remained unchanged when the amendments to the agreements were executed in July 1993. Interest and periodic fees on these notes were increased in November 1994.</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fair value of the industrial revenue bonds approximates the carrying amount as the interest rates on the bonds are reset weekly based on the credit quality of the letters of credit which collateralize the bonds.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fair value of the noninterest bearing notes approximates the carrying amount which represents the discounted value of the notes using an interest rate considered market for a borrowing of similar credit quality and maturity.</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fair value of other notes payable and equipment loans, excluding capital leases, is estimated by discounting future cash flows using an interest rate considered market for borrowings of similar credit quality and maturity.</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Letters of Credit</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fair value of letters of credit is based upon the fees paid to obtain the obligation.</w:t>
      </w:r>
    </w:p>
    <w:p>
      <w:pPr>
        <w:spacing w:after="0" w:line="176"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The carrying or notional amounts and estimated fair values of Chambers' financial instruments are as follows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292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DECEMBER 31, 1993</w:t>
            </w:r>
          </w:p>
        </w:tc>
        <w:tc>
          <w:tcPr>
            <w:tcW w:w="21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DECEMBER 31, 1994</w:t>
            </w:r>
          </w:p>
        </w:tc>
      </w:tr>
      <w:tr>
        <w:trPr>
          <w:trHeight w:val="173"/>
        </w:trPr>
        <w:tc>
          <w:tcPr>
            <w:tcW w:w="306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15"/>
                <w:szCs w:val="15"/>
                <w:color w:val="auto"/>
              </w:rPr>
            </w:pPr>
          </w:p>
        </w:tc>
        <w:tc>
          <w:tcPr>
            <w:tcW w:w="1900" w:type="dxa"/>
            <w:vAlign w:val="bottom"/>
          </w:tcPr>
          <w:p>
            <w:pPr>
              <w:jc w:val="center"/>
              <w:ind w:left="365"/>
              <w:spacing w:after="0"/>
              <w:rPr>
                <w:sz w:val="20"/>
                <w:szCs w:val="20"/>
                <w:color w:val="auto"/>
              </w:rPr>
            </w:pPr>
            <w:r>
              <w:rPr>
                <w:rFonts w:ascii="Courier New" w:cs="Courier New" w:eastAsia="Courier New" w:hAnsi="Courier New"/>
                <w:sz w:val="15"/>
                <w:szCs w:val="15"/>
                <w:color w:val="auto"/>
              </w:rPr>
              <w:t>CARRYING</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FAIR</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CARRYING</w:t>
            </w:r>
          </w:p>
        </w:tc>
        <w:tc>
          <w:tcPr>
            <w:tcW w:w="28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FAIR</w:t>
            </w:r>
          </w:p>
        </w:tc>
      </w:tr>
      <w:tr>
        <w:trPr>
          <w:trHeight w:val="173"/>
        </w:trPr>
        <w:tc>
          <w:tcPr>
            <w:tcW w:w="3060" w:type="dxa"/>
            <w:vAlign w:val="bottom"/>
          </w:tcPr>
          <w:p>
            <w:pPr>
              <w:spacing w:after="0"/>
              <w:rPr>
                <w:sz w:val="15"/>
                <w:szCs w:val="15"/>
                <w:color w:val="auto"/>
              </w:rPr>
            </w:pPr>
          </w:p>
        </w:tc>
        <w:tc>
          <w:tcPr>
            <w:tcW w:w="190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AMOUNT</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VALUE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w:t>
            </w:r>
          </w:p>
        </w:tc>
        <w:tc>
          <w:tcPr>
            <w:tcW w:w="28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r>
      <w:tr>
        <w:trPr>
          <w:trHeight w:val="173"/>
        </w:trPr>
        <w:tc>
          <w:tcPr>
            <w:tcW w:w="3060" w:type="dxa"/>
            <w:vAlign w:val="bottom"/>
          </w:tcPr>
          <w:p>
            <w:pPr>
              <w:spacing w:after="0"/>
              <w:rPr>
                <w:sz w:val="15"/>
                <w:szCs w:val="15"/>
                <w:color w:val="auto"/>
              </w:rPr>
            </w:pPr>
          </w:p>
        </w:tc>
        <w:tc>
          <w:tcPr>
            <w:tcW w:w="1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Balance Sheet Instruments</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3"/>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86"/>
              </w:rPr>
              <w:t>Cash and cash equivalents..............</w:t>
            </w:r>
          </w:p>
        </w:tc>
        <w:tc>
          <w:tcPr>
            <w:tcW w:w="1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44,553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44,553</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23,548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23,548</w:t>
            </w:r>
          </w:p>
        </w:tc>
      </w:tr>
      <w:tr>
        <w:trPr>
          <w:trHeight w:val="173"/>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86"/>
              </w:rPr>
              <w:t>Funds held in escrow...................</w:t>
            </w:r>
          </w:p>
        </w:tc>
        <w:tc>
          <w:tcPr>
            <w:tcW w:w="1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43,241</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43,231</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25,716</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25,744</w:t>
            </w:r>
          </w:p>
        </w:tc>
      </w:tr>
      <w:tr>
        <w:trPr>
          <w:trHeight w:val="173"/>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Long-term obligations (including</w:t>
            </w: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93"/>
              </w:rPr>
              <w:t>current maturities).................</w:t>
            </w:r>
          </w:p>
        </w:tc>
        <w:tc>
          <w:tcPr>
            <w:tcW w:w="1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286,104</w:t>
            </w:r>
          </w:p>
        </w:tc>
        <w:tc>
          <w:tcPr>
            <w:tcW w:w="12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285,853</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253,306</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253,152</w:t>
            </w:r>
          </w:p>
        </w:tc>
      </w:tr>
      <w:tr>
        <w:trPr>
          <w:trHeight w:val="867"/>
        </w:trPr>
        <w:tc>
          <w:tcPr>
            <w:tcW w:w="3060" w:type="dxa"/>
            <w:vAlign w:val="bottom"/>
          </w:tcPr>
          <w:p>
            <w:pPr>
              <w:spacing w:after="0"/>
              <w:rPr>
                <w:sz w:val="24"/>
                <w:szCs w:val="24"/>
                <w:color w:val="auto"/>
              </w:rPr>
            </w:pPr>
          </w:p>
        </w:tc>
        <w:tc>
          <w:tcPr>
            <w:tcW w:w="1900" w:type="dxa"/>
            <w:vAlign w:val="bottom"/>
          </w:tcPr>
          <w:p>
            <w:pPr>
              <w:jc w:val="center"/>
              <w:ind w:left="365"/>
              <w:spacing w:after="0"/>
              <w:rPr>
                <w:sz w:val="20"/>
                <w:szCs w:val="20"/>
                <w:color w:val="auto"/>
              </w:rPr>
            </w:pPr>
            <w:r>
              <w:rPr>
                <w:rFonts w:ascii="Courier New" w:cs="Courier New" w:eastAsia="Courier New" w:hAnsi="Courier New"/>
                <w:sz w:val="15"/>
                <w:szCs w:val="15"/>
                <w:color w:val="auto"/>
              </w:rPr>
              <w:t>NOTIONAL</w:t>
            </w:r>
          </w:p>
        </w:tc>
        <w:tc>
          <w:tcPr>
            <w:tcW w:w="12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FAIR</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NOTIONAL</w:t>
            </w:r>
          </w:p>
        </w:tc>
        <w:tc>
          <w:tcPr>
            <w:tcW w:w="28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FAIR</w:t>
            </w:r>
          </w:p>
        </w:tc>
      </w:tr>
      <w:tr>
        <w:trPr>
          <w:trHeight w:val="173"/>
        </w:trPr>
        <w:tc>
          <w:tcPr>
            <w:tcW w:w="3060" w:type="dxa"/>
            <w:vAlign w:val="bottom"/>
          </w:tcPr>
          <w:p>
            <w:pPr>
              <w:spacing w:after="0"/>
              <w:rPr>
                <w:sz w:val="15"/>
                <w:szCs w:val="15"/>
                <w:color w:val="auto"/>
              </w:rPr>
            </w:pPr>
          </w:p>
        </w:tc>
        <w:tc>
          <w:tcPr>
            <w:tcW w:w="190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AMOUNT</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VALUE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w:t>
            </w:r>
          </w:p>
        </w:tc>
        <w:tc>
          <w:tcPr>
            <w:tcW w:w="28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r>
      <w:tr>
        <w:trPr>
          <w:trHeight w:val="173"/>
        </w:trPr>
        <w:tc>
          <w:tcPr>
            <w:tcW w:w="3060" w:type="dxa"/>
            <w:vAlign w:val="bottom"/>
          </w:tcPr>
          <w:p>
            <w:pPr>
              <w:spacing w:after="0"/>
              <w:rPr>
                <w:sz w:val="15"/>
                <w:szCs w:val="15"/>
                <w:color w:val="auto"/>
              </w:rPr>
            </w:pPr>
          </w:p>
        </w:tc>
        <w:tc>
          <w:tcPr>
            <w:tcW w:w="1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Off Balance Sheet Instruments</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3"/>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86"/>
              </w:rPr>
              <w:t>Letters of credit......................</w:t>
            </w:r>
          </w:p>
        </w:tc>
        <w:tc>
          <w:tcPr>
            <w:tcW w:w="1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$ 131,103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$ 113,080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3060" w:type="dxa"/>
            <w:vAlign w:val="bottom"/>
          </w:tcPr>
          <w:p>
            <w:pPr>
              <w:spacing w:after="0"/>
              <w:rPr>
                <w:sz w:val="24"/>
                <w:szCs w:val="24"/>
                <w:color w:val="auto"/>
              </w:rPr>
            </w:pPr>
          </w:p>
        </w:tc>
        <w:tc>
          <w:tcPr>
            <w:tcW w:w="1900" w:type="dxa"/>
            <w:vAlign w:val="bottom"/>
          </w:tcPr>
          <w:p>
            <w:pPr>
              <w:jc w:val="right"/>
              <w:ind w:right="1465"/>
              <w:spacing w:after="0"/>
              <w:rPr>
                <w:sz w:val="20"/>
                <w:szCs w:val="20"/>
                <w:color w:val="auto"/>
              </w:rPr>
            </w:pPr>
            <w:r>
              <w:rPr>
                <w:rFonts w:ascii="Courier New" w:cs="Courier New" w:eastAsia="Courier New" w:hAnsi="Courier New"/>
                <w:sz w:val="15"/>
                <w:szCs w:val="15"/>
                <w:color w:val="auto"/>
                <w:w w:val="94"/>
              </w:rPr>
              <w:t>F-47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200</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NOTE R --</w:t>
            </w:r>
          </w:p>
        </w:tc>
        <w:tc>
          <w:tcPr>
            <w:tcW w:w="4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SELECTED QUARTERLY FINANCIAL DATA (UNAUDITED)</w:t>
            </w: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7"/>
        </w:trPr>
        <w:tc>
          <w:tcPr>
            <w:tcW w:w="712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9"/>
              </w:rPr>
              <w:t>The following information summarizes Chambers' quarterly financial results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694"/>
        </w:trPr>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NET</w:t>
            </w:r>
          </w:p>
        </w:tc>
      </w:tr>
      <w:tr>
        <w:trPr>
          <w:trHeight w:val="173"/>
        </w:trPr>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OPERATING</w:t>
            </w:r>
          </w:p>
        </w:tc>
        <w:tc>
          <w:tcPr>
            <w:tcW w:w="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NET</w:t>
            </w: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INCOME</w:t>
            </w:r>
          </w:p>
        </w:tc>
      </w:tr>
      <w:tr>
        <w:trPr>
          <w:trHeight w:val="173"/>
        </w:trPr>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INCOME</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INCOME</w:t>
            </w: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(LOSS)</w:t>
            </w:r>
          </w:p>
        </w:tc>
      </w:tr>
      <w:tr>
        <w:trPr>
          <w:trHeight w:val="173"/>
        </w:trPr>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(LOSS)</w:t>
            </w:r>
          </w:p>
        </w:tc>
        <w:tc>
          <w:tcPr>
            <w:tcW w:w="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(LOSS)</w:t>
            </w:r>
          </w:p>
        </w:tc>
        <w:tc>
          <w:tcPr>
            <w:tcW w:w="94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PER SHARE</w:t>
            </w:r>
          </w:p>
        </w:tc>
      </w:tr>
      <w:tr>
        <w:trPr>
          <w:trHeight w:val="173"/>
        </w:trPr>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 1993</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4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9"/>
              </w:rPr>
              <w:t>First quarter.....................................</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67,687</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$ 9,111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1,788</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r>
      <w:tr>
        <w:trPr>
          <w:trHeight w:val="173"/>
        </w:trPr>
        <w:tc>
          <w:tcPr>
            <w:tcW w:w="5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75,878</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8,332</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1,503</w:t>
            </w:r>
          </w:p>
        </w:tc>
        <w:tc>
          <w:tcPr>
            <w:tcW w:w="360" w:type="dxa"/>
            <w:vAlign w:val="bottom"/>
          </w:tcPr>
          <w:p>
            <w:pPr>
              <w:spacing w:after="0"/>
              <w:rPr>
                <w:sz w:val="15"/>
                <w:szCs w:val="15"/>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3"/>
        </w:trPr>
        <w:tc>
          <w:tcPr>
            <w:tcW w:w="5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Third quarter.....................................</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75,274</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21,486</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9,527</w:t>
            </w:r>
          </w:p>
        </w:tc>
        <w:tc>
          <w:tcPr>
            <w:tcW w:w="360" w:type="dxa"/>
            <w:vAlign w:val="bottom"/>
          </w:tcPr>
          <w:p>
            <w:pPr>
              <w:spacing w:after="0"/>
              <w:rPr>
                <w:sz w:val="15"/>
                <w:szCs w:val="15"/>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3"/>
        </w:trPr>
        <w:tc>
          <w:tcPr>
            <w:tcW w:w="5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69,642</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2,074</w:t>
            </w:r>
          </w:p>
        </w:tc>
        <w:tc>
          <w:tcPr>
            <w:tcW w:w="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(4,515)</w:t>
            </w:r>
          </w:p>
        </w:tc>
        <w:tc>
          <w:tcPr>
            <w:tcW w:w="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3"/>
        </w:trPr>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$ 288,481</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$41,003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8,303</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3"/>
        </w:trPr>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 1994</w:t>
            </w: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4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9"/>
              </w:rPr>
              <w:t>First quarter.....................................</w:t>
            </w:r>
          </w:p>
        </w:tc>
        <w:tc>
          <w:tcPr>
            <w:tcW w:w="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59,766</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$ 3,315</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6"/>
              </w:rPr>
              <w:t>$ (1,975)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3"/>
        </w:trPr>
        <w:tc>
          <w:tcPr>
            <w:tcW w:w="5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68,644</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5,696</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860</w:t>
            </w:r>
          </w:p>
        </w:tc>
        <w:tc>
          <w:tcPr>
            <w:tcW w:w="360" w:type="dxa"/>
            <w:vAlign w:val="bottom"/>
          </w:tcPr>
          <w:p>
            <w:pPr>
              <w:spacing w:after="0"/>
              <w:rPr>
                <w:sz w:val="15"/>
                <w:szCs w:val="15"/>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w:t>
            </w:r>
          </w:p>
        </w:tc>
      </w:tr>
      <w:tr>
        <w:trPr>
          <w:trHeight w:val="173"/>
        </w:trPr>
        <w:tc>
          <w:tcPr>
            <w:tcW w:w="5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Third quarter.....................................</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67,136</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6,597</w:t>
            </w:r>
          </w:p>
        </w:tc>
        <w:tc>
          <w:tcPr>
            <w:tcW w:w="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(72,719)</w:t>
            </w:r>
          </w:p>
        </w:tc>
        <w:tc>
          <w:tcPr>
            <w:tcW w:w="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3"/>
        </w:trPr>
        <w:tc>
          <w:tcPr>
            <w:tcW w:w="51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62,443</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(8,388)</w:t>
            </w:r>
          </w:p>
        </w:tc>
        <w:tc>
          <w:tcPr>
            <w:tcW w:w="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(16,410)</w:t>
            </w:r>
          </w:p>
        </w:tc>
        <w:tc>
          <w:tcPr>
            <w:tcW w:w="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3"/>
        </w:trPr>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$ 257,989</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$ 7,220</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6"/>
              </w:rPr>
              <w:t>$(90,244)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(1.35)</w:t>
            </w:r>
          </w:p>
        </w:tc>
      </w:tr>
      <w:tr>
        <w:trPr>
          <w:trHeight w:val="173"/>
        </w:trPr>
        <w:tc>
          <w:tcPr>
            <w:tcW w:w="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712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Certain reclassifications have been made to the 1993 quarterly financial</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7120" w:type="dxa"/>
            <w:vAlign w:val="bottom"/>
            <w:gridSpan w:val="5"/>
          </w:tcPr>
          <w:p>
            <w:pPr>
              <w:spacing w:after="0"/>
              <w:rPr>
                <w:sz w:val="20"/>
                <w:szCs w:val="20"/>
                <w:color w:val="auto"/>
              </w:rPr>
            </w:pPr>
            <w:r>
              <w:rPr>
                <w:rFonts w:ascii="Courier New" w:cs="Courier New" w:eastAsia="Courier New" w:hAnsi="Courier New"/>
                <w:sz w:val="15"/>
                <w:szCs w:val="15"/>
                <w:color w:val="auto"/>
              </w:rPr>
              <w:t>results previously reported primarily for the reclassification of shareholder</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litigation related costs from unusual items --</w:t>
            </w:r>
          </w:p>
        </w:tc>
        <w:tc>
          <w:tcPr>
            <w:tcW w:w="29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9"/>
              </w:rPr>
              <w:t>operations to a component of</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r>
    </w:tbl>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Results for 1993 include net credits for unusual items of $4,563,000,</w:t>
      </w:r>
    </w:p>
    <w:p>
      <w:pPr>
        <w:spacing w:after="0" w:line="4"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$758,000 and $6,532,000 for the first, second and third quarters, respectively, and a net unusual charge of $5,502,000 for the fourth quarter (see Note N).</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Results for 1994 include net charges for unusual items of $74,100,000 and $14,163,000 for the third and fourth quarters, respectively (see Note 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S -- COMMITMENTS AND CONTINGENCIES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Employment Agreements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February 1993, Chambers entered into employment agreements with certain of its key executives that provide such executives with rights to severance benefits if employment with Chambers ceases under specified circumstances in connection with a "change of control" of Chambers such as the Merger. Such agreements were replaced effective as of February 1995 with agreements substantially similar to the prior agreements except with respect to certain termination provisions unrelated to the change of control termination provisions. If all such rights were to be exercised, Chambers would be obligated to pay a total of approximately $7,635,000 to such executives. The term of each of these agreements ends on February 2, 1996.</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Litigation and Investigations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Shortly after Chambers' March 17, 1992 announcement of a change in accounting policies concerning capitalization, the Securities and Exchange Commission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13(b) of the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19"/>
          </w:cols>
          <w:pgMar w:left="240" w:top="291"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201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Securities Exchange Act of 1934 and various rules promulgated thereunder. Chambers has cooperated with the investigation through the production of documents and by providing witnesses pursuant to the Commission's request. On May 9, 1995, the Commission filed a complaint against Chambers in the United States District Court for the Western District of Pennsylvania alleging that Chambers violated the antifraud provisions of the Securities Act and the antifraud, reporting, internal controls and recordkeeping provisions of the Exchange Act by issuing false and misleading earnings announcements from 1989 through March 1992 and including false and misleading financial statements in its reports on Forms 10-K and 10-Q and its registration statements filed from 1989 through November 1991. Chambers simultaneously consented, without admitting or denying the Commission's allegations, to the entry of an order enjoining it from violating certain provisions of the Securities Act and the Exchange Act and requiring it to pay a civil penalty of $500,000.</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Commission also instituted administrative proceedings under Section 21C of the Exchange Act against four present and former officers of Chambers, including John G. Rangos, Sr., Chairman and Chief Executive Officer of Chambers, two of Chambers' former corporate controllers and a former chief financial officer of Chambers. The Commission found, among other things, that John G. Rangos, Sr. and one of the former corporate controllers each were a cause of Chambers' violations of the reporting, internal controls and recordkeeping provisions of the Exchange Act. Each of these four persons consented to the issuance of a cease and desist order without admitting or denying the Commission's findings.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American Stock Exchange and the Chicago Board of Options Exchange are conducting investigations into trading activity on their respective exchanges in Chambers' securities and in put options on Chambers' securities prior to the March 17, 1992 announcement.</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The grand jury investigation is ongoing and it appears to be focusing on issues similar to those raised by the civil litigation discussed in Note D and the Commission's investigation described above.</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Chambers is cooperating with each of the investigations referred to in the two preceding paragraphs.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declaratory judgement action entitled Morel, et al. v. Chambers Waste Systems of Florida, Inc., was filed on September 29, 1994 in the Circuit Court of the Fifteenth Judicial Circuit of Florida in and for Palm Beach County, Florida. The plaintiffs are seeking a declaration that they are entitled to royalty payments from Chambers as calculated by a percentage of gross revenues derived from Chambers' landfill located at Berman Road in Okeechobee County, Florida, as well as from any landfill that may be sited in the future by Chambers on nearby property. Chambers has responded by seeking, among other things, a declaration that any writing or document that the plaintiffs contend such royalty entitlement is based upon is void, voidable or otherwise of no effect or, alternatively, that any royalty payments be solely based upon the nearby property to Chambers' landfill, when a landfill is developed, if ever, on such property. The outcome of this action is not presently determinable.</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Since the announcement of the Merger, three cases have been filed in the Court of Chancery of the State of Delaware in New Castle County against Chambers, its officers and directors and USA Waste and Envirofil, Inc. These cases include Smith v. Rangos et al., C.A. No. 13906, Krim v. Rangos et al., C.A. No. 13985, and Adams v. Rangos et al., C.A. No. 13909. Each of these actions relates to the Merger and seeks substantially similar relief. Accordingly, a consolidation order was entered by the Court of Chancery on March 1, 1995. The cases have been consolidated for all purposes under Smith v. Rangos, et al., and the caption of the consolidated case is In Re Chambers Development Company, Inc. Shareholders Litigation, Consolidated C.A. No. 13906. The complaint which will govern the consolidated action is the compliant filed in the Krim action. The Krim complaint is brought as a purported class action on behalf of the plaintiff and all similarly situated</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91"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202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Chambers security holders, excluding defendants and any person, firm, corporation or similar entity related to or affiliated with any of the defendants. The complaint alleges that the individual defendants, inter alia, engaged in unfair dealing to the detriment of the class; the Merger is grossly unfair to the members of the class; the members of the class would be irreparably damaged if the Merger were to be consummated; and the defendants' conduct constituted a breach of fiduciary and other common law duties allegedly owed to the putative class. The plaintiff alleges that the Merger consideration is inadequate for various reasons and that the individual defendants failed to maximize shareholder value. 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and experts' fees. Counsel for the parties have engaged in settlement discussions and, based thereon, USA Waste and Chambers anticipate that a definitive agreement, subject to court approval, will be finalized before the USA Waste Annual Meeting and the Chambers Special Meeting.</w:t>
      </w:r>
    </w:p>
    <w:p>
      <w:pPr>
        <w:spacing w:after="0" w:line="18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Other lawsuits, claims and proceedings have been or may be instituted or asserted against Chambers from time to time. Although the outcome of these matters cannot be predicted with certainty, management of Chambers believes that disposition of these lawsuits, claims and proceedings which are pending or asserted will not have a material adverse effect on Chambers' financial condition or liquidity. Given Chambers' level of operating results, future resolution of these matters may have a material effect on results of operations for interim and annual periods.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Insurance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self-insures certain of its comprehensive general liability and workers compensation risks, while maintaining third-party coverage to protect against catastrophic loss, except for losses arising from pollution and environmental liabilities which are self-insured. Chambers has not incurred significant fines, penalties or liabilities for pollution or environmental liabilities at any of its facilities; however, Chambers' operating results could be adversely affected in the future in the event of uninsured losses.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291"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203</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200" w:lineRule="exact"/>
        <w:rPr>
          <w:sz w:val="20"/>
          <w:szCs w:val="20"/>
          <w:color w:val="auto"/>
        </w:rPr>
      </w:pPr>
    </w:p>
    <w:p>
      <w:pPr>
        <w:spacing w:after="0" w:line="32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35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(DOLLARS IN THOUSANDS, EXCEPT PER SHARE AMOUNTS)</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60" w:type="dxa"/>
            <w:vAlign w:val="bottom"/>
          </w:tcPr>
          <w:p>
            <w:pPr>
              <w:jc w:val="right"/>
              <w:ind w:right="2445"/>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23,548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16,432</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6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Trade, less allowances of $1,383 and $1,441, respectively.......</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28,961</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26,206</w:t>
            </w:r>
          </w:p>
        </w:tc>
      </w:tr>
      <w:tr>
        <w:trPr>
          <w:trHeight w:val="173"/>
        </w:trPr>
        <w:tc>
          <w:tcPr>
            <w:tcW w:w="2340" w:type="dxa"/>
            <w:vAlign w:val="bottom"/>
            <w:gridSpan w:val="2"/>
          </w:tcPr>
          <w:p>
            <w:pPr>
              <w:ind w:left="440"/>
              <w:spacing w:after="0"/>
              <w:rPr>
                <w:sz w:val="20"/>
                <w:szCs w:val="20"/>
                <w:color w:val="auto"/>
              </w:rPr>
            </w:pPr>
            <w:r>
              <w:rPr>
                <w:rFonts w:ascii="Courier New" w:cs="Courier New" w:eastAsia="Courier New" w:hAnsi="Courier New"/>
                <w:sz w:val="6"/>
                <w:szCs w:val="6"/>
                <w:color w:val="auto"/>
                <w:w w:val="81"/>
              </w:rPr>
              <w:t>Other...........................................................</w:t>
            </w: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13,673</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978</w:t>
            </w: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Funds held in escrow...............................................</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2,210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12,574</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Net assets held for sale</w:t>
            </w:r>
          </w:p>
        </w:tc>
        <w:tc>
          <w:tcPr>
            <w:tcW w:w="39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9,298</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9,432</w:t>
            </w: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7,076</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7,608</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gridSpan w:val="3"/>
          </w:tcPr>
          <w:p>
            <w:pPr>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84,766</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73,230</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gridSpan w:val="3"/>
          </w:tcPr>
          <w:p>
            <w:pPr>
              <w:spacing w:after="0"/>
              <w:rPr>
                <w:sz w:val="20"/>
                <w:szCs w:val="20"/>
                <w:color w:val="auto"/>
              </w:rPr>
            </w:pPr>
            <w:r>
              <w:rPr>
                <w:rFonts w:ascii="Courier New" w:cs="Courier New" w:eastAsia="Courier New" w:hAnsi="Courier New"/>
                <w:sz w:val="15"/>
                <w:szCs w:val="15"/>
                <w:color w:val="auto"/>
              </w:rPr>
              <w:t>Property and equipment, less accumulated depreciation</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and amortization of $158,755 and $164,958, respectively............</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354,428</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355,463</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Funds held for escrow requirements and construction................</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23,506</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22,726</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6"/>
                <w:szCs w:val="6"/>
                <w:color w:val="auto"/>
                <w:w w:val="88"/>
              </w:rPr>
              <w:t>Other..............................................................</w:t>
            </w: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25,798</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24,944</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Total other assets</w:t>
            </w:r>
          </w:p>
        </w:tc>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49,304</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47,670</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488,498</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$ 476,363</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468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Current maturities of long-term obligations........................</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46,465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36,874</w:t>
            </w: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Trade accounts payable.............................................</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10,889</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7,237</w:t>
            </w: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34,751</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33,737</w:t>
            </w: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Deferred revenues..................................................</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4,881</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4,343</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gridSpan w:val="3"/>
          </w:tcPr>
          <w:p>
            <w:pPr>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96,986</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82,191</w:t>
            </w:r>
          </w:p>
        </w:tc>
      </w:tr>
      <w:tr>
        <w:trPr>
          <w:trHeight w:val="173"/>
        </w:trPr>
        <w:tc>
          <w:tcPr>
            <w:tcW w:w="6300" w:type="dxa"/>
            <w:vAlign w:val="bottom"/>
            <w:gridSpan w:val="3"/>
          </w:tcPr>
          <w:p>
            <w:pPr>
              <w:spacing w:after="0"/>
              <w:rPr>
                <w:sz w:val="20"/>
                <w:szCs w:val="20"/>
                <w:color w:val="auto"/>
              </w:rPr>
            </w:pPr>
            <w:r>
              <w:rPr>
                <w:rFonts w:ascii="Courier New" w:cs="Courier New" w:eastAsia="Courier New" w:hAnsi="Courier New"/>
                <w:sz w:val="15"/>
                <w:szCs w:val="15"/>
                <w:color w:val="auto"/>
              </w:rPr>
              <w:t>Long-term obligations, less current maturities.......................</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211,016</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210,799</w:t>
            </w:r>
          </w:p>
        </w:tc>
      </w:tr>
      <w:tr>
        <w:trPr>
          <w:trHeight w:val="173"/>
        </w:trPr>
        <w:tc>
          <w:tcPr>
            <w:tcW w:w="6300" w:type="dxa"/>
            <w:vAlign w:val="bottom"/>
            <w:gridSpan w:val="3"/>
          </w:tcPr>
          <w:p>
            <w:pPr>
              <w:spacing w:after="0"/>
              <w:rPr>
                <w:sz w:val="20"/>
                <w:szCs w:val="20"/>
                <w:color w:val="auto"/>
              </w:rPr>
            </w:pPr>
            <w:r>
              <w:rPr>
                <w:rFonts w:ascii="Courier New" w:cs="Courier New" w:eastAsia="Courier New" w:hAnsi="Courier New"/>
                <w:sz w:val="15"/>
                <w:szCs w:val="15"/>
                <w:color w:val="auto"/>
              </w:rPr>
              <w:t>Accrued shareholder litigation settlement............................</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75,300</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75,300</w:t>
            </w:r>
          </w:p>
        </w:tc>
      </w:tr>
      <w:tr>
        <w:trPr>
          <w:trHeight w:val="173"/>
        </w:trPr>
        <w:tc>
          <w:tcPr>
            <w:tcW w:w="6300" w:type="dxa"/>
            <w:vAlign w:val="bottom"/>
            <w:gridSpan w:val="3"/>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41,264</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49,410</w:t>
            </w:r>
          </w:p>
        </w:tc>
      </w:tr>
      <w:tr>
        <w:trPr>
          <w:trHeight w:val="173"/>
        </w:trPr>
        <w:tc>
          <w:tcPr>
            <w:tcW w:w="6300" w:type="dxa"/>
            <w:vAlign w:val="bottom"/>
            <w:gridSpan w:val="3"/>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46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9"/>
              </w:rPr>
              <w:t>-- authorized 10,000,000 shares; no par value; no</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w w:val="99"/>
              </w:rPr>
              <w:t>shares issued</w:t>
            </w:r>
          </w:p>
        </w:tc>
        <w:tc>
          <w:tcPr>
            <w:tcW w:w="46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Class A Common Stock --</w:t>
            </w:r>
          </w:p>
        </w:tc>
        <w:tc>
          <w:tcPr>
            <w:tcW w:w="39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authorized 100,000,000 shares; par value</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6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$.50 per share; issued 50,829,559 and 51,197,459 shares,</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2340" w:type="dxa"/>
            <w:vAlign w:val="bottom"/>
            <w:gridSpan w:val="2"/>
          </w:tcPr>
          <w:p>
            <w:pPr>
              <w:ind w:left="440"/>
              <w:spacing w:after="0"/>
              <w:rPr>
                <w:sz w:val="20"/>
                <w:szCs w:val="20"/>
                <w:color w:val="auto"/>
              </w:rPr>
            </w:pPr>
            <w:r>
              <w:rPr>
                <w:rFonts w:ascii="Courier New" w:cs="Courier New" w:eastAsia="Courier New" w:hAnsi="Courier New"/>
                <w:sz w:val="6"/>
                <w:szCs w:val="6"/>
                <w:color w:val="auto"/>
                <w:w w:val="81"/>
              </w:rPr>
              <w:t>respectively....................................................</w:t>
            </w: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25,415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25,599</w:t>
            </w:r>
          </w:p>
        </w:tc>
      </w:tr>
      <w:tr>
        <w:trPr>
          <w:trHeight w:val="173"/>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Common Stock --</w:t>
            </w:r>
          </w:p>
        </w:tc>
        <w:tc>
          <w:tcPr>
            <w:tcW w:w="46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9"/>
              </w:rPr>
              <w:t>authorized 50,000,000 shares; par value $.50 per</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6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share; convertible into Class A Common Stock; issued 16,329,168</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6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and 15,961,268 shares, respectively.............................</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8,165</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7,981</w:t>
            </w: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395,121</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395,121</w:t>
            </w:r>
          </w:p>
        </w:tc>
      </w:tr>
      <w:tr>
        <w:trPr>
          <w:trHeight w:val="173"/>
        </w:trPr>
        <w:tc>
          <w:tcPr>
            <w:tcW w:w="63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(360,619)</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(365,888)</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68,082</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62,813</w:t>
            </w:r>
          </w:p>
        </w:tc>
      </w:tr>
      <w:tr>
        <w:trPr>
          <w:trHeight w:val="173"/>
        </w:trPr>
        <w:tc>
          <w:tcPr>
            <w:tcW w:w="2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Treasury stock, at cost</w:t>
            </w:r>
          </w:p>
        </w:tc>
        <w:tc>
          <w:tcPr>
            <w:tcW w:w="3960" w:type="dxa"/>
            <w:vAlign w:val="bottom"/>
          </w:tcPr>
          <w:p>
            <w:pPr>
              <w:jc w:val="right"/>
              <w:ind w:right="2985"/>
              <w:spacing w:after="0"/>
              <w:rPr>
                <w:sz w:val="20"/>
                <w:szCs w:val="20"/>
                <w:color w:val="auto"/>
              </w:rPr>
            </w:pPr>
            <w:r>
              <w:rPr>
                <w:rFonts w:ascii="Courier New" w:cs="Courier New" w:eastAsia="Courier New" w:hAnsi="Courier New"/>
                <w:sz w:val="15"/>
                <w:szCs w:val="15"/>
                <w:color w:val="auto"/>
                <w:w w:val="97"/>
              </w:rPr>
              <w:t>-- Class A</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63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Common Stock, 400 shares; Common Stock, 369,200 shares..........</w:t>
            </w:r>
          </w:p>
        </w:tc>
        <w:tc>
          <w:tcPr>
            <w:tcW w:w="3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(4,150)</w:t>
            </w: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(4,150)</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gridSpan w:val="3"/>
          </w:tcPr>
          <w:p>
            <w:pPr>
              <w:ind w:left="900"/>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63,932</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58,663</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488,498</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$ 476,363</w:t>
            </w:r>
          </w:p>
        </w:tc>
      </w:tr>
      <w:tr>
        <w:trPr>
          <w:trHeight w:val="173"/>
        </w:trPr>
        <w:tc>
          <w:tcPr>
            <w:tcW w:w="1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291" w:right="1440" w:bottom="1086" w:gutter="0" w:footer="0" w:header="0"/>
        </w:sectPr>
      </w:pP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F-51</w:t>
      </w:r>
    </w:p>
    <w:p>
      <w:pPr>
        <w:sectPr>
          <w:pgSz w:w="11900" w:h="16838" w:orient="portrait"/>
          <w:cols w:equalWidth="0" w:num="1">
            <w:col w:w="10219"/>
          </w:cols>
          <w:pgMar w:left="240" w:top="291" w:right="1440" w:bottom="1086" w:gutter="0" w:footer="0" w:header="0"/>
          <w:type w:val="continuous"/>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204</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200" w:lineRule="exact"/>
        <w:rPr>
          <w:sz w:val="20"/>
          <w:szCs w:val="20"/>
          <w:color w:val="auto"/>
        </w:rPr>
      </w:pPr>
    </w:p>
    <w:p>
      <w:pPr>
        <w:spacing w:after="0" w:line="32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350"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1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 ENDED</w:t>
            </w:r>
          </w:p>
        </w:tc>
      </w:tr>
      <w:tr>
        <w:trPr>
          <w:trHeight w:val="173"/>
        </w:trPr>
        <w:tc>
          <w:tcPr>
            <w:tcW w:w="6660" w:type="dxa"/>
            <w:vAlign w:val="bottom"/>
          </w:tcPr>
          <w:p>
            <w:pPr>
              <w:spacing w:after="0"/>
              <w:rPr>
                <w:sz w:val="15"/>
                <w:szCs w:val="15"/>
                <w:color w:val="auto"/>
              </w:rPr>
            </w:pPr>
          </w:p>
        </w:tc>
        <w:tc>
          <w:tcPr>
            <w:tcW w:w="19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6660" w:type="dxa"/>
            <w:vAlign w:val="bottom"/>
          </w:tcPr>
          <w:p>
            <w:pPr>
              <w:spacing w:after="0"/>
              <w:rPr>
                <w:sz w:val="15"/>
                <w:szCs w:val="15"/>
                <w:color w:val="auto"/>
              </w:rPr>
            </w:pPr>
          </w:p>
        </w:tc>
        <w:tc>
          <w:tcPr>
            <w:tcW w:w="1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66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Revenues.................................................................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$59,766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$54,734</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41,776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38,442</w:t>
            </w: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5,356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5,837</w:t>
            </w: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9,319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7,737</w:t>
            </w:r>
          </w:p>
        </w:tc>
      </w:tr>
      <w:tr>
        <w:trPr>
          <w:trHeight w:val="173"/>
        </w:trPr>
        <w:tc>
          <w:tcPr>
            <w:tcW w:w="66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from operations...................................................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3,315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2,718</w:t>
            </w:r>
          </w:p>
        </w:tc>
      </w:tr>
      <w:tr>
        <w:trPr>
          <w:trHeight w:val="173"/>
        </w:trPr>
        <w:tc>
          <w:tcPr>
            <w:tcW w:w="66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income, primarily interest.......................................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629</w:t>
            </w: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(5,726)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(8,591)</w:t>
            </w:r>
          </w:p>
        </w:tc>
      </w:tr>
      <w:tr>
        <w:trPr>
          <w:trHeight w:val="173"/>
        </w:trPr>
        <w:tc>
          <w:tcPr>
            <w:tcW w:w="66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Loss before income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(5,244)</w:t>
            </w: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Income tax provision.....................................................</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3"/>
        </w:trPr>
        <w:tc>
          <w:tcPr>
            <w:tcW w:w="66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loss.................................................................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$(5,269)</w:t>
            </w:r>
          </w:p>
        </w:tc>
      </w:tr>
      <w:tr>
        <w:trPr>
          <w:trHeight w:val="173"/>
        </w:trPr>
        <w:tc>
          <w:tcPr>
            <w:tcW w:w="66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Loss per common share....................................................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(.08)</w:t>
            </w:r>
          </w:p>
        </w:tc>
      </w:tr>
      <w:tr>
        <w:trPr>
          <w:trHeight w:val="173"/>
        </w:trPr>
        <w:tc>
          <w:tcPr>
            <w:tcW w:w="66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6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Weighted average number of shares outstanding............................</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66,789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66,789</w:t>
            </w:r>
          </w:p>
        </w:tc>
      </w:tr>
      <w:tr>
        <w:trPr>
          <w:trHeight w:val="173"/>
        </w:trPr>
        <w:tc>
          <w:tcPr>
            <w:tcW w:w="66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19"/>
          </w:cols>
          <w:pgMar w:left="240" w:top="291"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205</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200" w:lineRule="exact"/>
        <w:rPr>
          <w:sz w:val="20"/>
          <w:szCs w:val="20"/>
          <w:color w:val="auto"/>
        </w:rPr>
      </w:pPr>
    </w:p>
    <w:p>
      <w:pPr>
        <w:spacing w:after="0" w:line="324"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(DOLLARS IN THOUSANDS)</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8"/>
              </w:rPr>
              <w:t>THREE MONTHS ENDED</w:t>
            </w:r>
          </w:p>
        </w:tc>
      </w:tr>
      <w:tr>
        <w:trPr>
          <w:trHeight w:val="173"/>
        </w:trPr>
        <w:tc>
          <w:tcPr>
            <w:tcW w:w="6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6480" w:type="dxa"/>
            <w:vAlign w:val="bottom"/>
          </w:tcPr>
          <w:p>
            <w:pPr>
              <w:spacing w:after="0"/>
              <w:rPr>
                <w:sz w:val="15"/>
                <w:szCs w:val="15"/>
                <w:color w:val="auto"/>
              </w:rPr>
            </w:pPr>
          </w:p>
        </w:tc>
        <w:tc>
          <w:tcPr>
            <w:tcW w:w="20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6480" w:type="dxa"/>
            <w:vAlign w:val="bottom"/>
          </w:tcPr>
          <w:p>
            <w:pPr>
              <w:spacing w:after="0"/>
              <w:rPr>
                <w:sz w:val="15"/>
                <w:szCs w:val="15"/>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480" w:type="dxa"/>
            <w:vAlign w:val="bottom"/>
          </w:tcPr>
          <w:p>
            <w:pPr>
              <w:jc w:val="right"/>
              <w:ind w:right="3165"/>
              <w:spacing w:after="0"/>
              <w:rPr>
                <w:sz w:val="20"/>
                <w:szCs w:val="20"/>
                <w:color w:val="auto"/>
              </w:rPr>
            </w:pPr>
            <w:r>
              <w:rPr>
                <w:rFonts w:ascii="Courier New" w:cs="Courier New" w:eastAsia="Courier New" w:hAnsi="Courier New"/>
                <w:sz w:val="15"/>
                <w:szCs w:val="15"/>
                <w:color w:val="auto"/>
                <w:w w:val="99"/>
              </w:rPr>
              <w:t>Cash flows from operating activities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2,210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$ 18,172</w:t>
            </w:r>
          </w:p>
        </w:tc>
      </w:tr>
      <w:tr>
        <w:trPr>
          <w:trHeight w:val="173"/>
        </w:trPr>
        <w:tc>
          <w:tcPr>
            <w:tcW w:w="6480" w:type="dxa"/>
            <w:vAlign w:val="bottom"/>
          </w:tcPr>
          <w:p>
            <w:pPr>
              <w:spacing w:after="0"/>
              <w:rPr>
                <w:sz w:val="15"/>
                <w:szCs w:val="15"/>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ind w:right="3165"/>
              <w:spacing w:after="0"/>
              <w:rPr>
                <w:sz w:val="20"/>
                <w:szCs w:val="20"/>
                <w:color w:val="auto"/>
              </w:rPr>
            </w:pPr>
            <w:r>
              <w:rPr>
                <w:rFonts w:ascii="Courier New" w:cs="Courier New" w:eastAsia="Courier New" w:hAnsi="Courier New"/>
                <w:sz w:val="15"/>
                <w:szCs w:val="15"/>
                <w:color w:val="auto"/>
                <w:w w:val="99"/>
              </w:rPr>
              <w:t>Cash flows from investing activities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(6,894)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(8,096)</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Decrease (increase) in funds held in escrow..........................</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9,279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(9,496)</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2,313</w:t>
            </w:r>
          </w:p>
        </w:tc>
      </w:tr>
      <w:tr>
        <w:trPr>
          <w:trHeight w:val="173"/>
        </w:trPr>
        <w:tc>
          <w:tcPr>
            <w:tcW w:w="6480" w:type="dxa"/>
            <w:vAlign w:val="bottom"/>
          </w:tcPr>
          <w:p>
            <w:pPr>
              <w:spacing w:after="0"/>
              <w:rPr>
                <w:sz w:val="15"/>
                <w:szCs w:val="15"/>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cash provided by (used in) investing activities....................</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3,028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(15,279)</w:t>
            </w:r>
          </w:p>
        </w:tc>
      </w:tr>
      <w:tr>
        <w:trPr>
          <w:trHeight w:val="173"/>
        </w:trPr>
        <w:tc>
          <w:tcPr>
            <w:tcW w:w="6480" w:type="dxa"/>
            <w:vAlign w:val="bottom"/>
          </w:tcPr>
          <w:p>
            <w:pPr>
              <w:spacing w:after="0"/>
              <w:rPr>
                <w:sz w:val="15"/>
                <w:szCs w:val="15"/>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ind w:right="3165"/>
              <w:spacing w:after="0"/>
              <w:rPr>
                <w:sz w:val="20"/>
                <w:szCs w:val="20"/>
                <w:color w:val="auto"/>
              </w:rPr>
            </w:pPr>
            <w:r>
              <w:rPr>
                <w:rFonts w:ascii="Courier New" w:cs="Courier New" w:eastAsia="Courier New" w:hAnsi="Courier New"/>
                <w:sz w:val="15"/>
                <w:szCs w:val="15"/>
                <w:color w:val="auto"/>
                <w:w w:val="99"/>
              </w:rPr>
              <w:t>Cash flows from financing activities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Principal payments on long-term obligations..........................</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(18,188)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(10,009)</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spacing w:after="0"/>
              <w:rPr>
                <w:sz w:val="15"/>
                <w:szCs w:val="15"/>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cash used in financing activities..................................</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(18,185)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(10,009)</w:t>
            </w:r>
          </w:p>
        </w:tc>
      </w:tr>
      <w:tr>
        <w:trPr>
          <w:trHeight w:val="173"/>
        </w:trPr>
        <w:tc>
          <w:tcPr>
            <w:tcW w:w="6480" w:type="dxa"/>
            <w:vAlign w:val="bottom"/>
          </w:tcPr>
          <w:p>
            <w:pPr>
              <w:spacing w:after="0"/>
              <w:rPr>
                <w:sz w:val="15"/>
                <w:szCs w:val="15"/>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decrease in cash and cash equivalents..............................</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(12,947)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(7,116)</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and cash equivalents at beginning of period.......................</w:t>
            </w:r>
          </w:p>
        </w:tc>
        <w:tc>
          <w:tcPr>
            <w:tcW w:w="18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44,553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23,548</w:t>
            </w:r>
          </w:p>
        </w:tc>
      </w:tr>
      <w:tr>
        <w:trPr>
          <w:trHeight w:val="173"/>
        </w:trPr>
        <w:tc>
          <w:tcPr>
            <w:tcW w:w="6480" w:type="dxa"/>
            <w:vAlign w:val="bottom"/>
          </w:tcPr>
          <w:p>
            <w:pPr>
              <w:spacing w:after="0"/>
              <w:rPr>
                <w:sz w:val="15"/>
                <w:szCs w:val="15"/>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31,606</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$ 16,432</w:t>
            </w:r>
          </w:p>
        </w:tc>
      </w:tr>
      <w:tr>
        <w:trPr>
          <w:trHeight w:val="173"/>
        </w:trPr>
        <w:tc>
          <w:tcPr>
            <w:tcW w:w="6480" w:type="dxa"/>
            <w:vAlign w:val="bottom"/>
          </w:tcPr>
          <w:p>
            <w:pPr>
              <w:spacing w:after="0"/>
              <w:rPr>
                <w:sz w:val="15"/>
                <w:szCs w:val="15"/>
                <w:color w:val="auto"/>
              </w:rPr>
            </w:pP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219"/>
          </w:cols>
          <w:pgMar w:left="240" w:top="291"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206</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200" w:lineRule="exact"/>
        <w:rPr>
          <w:sz w:val="20"/>
          <w:szCs w:val="20"/>
          <w:color w:val="auto"/>
        </w:rPr>
      </w:pPr>
    </w:p>
    <w:p>
      <w:pPr>
        <w:spacing w:after="0" w:line="32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NOTES TO INTERIM CONDENSED CONSOLIDATED FINANCIAL STATEMENTS (UNAUDITED)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FINANCIAL STATEMENTS</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accompanying unaudited condensed consolidated financial statements of Chambers Development Company, Inc. ("Chambers") have been prepared in accordance with generally accepted accounting principles for interim financial information. They do not include all information and footnotes which would be required by generally accepted accounting principles for complete financial statements. In the opinion of management of Chambers, these financial statements contain all adjustments (consisting of normal recurring accruals) considered necessary for a fair presentation of financial position, results of operations and cash flows for the periods presented. Operating results for the three-month period ended March 31, 1995 are not necessarily indicative of the results that may be expected for the year ending December 31, 1995.</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PROPOSED MERGER</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Chambers has entered into an Amended and Restated Agreement and Plan of Merger dated as of November 28, 1994 (the "Merger Agreement"), pursuant to which Chambers would become a wholly owned subsidiary of USA Waste Services, Inc. ("USA Waste") through the merger of an existing wholly owned subsidiary of USA Waste with and into Chambers (the "Merger"). The Merger Agreement provides, among other things, for each outstanding share of Chambers' Common Stock and Class A Common Stock to be converted into .41667 of a share of USA Waste's Common Stock. Based upon the 15,439,668 shares of Chambers' Common Stock and the 51,349,459 shares of Class A Common Stock outstanding as of May 5, 1995, Chambers' stockholders will collectively be issued approximately 27,829,000 shares of USA Waste's Common Stock, representing approximately 54.8% of the expected total issued and outstanding shares of USA Waste's Common Stock after the Merger.</w:t>
      </w:r>
    </w:p>
    <w:p>
      <w:pPr>
        <w:spacing w:after="0" w:line="200" w:lineRule="exact"/>
        <w:rPr>
          <w:sz w:val="20"/>
          <w:szCs w:val="20"/>
          <w:color w:val="auto"/>
        </w:rPr>
      </w:pPr>
    </w:p>
    <w:p>
      <w:pPr>
        <w:spacing w:after="0" w:line="328"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The Merger is subject to a number of conditions, including obtaining the approval of the stockholders of Chambers and of USA Waste, final settlement of the shareholder litigation discussed in Note C and certain other proceedings involving Chambers, and obtaining any necessary regulatory waivers and approvals. It is anticipated that the Merger will be completed by June 30, 1995.</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SETTLEMENT OF SHAREHOLDER LITIGATION</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Between March 18, 1992 and May 7, 1992, various Chambers shareholders filed twenty-three actions in the United States District Court for the Western District of Pennsylvania asserting federal securities fraud claims and pendent state law claims against Chambers, certain of its officers and directors, its former auditors, and the underwriters of its securities (the "Federal Class Action"). The significant part of these actions, as amended and consolidated on November 4, 1992, under the caption In Re: Chambers Development Company, Inc. Shareholders Litigation, Civil Action No. 92-0679, and brought on behalf of a putative class of purchasers of Chambers' securities between March 18, 1988 and October 20, 1992, is the allegation that the decrease in Chambers' stock price during the period from Chambers' March 17, 1992 announcement of a change in accounting method relating to capitalization of certain costs and expenses through its October 20, 1992 announcement of a $362,000,000 reduction in retained earnings as of December 31, 1991, as compared to the amount previously reported, and a restatement of its 1990 and 1989 consolidated financial statements, was caused by Chambers' misrepresentation of its earnings and financial condition. One of the original twenty-three complaints, Yeager v. Rangos, et al., C.A. No. 92-1081, also asserts derivative claims on behalf of Chambers (which is named as a nominal defendant) for breach of fiduciary duty against certain of its officers and directors and negligence against its former auditors (the "Federal Derivative Action"). Derivative claims were also filed in state courts on behalf of Chambers (which was named as a nominal defendant) for breach of fiduciary duty against certain of its officers and directors and for negligence against its former auditors (the "Related Actions").</w:t>
      </w:r>
    </w:p>
    <w:p>
      <w:pPr>
        <w:spacing w:after="0" w:line="200" w:lineRule="exact"/>
        <w:rPr>
          <w:sz w:val="20"/>
          <w:szCs w:val="20"/>
          <w:color w:val="auto"/>
        </w:rPr>
      </w:pPr>
    </w:p>
    <w:p>
      <w:pPr>
        <w:spacing w:after="0" w:line="335"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On February 24, 1995, representatives of the plaintiffs in the Federal Class Action, representatives of the plaintiffs in the Federal Derivative Action, Chambers and certain individual defendants entered into a</w:t>
      </w:r>
    </w:p>
    <w:p>
      <w:pPr>
        <w:sectPr>
          <w:pgSz w:w="11900" w:h="16838" w:orient="portrait"/>
          <w:cols w:equalWidth="0" w:num="1">
            <w:col w:w="10219"/>
          </w:cols>
          <w:pgMar w:left="240" w:top="291" w:right="1440" w:bottom="0" w:gutter="0" w:footer="0" w:header="0"/>
        </w:sectPr>
      </w:pP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F-54</w:t>
      </w:r>
    </w:p>
    <w:p>
      <w:pPr>
        <w:sectPr>
          <w:pgSz w:w="11900" w:h="16838" w:orient="portrait"/>
          <w:cols w:equalWidth="0" w:num="1">
            <w:col w:w="10219"/>
          </w:cols>
          <w:pgMar w:left="240" w:top="291" w:right="1440" w:bottom="0" w:gutter="0" w:footer="0" w:header="0"/>
          <w:type w:val="continuous"/>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207</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INTERIM CONDENSED CONSOLIDATED FINANCIAL STATEMENTS -- (CONTINUED)</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 described above. Implementation of the Settlement Agreements is conditioned upon the dismissal, with prejudice, of the Related Actions referred to above. On March 22, 1995, the court granted preliminary approval of the settlements and distribution of notices to Chambers' stockholders and the plaintiff class members regarding the settlements. The hearing upon the fairness, reasonableness and adequacy of the proposed settlements has been scheduled for May 19, 1995.</w:t>
      </w:r>
    </w:p>
    <w:p>
      <w:pPr>
        <w:spacing w:after="0" w:line="200" w:lineRule="exact"/>
        <w:rPr>
          <w:sz w:val="20"/>
          <w:szCs w:val="20"/>
          <w:color w:val="auto"/>
        </w:rPr>
      </w:pPr>
    </w:p>
    <w:p>
      <w:pPr>
        <w:spacing w:after="0" w:line="32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By May 15, 1995, Chambers had been informed by the Claims Administrator that several potential class members, representing in the aggregate less than 5,000 shares of Chambers stock, have requested exclusion from the Class Action Settlement Agreement. The timely receipt of the foregoing requests for exclusion has been confirmed by the Claims Administrator for the Class Action. In addition, Chambers has received an indication that one shareholder and certain related parties, holding alleged claims with respect to approximately 673,000 shares of Chambers stock, have asserted that exclusion from the Class Action Settlement would be requested with respect to such holdings. As of May 15, 1995, Chambers had not received any confirmation from the Claims Administrator for the Class Action of the receipt of such request for exclusion. While the Settlement Agreements provide that the latter request for exclusion would give the Chambers defendants and the Grant Thornton defendants the right to withdraw from the Settlement Agreements, Chambers' management intends to proceed with the settlements. Under the terms of the Settlement Agreements, Chambers may still proceed with the settlements whether or not the Grant Thornton defendants elect to withdraw. Chambers has also been informed that the matter captioned Option Resource Group, et al v. Chambers Development Company, Inc. (C.A. No. 93-354 in the United States District Court for the Western District of Pennsylvania) will still be pending after the settlement of the Class Action and the Derivative Action. In addition, two objections were filed to the Derivative Action Settlement Agreement. It is believed that such objections are not significant and are unlikely to prevent approval of the settlement. Objections to the Settlement Agreements were required to be filed with the court by May 11, 1995 and requests for exclusion were required to be mailed by May 11, 1995.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Settlement Agreements provide that the sum of $10,000,000 will be paid by Chambers' directors and officers liability insurance carrier and the sum of $70,000,000 will be paid by Chambers in two installments following final court approval of the settlements. The first installment of $25,000,000 is to be paid within thirty days after the settlement effective date (the date upon which the court has finally approved the settlements of the class actions and derivative actions described above, and all times for appeal have expired or all appeals have been finally rejected) and the second installment of $45,000,000 (the "Second Installment") is to be paid one year after the settlement effective date subject to possible earlier payments based on the Merger and subsequent refinancing. If the Merger or a comparable transaction is consummated, the total settlement payment will be adjusted by a base increase of $5,000,000, which will be adjusted upward or downward by an amount consisting of $16,000 for each penny above or below $4.50 of merger consideration received in the transaction by Chambers' stockholders per share of Chambers' Common Stock and Class A Common Stock, together with interest from the settlement effective date to the payment date (the base increase, together with any adjustment thereto, collectively referred to as the "Adjustment"). Based on the market value of USA Waste Common Stock on May 11, 1995, the Adjustment would be $8,136,000. Any amount by which the sum of the Second Installment and the Adjustment exceeds $50,600,000 will be paid by John G. Rangos, Sr., Chairman and Chief Executive Officer of Chambers. John G. Rangos, Sr. has also agreed to guarantee Chambers' obligations to make certain payments in the Class Action Settlement in an amount not to exceed $15,000,000.</w:t>
      </w:r>
    </w:p>
    <w:p>
      <w:pPr>
        <w:sectPr>
          <w:pgSz w:w="11900" w:h="16838" w:orient="portrait"/>
          <w:cols w:equalWidth="0" w:num="1">
            <w:col w:w="10219"/>
          </w:cols>
          <w:pgMar w:left="240" w:top="291" w:right="1440" w:bottom="1440" w:gutter="0" w:footer="0" w:header="0"/>
        </w:sectPr>
      </w:pPr>
    </w:p>
    <w:p>
      <w:pPr>
        <w:spacing w:after="0" w:line="36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F-55</w:t>
      </w:r>
    </w:p>
    <w:p>
      <w:pPr>
        <w:sectPr>
          <w:pgSz w:w="11900" w:h="16838" w:orient="portrait"/>
          <w:cols w:equalWidth="0" w:num="1">
            <w:col w:w="10219"/>
          </w:cols>
          <w:pgMar w:left="240" w:top="291" w:right="1440" w:bottom="1440" w:gutter="0" w:footer="0" w:header="0"/>
          <w:type w:val="continuous"/>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208</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INTERIM CONDENSED CONSOLIDATED FINANCIAL STATEMENTS -- (CONTINUED)</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Synergy Associates has agreed, under the Derivative Action Settlement Agreement, to contribute to Chambers the headquarters property presently leased by Chambers from Synergy Associates, subject to assumption or discharge by Chambers of an existing mortgage.</w:t>
      </w:r>
    </w:p>
    <w:p>
      <w:pPr>
        <w:spacing w:after="0" w:line="200" w:lineRule="exact"/>
        <w:rPr>
          <w:sz w:val="20"/>
          <w:szCs w:val="20"/>
          <w:color w:val="auto"/>
        </w:rPr>
      </w:pPr>
    </w:p>
    <w:p>
      <w:pPr>
        <w:spacing w:after="0" w:line="32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Settlement Agreements will be subject to certain conditions, including court approval, and to the refinancing of Chambers' principal borrowings. The current lending agreements of Chambers restrict Chambers from making the settlement payments without the consent of the lending groups. The terms of the Class Action Settlement Agreement also include a right to terminate the settlements based on appeals or opt-outs with respect to the Federal Class Action.</w:t>
      </w:r>
    </w:p>
    <w:p>
      <w:pPr>
        <w:spacing w:after="0" w:line="200" w:lineRule="exact"/>
        <w:rPr>
          <w:sz w:val="20"/>
          <w:szCs w:val="20"/>
          <w:color w:val="auto"/>
        </w:rPr>
      </w:pPr>
    </w:p>
    <w:p>
      <w:pPr>
        <w:spacing w:after="0" w:line="325"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After Chambers entered into the Settlement Agreements, the class and derivative plaintiffs entered into settlements with Chambers' former independent auditors. Chambers then entered into an agreement with the class plaintiffs to settle their claims against a group of underwriters of certain of Chambers' securities offerings. Chambers agreed to pay $300,000 to the class plaintiffs to resolve these claims for which the underwriters sought indemnity from Chambers.</w:t>
      </w:r>
    </w:p>
    <w:p>
      <w:pPr>
        <w:spacing w:after="0" w:line="200" w:lineRule="exact"/>
        <w:rPr>
          <w:sz w:val="20"/>
          <w:szCs w:val="20"/>
          <w:color w:val="auto"/>
        </w:rPr>
      </w:pPr>
    </w:p>
    <w:p>
      <w:pPr>
        <w:spacing w:after="0" w:line="310"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As a result of the foregoing, Chambers accrued $85,300,000 for the cost of the settlements and $4,100,000 for other litigation related costs in 1994. Of that total, $79,400,000 was recorded as a charge to unusual items as a component of other income (expense) and $10,000,000 recoverable under Chambers' directors and officers liability insurance policy was recorded as a current asset.</w:t>
      </w:r>
    </w:p>
    <w:p>
      <w:pPr>
        <w:spacing w:after="0" w:line="200" w:lineRule="exact"/>
        <w:rPr>
          <w:sz w:val="20"/>
          <w:szCs w:val="20"/>
          <w:color w:val="auto"/>
        </w:rPr>
      </w:pPr>
    </w:p>
    <w:p>
      <w:pPr>
        <w:spacing w:after="0" w:line="30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While Chambers believes the above-mentioned accruals and charges are adequate to provide for the settlement and related costs, certain of these amounts are estimates, and actual amounts will depend on the outcome of future events. If such estimated amounts are not adequate, additional charges against income would be made when such determinations are made.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SETTLEMENT OF SECURITIES AND EXCHANGE COMMISSION INVESTIGATION</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Shortly after Chambers' March 17, 1992 announcement of a change in accounting policies concerning capitalization, the Securities and Exchange Commission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13(b) of the Securities Exchange Act of 1934 ("Exchange Act") and various rules promulgated thereunder. Chambers has cooperated with the investigation through the production of documents and by providing witnesses pursuant to the Commission's request. On May 9, 1995, the Commission filed a complaint against Chambers in the United States District Court for the Western District of Pennsylvania alleging that Chambers violated the antifraud provisions of the Securities Act of 1933 ("Securities Act") and the antifraud, reporting, internal controls and recordkeeping provisions of the Exchange Act by issuing false and misleading earnings announcements from 1989 through March 1992 and including false and misleading financial statements in its reports on Forms 10-K and 10-Q and its registration statements filed from 1989 through November 1991. Chambers simultaneously consented, without admitting or denying the Commission's allegations, to the entry of an order enjoining it from violating certain provisions of the Securities Act and the Exchange Act and requiring it to pay a civil penalty of $500,000. The $500,000 was accrued in 1994.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Commission also instituted administrative proceedings under section 21C of the Exchange Act against four present and former officers of Chambers, including John G. Rangos, Sr., Chairman and Chief Executive Officer of Chambers, Dale O. Nolder, Jr. and John J. Cushma, two of Chambers' former corporate controllers and William R. Nelson, a former chief financial officer of Chambers. The Commission found,</w:t>
      </w:r>
    </w:p>
    <w:p>
      <w:pPr>
        <w:sectPr>
          <w:pgSz w:w="11900" w:h="16838" w:orient="portrait"/>
          <w:cols w:equalWidth="0" w:num="1">
            <w:col w:w="10219"/>
          </w:cols>
          <w:pgMar w:left="240" w:top="291" w:right="1440" w:bottom="34" w:gutter="0" w:footer="0" w:header="0"/>
        </w:sectPr>
      </w:pPr>
    </w:p>
    <w:bookmarkStart w:id="213" w:name="page214"/>
    <w:bookmarkEnd w:id="213"/>
    <w:p>
      <w:pPr>
        <w:ind w:left="2220"/>
        <w:spacing w:after="0"/>
        <w:rPr>
          <w:sz w:val="20"/>
          <w:szCs w:val="20"/>
          <w:color w:val="auto"/>
        </w:rPr>
      </w:pPr>
      <w:r>
        <w:rPr>
          <w:rFonts w:ascii="Courier New" w:cs="Courier New" w:eastAsia="Courier New" w:hAnsi="Courier New"/>
          <w:sz w:val="14"/>
          <w:szCs w:val="14"/>
          <w:color w:val="auto"/>
        </w:rPr>
        <w:t>F-56</w:t>
      </w:r>
    </w:p>
    <w:p>
      <w:pPr>
        <w:sectPr>
          <w:pgSz w:w="11900" w:h="16838" w:orient="portrait"/>
          <w:cols w:equalWidth="0" w:num="1">
            <w:col w:w="9019"/>
          </w:cols>
          <w:pgMar w:left="1440" w:top="315"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209</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INTERIM CONDENSED CONSOLIDATED FINANCIAL STATEMENTS -- (CONTINUED)</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4"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among other things, that John G. Rangos, Sr. and John J. Cushma each were a cause of Chambers' violations of the reporting, internal controls and recordkeeping provisions of the Exchange Act. Each of these four persons consented to the issuance of a cease and desist order without admitting or denying the Commission's findings.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DIVESTITURES</w:t>
      </w: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assets held for sale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5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1994</w:t>
            </w:r>
          </w:p>
        </w:tc>
        <w:tc>
          <w:tcPr>
            <w:tcW w:w="40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1995</w:t>
            </w:r>
          </w:p>
        </w:tc>
      </w:tr>
      <w:tr>
        <w:trPr>
          <w:trHeight w:val="173"/>
        </w:trPr>
        <w:tc>
          <w:tcPr>
            <w:tcW w:w="5580" w:type="dxa"/>
            <w:vAlign w:val="bottom"/>
          </w:tcPr>
          <w:p>
            <w:pPr>
              <w:spacing w:after="0"/>
              <w:rPr>
                <w:sz w:val="15"/>
                <w:szCs w:val="15"/>
                <w:color w:val="auto"/>
              </w:rPr>
            </w:pPr>
          </w:p>
        </w:tc>
        <w:tc>
          <w:tcPr>
            <w:tcW w:w="140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Inventories and prepaid expenses.............................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4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11,222</w:t>
            </w: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11,231</w:t>
            </w:r>
          </w:p>
        </w:tc>
      </w:tr>
      <w:tr>
        <w:trPr>
          <w:trHeight w:val="173"/>
        </w:trPr>
        <w:tc>
          <w:tcPr>
            <w:tcW w:w="5580" w:type="dxa"/>
            <w:vAlign w:val="bottom"/>
          </w:tcPr>
          <w:p>
            <w:pPr>
              <w:spacing w:after="0"/>
              <w:rPr>
                <w:sz w:val="15"/>
                <w:szCs w:val="15"/>
                <w:color w:val="auto"/>
              </w:rPr>
            </w:pPr>
          </w:p>
        </w:tc>
        <w:tc>
          <w:tcPr>
            <w:tcW w:w="140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11,318</w:t>
            </w: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11,323</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Less allowance for losses....................................</w:t>
            </w:r>
          </w:p>
        </w:tc>
        <w:tc>
          <w:tcPr>
            <w:tcW w:w="4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2,020</w:t>
            </w:r>
          </w:p>
        </w:tc>
        <w:tc>
          <w:tcPr>
            <w:tcW w:w="4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1,891</w:t>
            </w:r>
          </w:p>
        </w:tc>
      </w:tr>
      <w:tr>
        <w:trPr>
          <w:trHeight w:val="173"/>
        </w:trPr>
        <w:tc>
          <w:tcPr>
            <w:tcW w:w="5580" w:type="dxa"/>
            <w:vAlign w:val="bottom"/>
          </w:tcPr>
          <w:p>
            <w:pPr>
              <w:spacing w:after="0"/>
              <w:rPr>
                <w:sz w:val="15"/>
                <w:szCs w:val="15"/>
                <w:color w:val="auto"/>
              </w:rPr>
            </w:pPr>
          </w:p>
        </w:tc>
        <w:tc>
          <w:tcPr>
            <w:tcW w:w="140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80" w:type="dxa"/>
            <w:vAlign w:val="bottom"/>
          </w:tcPr>
          <w:p>
            <w:pPr>
              <w:spacing w:after="0"/>
              <w:rPr>
                <w:sz w:val="20"/>
                <w:szCs w:val="20"/>
                <w:color w:val="auto"/>
              </w:rPr>
            </w:pPr>
            <w:r>
              <w:rPr>
                <w:rFonts w:ascii="Courier New" w:cs="Courier New" w:eastAsia="Courier New" w:hAnsi="Courier New"/>
                <w:sz w:val="15"/>
                <w:szCs w:val="15"/>
                <w:color w:val="auto"/>
              </w:rPr>
              <w:t>Net assets held for sale.....................................</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9,298</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$ 9,432</w:t>
            </w:r>
          </w:p>
        </w:tc>
      </w:tr>
      <w:tr>
        <w:trPr>
          <w:trHeight w:val="173"/>
        </w:trPr>
        <w:tc>
          <w:tcPr>
            <w:tcW w:w="5580" w:type="dxa"/>
            <w:vAlign w:val="bottom"/>
          </w:tcPr>
          <w:p>
            <w:pPr>
              <w:spacing w:after="0"/>
              <w:rPr>
                <w:sz w:val="15"/>
                <w:szCs w:val="15"/>
                <w:color w:val="auto"/>
              </w:rPr>
            </w:pPr>
          </w:p>
        </w:tc>
        <w:tc>
          <w:tcPr>
            <w:tcW w:w="140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Included in the results of operations for the three-month periods ended March 31, 1994 and 1995 are revenues of $1,055,000 and $868,000, respectively, for businesses whose assets are held for sale. Operating losses of $238,000 and $129,000 for the respective periods have been incurred and charged to the previously established reserve for divestiture losses.</w:t>
      </w:r>
    </w:p>
    <w:p>
      <w:pPr>
        <w:spacing w:after="0" w:line="200" w:lineRule="exact"/>
        <w:rPr>
          <w:sz w:val="20"/>
          <w:szCs w:val="20"/>
          <w:color w:val="auto"/>
        </w:rPr>
      </w:pPr>
    </w:p>
    <w:p>
      <w:pPr>
        <w:spacing w:after="0" w:line="323"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Also included in the results of operations for the three months ended March 31, 1994 are revenues of $385,000 and a loss from operations of $237,000, for a business that was sold during 1994.</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CURRENT ACCRUED LIABILITIES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Current accrued liabilities consist of the following (in thousands):</w:t>
            </w:r>
          </w:p>
        </w:tc>
        <w:tc>
          <w:tcPr>
            <w:tcW w:w="1040" w:type="dxa"/>
            <w:vAlign w:val="bottom"/>
          </w:tcPr>
          <w:p>
            <w:pPr>
              <w:spacing w:after="0"/>
              <w:rPr>
                <w:sz w:val="14"/>
                <w:szCs w:val="14"/>
                <w:color w:val="auto"/>
              </w:rPr>
            </w:pPr>
          </w:p>
        </w:tc>
      </w:tr>
      <w:tr>
        <w:trPr>
          <w:trHeight w:val="1040"/>
        </w:trPr>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8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1994</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8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40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9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Shareholder litigation settlement............................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10,000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w:t>
            </w:r>
          </w:p>
        </w:tc>
      </w:tr>
      <w:tr>
        <w:trPr>
          <w:trHeight w:val="173"/>
        </w:trPr>
        <w:tc>
          <w:tcPr>
            <w:tcW w:w="59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Insurance....................................................</w:t>
            </w:r>
          </w:p>
        </w:tc>
        <w:tc>
          <w:tcPr>
            <w:tcW w:w="4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4,098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4,356</w:t>
            </w:r>
          </w:p>
        </w:tc>
      </w:tr>
      <w:tr>
        <w:trPr>
          <w:trHeight w:val="173"/>
        </w:trPr>
        <w:tc>
          <w:tcPr>
            <w:tcW w:w="800" w:type="dxa"/>
            <w:vAlign w:val="bottom"/>
          </w:tcPr>
          <w:p>
            <w:pPr>
              <w:ind w:left="360"/>
              <w:spacing w:after="0"/>
              <w:rPr>
                <w:sz w:val="20"/>
                <w:szCs w:val="20"/>
                <w:color w:val="auto"/>
              </w:rPr>
            </w:pPr>
            <w:r>
              <w:rPr>
                <w:rFonts w:ascii="Courier New" w:cs="Courier New" w:eastAsia="Courier New" w:hAnsi="Courier New"/>
                <w:sz w:val="15"/>
                <w:szCs w:val="15"/>
                <w:color w:val="auto"/>
                <w:w w:val="93"/>
              </w:rPr>
              <w:t>Other</w:t>
            </w:r>
          </w:p>
        </w:tc>
        <w:tc>
          <w:tcPr>
            <w:tcW w:w="5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20,653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19,381</w:t>
            </w:r>
          </w:p>
        </w:tc>
      </w:tr>
      <w:tr>
        <w:trPr>
          <w:trHeight w:val="173"/>
        </w:trPr>
        <w:tc>
          <w:tcPr>
            <w:tcW w:w="8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40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8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34,751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$33,737</w:t>
            </w:r>
          </w:p>
        </w:tc>
      </w:tr>
      <w:tr>
        <w:trPr>
          <w:trHeight w:val="173"/>
        </w:trPr>
        <w:tc>
          <w:tcPr>
            <w:tcW w:w="8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40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67"/>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NOTE G --</w:t>
            </w:r>
          </w:p>
        </w:tc>
        <w:tc>
          <w:tcPr>
            <w:tcW w:w="5140" w:type="dxa"/>
            <w:vAlign w:val="bottom"/>
          </w:tcPr>
          <w:p>
            <w:pPr>
              <w:jc w:val="right"/>
              <w:ind w:right="3885"/>
              <w:spacing w:after="0"/>
              <w:rPr>
                <w:sz w:val="20"/>
                <w:szCs w:val="20"/>
                <w:color w:val="auto"/>
              </w:rPr>
            </w:pPr>
            <w:r>
              <w:rPr>
                <w:rFonts w:ascii="Courier New" w:cs="Courier New" w:eastAsia="Courier New" w:hAnsi="Courier New"/>
                <w:sz w:val="15"/>
                <w:szCs w:val="15"/>
                <w:color w:val="auto"/>
              </w:rPr>
              <w:t>INCOME TAXES</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94"/>
        </w:trPr>
        <w:tc>
          <w:tcPr>
            <w:tcW w:w="73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The provision for income taxes for the three months ended March 31, 1994</w:t>
            </w:r>
          </w:p>
        </w:tc>
        <w:tc>
          <w:tcPr>
            <w:tcW w:w="1040" w:type="dxa"/>
            <w:vAlign w:val="bottom"/>
          </w:tcPr>
          <w:p>
            <w:pPr>
              <w:spacing w:after="0"/>
              <w:rPr>
                <w:sz w:val="24"/>
                <w:szCs w:val="24"/>
                <w:color w:val="auto"/>
              </w:rPr>
            </w:pPr>
          </w:p>
        </w:tc>
      </w:tr>
    </w:tbl>
    <w:p>
      <w:pPr>
        <w:spacing w:after="0" w:line="4"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and 1995 is for current state and local income taxes. There was no provision for federal income taxes as a result of Chambers' loss for both periods.</w:t>
      </w:r>
    </w:p>
    <w:p>
      <w:pPr>
        <w:sectPr>
          <w:pgSz w:w="11900" w:h="16838" w:orient="portrait"/>
          <w:cols w:equalWidth="0" w:num="1">
            <w:col w:w="10219"/>
          </w:cols>
          <w:pgMar w:left="240" w:top="291" w:right="1440" w:bottom="0" w:gutter="0" w:footer="0" w:header="0"/>
        </w:sectPr>
      </w:pPr>
    </w:p>
    <w:bookmarkStart w:id="215" w:name="page216"/>
    <w:bookmarkEnd w:id="215"/>
    <w:p>
      <w:pPr>
        <w:spacing w:after="0"/>
        <w:rPr>
          <w:sz w:val="20"/>
          <w:szCs w:val="20"/>
          <w:color w:val="auto"/>
        </w:rPr>
      </w:pPr>
      <w:r>
        <w:rPr>
          <w:rFonts w:ascii="Courier New" w:cs="Courier New" w:eastAsia="Courier New" w:hAnsi="Courier New"/>
          <w:sz w:val="15"/>
          <w:szCs w:val="15"/>
          <w:color w:val="auto"/>
        </w:rPr>
        <w:t>NOTE H -- CONTINGENCIES</w:t>
      </w: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Employment Agreements</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February 1993, Chambers entered into employment agreements with certain of its officers that provide such officers with rights to severance benefits if employment with Chambers ceases under specified circumstances in connection with a "change of control" of Chambers such as the Merger. Such agreements were replaced effective as of February 1995 with agreements substantially similar to the prior agreements</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19"/>
          </w:cols>
          <w:pgMar w:left="240" w:top="487"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210</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INTERIM CONDENSED CONSOLIDATED FINANCIAL STATEMENTS -- (CONTINUED)</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except with respect to certain termination provisions unrelated to the change of control termination provisions. If all such rights were to be exercised, Chambers would be obligated to pay a total of approximately $7,635,000 to such officers. The term of each of these agreements ends on February 2, 1996.</w:t>
      </w: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Litigation and Investigations</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American Stock Exchange and the Chicago Board of Options Exchange are conducting investigations into trading activity on their respective exchanges in Chambers' securities and in put options on Chambers' securities prior to the March 17, 1992 announcement.</w:t>
      </w:r>
    </w:p>
    <w:p>
      <w:pPr>
        <w:spacing w:after="0" w:line="200" w:lineRule="exact"/>
        <w:rPr>
          <w:sz w:val="20"/>
          <w:szCs w:val="20"/>
          <w:color w:val="auto"/>
        </w:rPr>
      </w:pPr>
    </w:p>
    <w:p>
      <w:pPr>
        <w:spacing w:after="0" w:line="32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The grand jury investigation is ongoing and it appears to be focusing on issues similar to those raised by the civil litigation discussed in Note C and the Commission's investigation discussed in Note D.</w:t>
      </w:r>
    </w:p>
    <w:p>
      <w:pPr>
        <w:spacing w:after="0" w:line="200" w:lineRule="exact"/>
        <w:rPr>
          <w:sz w:val="20"/>
          <w:szCs w:val="20"/>
          <w:color w:val="auto"/>
        </w:rPr>
      </w:pPr>
    </w:p>
    <w:p>
      <w:pPr>
        <w:spacing w:after="0" w:line="32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Chambers is cooperating with each of the investigations referred to in the two preceding paragraphs.</w:t>
      </w:r>
    </w:p>
    <w:p>
      <w:pPr>
        <w:spacing w:after="0" w:line="200" w:lineRule="exact"/>
        <w:rPr>
          <w:sz w:val="20"/>
          <w:szCs w:val="20"/>
          <w:color w:val="auto"/>
        </w:rPr>
      </w:pPr>
    </w:p>
    <w:p>
      <w:pPr>
        <w:spacing w:after="0" w:line="32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declaratory judgement action entitled Morel, et al. v. Chambers Waste Systems of Florida, Inc., was filed on September 29, 1994 in the Circuit Court of the Fifteenth Judicial Circuit of Florida in and for Palm Beach County, Florida. The plaintiffs are asking the court to declare that they are entitled to royalty payments from Chambers as calculated by a percentage of gross revenues derived from Chambers' landfill located at Berman Road in Okeechobee County, Florida, as well as from any landfill that may be sited in the future by Chambers on nearby property. Chambers has responded by seeking, among other things, a declaration that any writing or document that the plaintiffs contend such royalty entitlement is based upon is void, voidable or otherwise of no effect or, alternatively, that any royalty payments be solely based upon nearby property to Chambers' landfill, when a landfill is developed, if ever, on such property. The outcome of this action is not presently determinable.</w:t>
      </w:r>
    </w:p>
    <w:p>
      <w:pPr>
        <w:spacing w:after="0" w:line="200" w:lineRule="exact"/>
        <w:rPr>
          <w:sz w:val="20"/>
          <w:szCs w:val="20"/>
          <w:color w:val="auto"/>
        </w:rPr>
      </w:pPr>
    </w:p>
    <w:p>
      <w:pPr>
        <w:spacing w:after="0" w:line="32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Since the announcement of the Merger, three cases have been filed in the Court of Chancery of the State of Delaware in New Castle County against Chambers, its officers and directors and USA Waste and Envirofil, Inc. These cases include Smith v. Rangos et al., C.A. No. 13906, Krim v. Rangos et al., C.A. No. 13985, and Adams v. Rangos et al., C.A. No. 13909. Each of these actions relates to the Merger and all of them seek substantially similar relief. Accordingly, a consolidation order was entered by the Court of Chancery on March 1, 1995. The cases have been consolidated for all purposes under Smith v. Rangos, et al. at C.A. No. 13906 and the caption of the consolidated case is In Re Chambers Development Company, Inc. Shareholders Litigation, Consolidated C.A. No. 13906. The complaint which will govern the consolidated action is the compliant filed in the Krim action. The Krim complaint is brought as a purported class action on behalf of the plaintiff and all similarly situated Chambers security holders, excluding defendants and any person, firm, corporation or similar entity related to or affiliated with any of the defendants. The complaint alleges that the individual defendants, inter alia, engaged in unfair dealing to the detriment of the putative class; the Merger is grossly unfair to the members of the putative class; the members of the putative class would be irreparably damaged if the Merger were to be consummated; and the defendants' conduct constituted a breach of fiduciary and other common law duties allegedly owed to the putative class. The complaint alleges that the Merger consideration is inadequate for various reasons and that the individual defendants failed to maximize shareholder value. 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w:t>
      </w:r>
    </w:p>
    <w:p>
      <w:pPr>
        <w:sectPr>
          <w:pgSz w:w="11900" w:h="16838" w:orient="portrait"/>
          <w:cols w:equalWidth="0" w:num="1">
            <w:col w:w="10219"/>
          </w:cols>
          <w:pgMar w:left="240" w:top="291" w:right="1440" w:bottom="0" w:gutter="0" w:footer="0" w:header="0"/>
        </w:sectPr>
      </w:pP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F-58</w:t>
      </w:r>
    </w:p>
    <w:p>
      <w:pPr>
        <w:sectPr>
          <w:pgSz w:w="11900" w:h="16838" w:orient="portrait"/>
          <w:cols w:equalWidth="0" w:num="1">
            <w:col w:w="10219"/>
          </w:cols>
          <w:pgMar w:left="240" w:top="291" w:right="1440" w:bottom="0" w:gutter="0" w:footer="0" w:header="0"/>
          <w:type w:val="continuous"/>
        </w:sectPr>
      </w:pPr>
    </w:p>
    <w:bookmarkStart w:id="217" w:name="page218"/>
    <w:bookmarkEnd w:id="217"/>
    <w:p>
      <w:pPr>
        <w:ind w:left="260"/>
        <w:spacing w:after="0"/>
        <w:rPr>
          <w:sz w:val="20"/>
          <w:szCs w:val="20"/>
          <w:color w:val="auto"/>
        </w:rPr>
      </w:pPr>
      <w:r>
        <w:rPr>
          <w:rFonts w:ascii="Courier New" w:cs="Courier New" w:eastAsia="Courier New" w:hAnsi="Courier New"/>
          <w:sz w:val="15"/>
          <w:szCs w:val="15"/>
          <w:color w:val="auto"/>
        </w:rPr>
        <w:t>211</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INTERIM CONDENSED CONSOLIDATED FINANCIAL STATEMENTS -- (CONTINUED)</w:t>
      </w:r>
    </w:p>
    <w:p>
      <w:pPr>
        <w:spacing w:after="0" w:line="35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combination with a third party absent procedures or processes such as an auction; an order invalidating certain proxy arrangements; and an order awarding plaintiff and the class members damages, costs and disbursements, including reasonable attorneys' and experts' fees. 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200" w:lineRule="exact"/>
        <w:rPr>
          <w:sz w:val="20"/>
          <w:szCs w:val="20"/>
          <w:color w:val="auto"/>
        </w:rPr>
      </w:pPr>
    </w:p>
    <w:p>
      <w:pPr>
        <w:spacing w:after="0" w:line="32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Other lawsuits, claims and proceedings have been or may be instituted or asserted against Chambers from time to time. Although the outcome of these matters cannot be predicted with certainty, management of Chambers believes that disposition of these lawsuits, claims and proceedings which are pending or asserted will not have a material adverse effect on Chambers' financial condition or liquidity. Given Chambers' level of operating results, future resolution of these matters may have a material effect on results of operations for interim and annual periods.</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F-59</w:t>
      </w:r>
    </w:p>
    <w:p>
      <w:pPr>
        <w:sectPr>
          <w:pgSz w:w="11900" w:h="16838" w:orient="portrait"/>
          <w:cols w:equalWidth="0" w:num="1">
            <w:col w:w="10219"/>
          </w:cols>
          <w:pgMar w:left="240" w:top="291" w:right="1440" w:bottom="1440" w:gutter="0" w:footer="0" w:header="0"/>
        </w:sectPr>
      </w:pPr>
    </w:p>
    <w:bookmarkStart w:id="218" w:name="page219"/>
    <w:bookmarkEnd w:id="218"/>
    <w:p>
      <w:pPr>
        <w:spacing w:after="0"/>
        <w:rPr>
          <w:sz w:val="20"/>
          <w:szCs w:val="20"/>
          <w:color w:val="auto"/>
        </w:rPr>
      </w:pPr>
      <w:r>
        <w:rPr>
          <w:rFonts w:ascii="Courier New" w:cs="Courier New" w:eastAsia="Courier New" w:hAnsi="Courier New"/>
          <w:sz w:val="15"/>
          <w:szCs w:val="15"/>
          <w:color w:val="auto"/>
        </w:rPr>
        <w:t>212</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AMENDED AND RESTATED</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AGREEMENT AND PLAN OF MERGER</w:t>
      </w:r>
    </w:p>
    <w:p>
      <w:pPr>
        <w:spacing w:after="0" w:line="17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DATED AS OF</w:t>
      </w:r>
    </w:p>
    <w:p>
      <w:pPr>
        <w:spacing w:after="0" w:line="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NOVEMBER 28, 1994</w:t>
      </w:r>
    </w:p>
    <w:p>
      <w:pPr>
        <w:spacing w:after="0" w:line="17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AND AMONG</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CHAMBERS ACQUISITION CORPORATION</w:t>
      </w:r>
    </w:p>
    <w:p>
      <w:pPr>
        <w:spacing w:after="0" w:line="17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5"/>
          <w:szCs w:val="15"/>
          <w:color w:val="auto"/>
        </w:rPr>
        <w:t>CHAMBERS DEVELOPMENT COMPANY, INC.</w:t>
      </w:r>
    </w:p>
    <w:p>
      <w:pPr>
        <w:sectPr>
          <w:pgSz w:w="11900" w:h="16838" w:orient="portrait"/>
          <w:cols w:equalWidth="0" w:num="1">
            <w:col w:w="9959"/>
          </w:cols>
          <w:pgMar w:left="500" w:top="291"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213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40" w:type="dxa"/>
            <w:vAlign w:val="bottom"/>
          </w:tcPr>
          <w:p>
            <w:pPr>
              <w:jc w:val="center"/>
              <w:ind w:right="1825"/>
              <w:spacing w:after="0"/>
              <w:rPr>
                <w:sz w:val="20"/>
                <w:szCs w:val="20"/>
                <w:color w:val="auto"/>
              </w:rPr>
            </w:pPr>
            <w:r>
              <w:rPr>
                <w:rFonts w:ascii="Courier New" w:cs="Courier New" w:eastAsia="Courier New" w:hAnsi="Courier New"/>
                <w:sz w:val="15"/>
                <w:szCs w:val="15"/>
                <w:color w:val="auto"/>
              </w:rPr>
              <w:t>TABLE OF CONTENTS</w:t>
            </w:r>
          </w:p>
        </w:tc>
        <w:tc>
          <w:tcPr>
            <w:tcW w:w="580" w:type="dxa"/>
            <w:vAlign w:val="bottom"/>
          </w:tcPr>
          <w:p>
            <w:pPr>
              <w:spacing w:after="0"/>
              <w:rPr>
                <w:sz w:val="14"/>
                <w:szCs w:val="14"/>
                <w:color w:val="auto"/>
              </w:rPr>
            </w:pPr>
          </w:p>
        </w:tc>
      </w:tr>
      <w:tr>
        <w:trPr>
          <w:trHeight w:val="694"/>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tcPr>
          <w:p>
            <w:pPr>
              <w:jc w:val="center"/>
              <w:ind w:right="1825"/>
              <w:spacing w:after="0"/>
              <w:rPr>
                <w:sz w:val="20"/>
                <w:szCs w:val="20"/>
                <w:color w:val="auto"/>
              </w:rPr>
            </w:pPr>
            <w:r>
              <w:rPr>
                <w:rFonts w:ascii="Courier New" w:cs="Courier New" w:eastAsia="Courier New" w:hAnsi="Courier New"/>
                <w:sz w:val="15"/>
                <w:szCs w:val="15"/>
                <w:color w:val="auto"/>
              </w:rPr>
              <w:t>ARTICLE I</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THE MERGER</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The Merger........................................................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AA-1</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Effective Time of the Merger......................................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AA-1</w:t>
            </w:r>
          </w:p>
        </w:tc>
      </w:tr>
      <w:tr>
        <w:trPr>
          <w:trHeight w:val="347"/>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ARTICLE II</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tcPr>
          <w:p>
            <w:pPr>
              <w:jc w:val="center"/>
              <w:ind w:right="1825"/>
              <w:spacing w:after="0"/>
              <w:rPr>
                <w:sz w:val="20"/>
                <w:szCs w:val="20"/>
                <w:color w:val="auto"/>
              </w:rPr>
            </w:pPr>
            <w:r>
              <w:rPr>
                <w:rFonts w:ascii="Courier New" w:cs="Courier New" w:eastAsia="Courier New" w:hAnsi="Courier New"/>
                <w:sz w:val="15"/>
                <w:szCs w:val="15"/>
                <w:color w:val="auto"/>
              </w:rPr>
              <w:t>THE SURVIVING AND PARENT CORPORATIONS</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2.1.</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Incorporation......................................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AA-1</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2.2.</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By-Laws...........................................................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AA-2</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Directors.........................................................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AA-2</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2.4.</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Officers..........................................................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AA-2</w:t>
            </w:r>
          </w:p>
        </w:tc>
      </w:tr>
      <w:tr>
        <w:trPr>
          <w:trHeight w:val="347"/>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tcPr>
          <w:p>
            <w:pPr>
              <w:jc w:val="center"/>
              <w:ind w:right="1825"/>
              <w:spacing w:after="0"/>
              <w:rPr>
                <w:sz w:val="20"/>
                <w:szCs w:val="20"/>
                <w:color w:val="auto"/>
              </w:rPr>
            </w:pPr>
            <w:r>
              <w:rPr>
                <w:rFonts w:ascii="Courier New" w:cs="Courier New" w:eastAsia="Courier New" w:hAnsi="Courier New"/>
                <w:sz w:val="15"/>
                <w:szCs w:val="15"/>
                <w:color w:val="auto"/>
                <w:w w:val="98"/>
              </w:rPr>
              <w:t>ARTICLE III</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tcPr>
          <w:p>
            <w:pPr>
              <w:jc w:val="center"/>
              <w:ind w:right="1905"/>
              <w:spacing w:after="0"/>
              <w:rPr>
                <w:sz w:val="20"/>
                <w:szCs w:val="20"/>
                <w:color w:val="auto"/>
              </w:rPr>
            </w:pPr>
            <w:r>
              <w:rPr>
                <w:rFonts w:ascii="Courier New" w:cs="Courier New" w:eastAsia="Courier New" w:hAnsi="Courier New"/>
                <w:sz w:val="15"/>
                <w:szCs w:val="15"/>
                <w:color w:val="auto"/>
              </w:rPr>
              <w:t>CONVERSION OF SHARES</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Conversion of Company Shares in the Merger........................</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AA-2</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Conversion of Subsidiary Shares...................................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AA-2</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Exchange of Certificates..........................................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AA-2</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No Fractional Securities..........................................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AA-4</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3.5.</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Closing...........................................................</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AA-4</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Closing of the Company's Transfer Books...........................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AA-4</w:t>
            </w:r>
          </w:p>
        </w:tc>
      </w:tr>
      <w:tr>
        <w:trPr>
          <w:trHeight w:val="347"/>
        </w:trPr>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4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ARTICLE IV</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6900" w:type="dxa"/>
            <w:vAlign w:val="bottom"/>
            <w:gridSpan w:val="2"/>
          </w:tcPr>
          <w:p>
            <w:pPr>
              <w:jc w:val="center"/>
              <w:ind w:right="1145"/>
              <w:spacing w:after="0"/>
              <w:rPr>
                <w:sz w:val="20"/>
                <w:szCs w:val="20"/>
                <w:color w:val="auto"/>
              </w:rPr>
            </w:pPr>
            <w:r>
              <w:rPr>
                <w:rFonts w:ascii="Courier New" w:cs="Courier New" w:eastAsia="Courier New" w:hAnsi="Courier New"/>
                <w:sz w:val="15"/>
                <w:szCs w:val="15"/>
                <w:color w:val="auto"/>
              </w:rPr>
              <w:t>REPRESENTATIONS AND WARRANTIES OF PARENT AND SUBSIDIARY</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Organization and Qualification....................................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AA-4</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Capitalization....................................................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AA-4</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Subsidiaries......................................................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Authority; Non-Contravention; Approvals...........................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Reports and Financial Statements..................................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AA-6</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Absence of Undisclosed Liabilities................................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AA-7</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Absence of Certain Changes or Events..............................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AA-7</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Litigation........................................................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AA-7</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Registration Statement and Proxy Statement........................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AA-7</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4.10.</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No Violation of Law...............................................</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AA-8</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4.11.</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Compliance with Agreements........................................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AA-8</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4.12.</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Taxes.............................................................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AA-8</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4.13.</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Employee Benefit Plans; ERISA.....................................</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AA-9</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4.14.</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Labor Controversies...............................................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AA-10</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4.15.</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Environmental Matters.............................................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AA-10</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4.16.</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Non-competition Agreements........................................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AA-11</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4.17.</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Title to Assets...................................................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AA-12</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4.18.</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Parent Stockholders' Approval.....................................</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AA-12</w:t>
            </w: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AA-i</w:t>
      </w:r>
    </w:p>
    <w:p>
      <w:pPr>
        <w:sectPr>
          <w:pgSz w:w="11900" w:h="16838" w:orient="portrait"/>
          <w:cols w:equalWidth="0" w:num="1">
            <w:col w:w="10219"/>
          </w:cols>
          <w:pgMar w:left="240" w:top="291" w:right="1440"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70"/>
        </w:trPr>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214</w:t>
            </w:r>
          </w:p>
        </w:tc>
        <w:tc>
          <w:tcPr>
            <w:tcW w:w="6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94"/>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520"/>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jc w:val="center"/>
              <w:ind w:right="1965"/>
              <w:spacing w:after="0"/>
              <w:rPr>
                <w:sz w:val="20"/>
                <w:szCs w:val="20"/>
                <w:color w:val="auto"/>
              </w:rPr>
            </w:pPr>
            <w:r>
              <w:rPr>
                <w:rFonts w:ascii="Courier New" w:cs="Courier New" w:eastAsia="Courier New" w:hAnsi="Courier New"/>
                <w:sz w:val="15"/>
                <w:szCs w:val="15"/>
                <w:color w:val="auto"/>
                <w:w w:val="98"/>
              </w:rPr>
              <w:t>ARTICLE V</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jc w:val="center"/>
              <w:ind w:right="1945"/>
              <w:spacing w:after="0"/>
              <w:rPr>
                <w:sz w:val="20"/>
                <w:szCs w:val="20"/>
                <w:color w:val="auto"/>
              </w:rPr>
            </w:pPr>
            <w:r>
              <w:rPr>
                <w:rFonts w:ascii="Courier New" w:cs="Courier New" w:eastAsia="Courier New" w:hAnsi="Courier New"/>
                <w:sz w:val="15"/>
                <w:szCs w:val="15"/>
                <w:color w:val="auto"/>
              </w:rPr>
              <w:t>REPRESENTATIONS AND WARRANTIES OF THE COMPANY</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Organization and Qualification....................................</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AA-12</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Capitalization....................................................</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AA-12</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5.3.</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Subsidiaries......................................................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AA-13</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5.4.</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Authority; Non-Contravention; Approvals...........................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AA-13</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5.5.</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Reports and Financial Statements..................................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AA-14</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Absence of Undisclosed Liabilities................................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Absence of Certain Changes or Events..............................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5.8.</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Litigation........................................................</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Registration Statement and Proxy Statement........................</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5.10.</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No Violation of Law...............................................</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5.11.</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Compliance with Agreements........................................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AA-16</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5.12.</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AA-16</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5.13.</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Employee Benefit Plans; ERISA.....................................</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AA-16</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5.14.</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Labor Controversies...............................................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AA-17</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5.15.</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Environmental Matters.............................................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AA-18</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5.16.</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Non-competition Agreements........................................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AA-18</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5.17.</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Title to Assets...................................................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AA-19</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5.18.</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Company Stockholders' Approval....................................</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AA-19</w:t>
            </w:r>
          </w:p>
        </w:tc>
      </w:tr>
      <w:tr>
        <w:trPr>
          <w:trHeight w:val="347"/>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ind w:left="1720"/>
              <w:spacing w:after="0"/>
              <w:rPr>
                <w:sz w:val="20"/>
                <w:szCs w:val="20"/>
                <w:color w:val="auto"/>
              </w:rPr>
            </w:pPr>
            <w:r>
              <w:rPr>
                <w:rFonts w:ascii="Courier New" w:cs="Courier New" w:eastAsia="Courier New" w:hAnsi="Courier New"/>
                <w:sz w:val="15"/>
                <w:szCs w:val="15"/>
                <w:color w:val="auto"/>
              </w:rPr>
              <w:t>ARTICLE VI</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ind w:left="460"/>
              <w:spacing w:after="0"/>
              <w:rPr>
                <w:sz w:val="20"/>
                <w:szCs w:val="20"/>
                <w:color w:val="auto"/>
              </w:rPr>
            </w:pPr>
            <w:r>
              <w:rPr>
                <w:rFonts w:ascii="Courier New" w:cs="Courier New" w:eastAsia="Courier New" w:hAnsi="Courier New"/>
                <w:sz w:val="15"/>
                <w:szCs w:val="15"/>
                <w:color w:val="auto"/>
              </w:rPr>
              <w:t>CONDUCT OF BUSINESS PENDING THE MERGER</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Conduct of Business by the Company Pending the Merger.............</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AA-19</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6.2.</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Conduct of Business by Parent and Subsidiary Pending the Merger...</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AA-20</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6.3.</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Control of the Company's Operations...............................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AA-21</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6.4.</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Control of Parent's Operations....................................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AA-21</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6.5.</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Acquisition Transactions..........................................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AA-21</w:t>
            </w:r>
          </w:p>
        </w:tc>
      </w:tr>
      <w:tr>
        <w:trPr>
          <w:trHeight w:val="347"/>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jc w:val="center"/>
              <w:ind w:right="1965"/>
              <w:spacing w:after="0"/>
              <w:rPr>
                <w:sz w:val="20"/>
                <w:szCs w:val="20"/>
                <w:color w:val="auto"/>
              </w:rPr>
            </w:pPr>
            <w:r>
              <w:rPr>
                <w:rFonts w:ascii="Courier New" w:cs="Courier New" w:eastAsia="Courier New" w:hAnsi="Courier New"/>
                <w:sz w:val="15"/>
                <w:szCs w:val="15"/>
                <w:color w:val="auto"/>
              </w:rPr>
              <w:t>ARTICLE VII</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jc w:val="center"/>
              <w:ind w:right="1945"/>
              <w:spacing w:after="0"/>
              <w:rPr>
                <w:sz w:val="20"/>
                <w:szCs w:val="20"/>
                <w:color w:val="auto"/>
              </w:rPr>
            </w:pPr>
            <w:r>
              <w:rPr>
                <w:rFonts w:ascii="Courier New" w:cs="Courier New" w:eastAsia="Courier New" w:hAnsi="Courier New"/>
                <w:sz w:val="15"/>
                <w:szCs w:val="15"/>
                <w:color w:val="auto"/>
              </w:rPr>
              <w:t>ADDITIONAL AGREEMENTS</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7.1.</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Access to Information.............................................</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AA-22</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7.2.</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Registration Statement and Proxy Statement........................</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AA-23</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7.3.</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Stockholders' Approvals...........................................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AA-23</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7.4.</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Compliance with the Securities Act................................</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AA-24</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7.5.</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Exchange Listing..................................................</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AA-24</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7.6.</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Expenses and Fees.................................................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AA-24</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7.7.</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Agreement to Cooperate............................................</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7.8.</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Public Statements.................................................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7.9.</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Option Plans......................................................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7.10.</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Employee Benefits.................................................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AA-26</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7.11.</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Notification of Certain Matters...................................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AA-26</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7.12.</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Directors' and Officers' Indemnification..........................</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AA-26</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7.13.</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Corrections to the Joint Proxy Statement/Prospectus and</w:t>
            </w:r>
          </w:p>
        </w:tc>
        <w:tc>
          <w:tcPr>
            <w:tcW w:w="5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Registration Statement............................................</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AA-27</w:t>
            </w: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AA-ii</w:t>
      </w:r>
    </w:p>
    <w:p>
      <w:pPr>
        <w:sectPr>
          <w:pgSz w:w="11900" w:h="16838" w:orient="portrait"/>
          <w:cols w:equalWidth="0" w:num="1">
            <w:col w:w="10219"/>
          </w:cols>
          <w:pgMar w:left="240" w:top="291" w:right="1440"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170"/>
        </w:trPr>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215</w:t>
            </w:r>
          </w:p>
        </w:tc>
        <w:tc>
          <w:tcPr>
            <w:tcW w:w="6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94"/>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520"/>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jc w:val="center"/>
              <w:ind w:right="1885"/>
              <w:spacing w:after="0"/>
              <w:rPr>
                <w:sz w:val="20"/>
                <w:szCs w:val="20"/>
                <w:color w:val="auto"/>
              </w:rPr>
            </w:pPr>
            <w:r>
              <w:rPr>
                <w:rFonts w:ascii="Courier New" w:cs="Courier New" w:eastAsia="Courier New" w:hAnsi="Courier New"/>
                <w:sz w:val="15"/>
                <w:szCs w:val="15"/>
                <w:color w:val="auto"/>
                <w:w w:val="99"/>
              </w:rPr>
              <w:t>ARTICLE VIII</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jc w:val="center"/>
              <w:ind w:right="1865"/>
              <w:spacing w:after="0"/>
              <w:rPr>
                <w:sz w:val="20"/>
                <w:szCs w:val="20"/>
                <w:color w:val="auto"/>
              </w:rPr>
            </w:pPr>
            <w:r>
              <w:rPr>
                <w:rFonts w:ascii="Courier New" w:cs="Courier New" w:eastAsia="Courier New" w:hAnsi="Courier New"/>
                <w:sz w:val="15"/>
                <w:szCs w:val="15"/>
                <w:color w:val="auto"/>
                <w:w w:val="99"/>
              </w:rPr>
              <w:t>CONDITIONS</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Conditions to Each Party's Obligation to Effect the Merger........</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AA-27</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Conditions to Obligation of the Company to Effect the Merger......</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AA-27</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Conditions to Obligations of Parent and Subsidiary to Effect the</w:t>
            </w:r>
          </w:p>
        </w:tc>
        <w:tc>
          <w:tcPr>
            <w:tcW w:w="58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Merger............................................................</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AA-28</w:t>
            </w:r>
          </w:p>
        </w:tc>
      </w:tr>
      <w:tr>
        <w:trPr>
          <w:trHeight w:val="347"/>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jc w:val="center"/>
              <w:ind w:right="1865"/>
              <w:spacing w:after="0"/>
              <w:rPr>
                <w:sz w:val="20"/>
                <w:szCs w:val="20"/>
                <w:color w:val="auto"/>
              </w:rPr>
            </w:pPr>
            <w:r>
              <w:rPr>
                <w:rFonts w:ascii="Courier New" w:cs="Courier New" w:eastAsia="Courier New" w:hAnsi="Courier New"/>
                <w:sz w:val="15"/>
                <w:szCs w:val="15"/>
                <w:color w:val="auto"/>
                <w:w w:val="99"/>
              </w:rPr>
              <w:t>ARTICLE IX</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ind w:left="640"/>
              <w:spacing w:after="0"/>
              <w:rPr>
                <w:sz w:val="20"/>
                <w:szCs w:val="20"/>
                <w:color w:val="auto"/>
              </w:rPr>
            </w:pPr>
            <w:r>
              <w:rPr>
                <w:rFonts w:ascii="Courier New" w:cs="Courier New" w:eastAsia="Courier New" w:hAnsi="Courier New"/>
                <w:sz w:val="15"/>
                <w:szCs w:val="15"/>
                <w:color w:val="auto"/>
              </w:rPr>
              <w:t>TERMINATION, AMENDMENT AND WAIVER</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Termination.......................................................</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AA-29</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Effect of Termination.............................................</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AA-31</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Amendment.........................................................</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AA-32</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Waiver............................................................</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AA-32</w:t>
            </w:r>
          </w:p>
        </w:tc>
      </w:tr>
      <w:tr>
        <w:trPr>
          <w:trHeight w:val="347"/>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ind w:left="1720"/>
              <w:spacing w:after="0"/>
              <w:rPr>
                <w:sz w:val="20"/>
                <w:szCs w:val="20"/>
                <w:color w:val="auto"/>
              </w:rPr>
            </w:pPr>
            <w:r>
              <w:rPr>
                <w:rFonts w:ascii="Courier New" w:cs="Courier New" w:eastAsia="Courier New" w:hAnsi="Courier New"/>
                <w:sz w:val="15"/>
                <w:szCs w:val="15"/>
                <w:color w:val="auto"/>
              </w:rPr>
              <w:t>ARTICLE X</w:t>
            </w:r>
          </w:p>
        </w:tc>
        <w:tc>
          <w:tcPr>
            <w:tcW w:w="580" w:type="dxa"/>
            <w:vAlign w:val="bottom"/>
          </w:tcPr>
          <w:p>
            <w:pPr>
              <w:spacing w:after="0"/>
              <w:rPr>
                <w:sz w:val="24"/>
                <w:szCs w:val="24"/>
                <w:color w:val="auto"/>
              </w:rPr>
            </w:pPr>
          </w:p>
        </w:tc>
      </w:tr>
      <w:tr>
        <w:trPr>
          <w:trHeight w:val="347"/>
        </w:trPr>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80" w:type="dxa"/>
            <w:vAlign w:val="bottom"/>
          </w:tcPr>
          <w:p>
            <w:pPr>
              <w:jc w:val="center"/>
              <w:ind w:right="1865"/>
              <w:spacing w:after="0"/>
              <w:rPr>
                <w:sz w:val="20"/>
                <w:szCs w:val="20"/>
                <w:color w:val="auto"/>
              </w:rPr>
            </w:pPr>
            <w:r>
              <w:rPr>
                <w:rFonts w:ascii="Courier New" w:cs="Courier New" w:eastAsia="Courier New" w:hAnsi="Courier New"/>
                <w:sz w:val="15"/>
                <w:szCs w:val="15"/>
                <w:color w:val="auto"/>
                <w:w w:val="99"/>
              </w:rPr>
              <w:t>GENERAL PROVISIONS</w:t>
            </w:r>
          </w:p>
        </w:tc>
        <w:tc>
          <w:tcPr>
            <w:tcW w:w="580" w:type="dxa"/>
            <w:vAlign w:val="bottom"/>
          </w:tcPr>
          <w:p>
            <w:pPr>
              <w:spacing w:after="0"/>
              <w:rPr>
                <w:sz w:val="24"/>
                <w:szCs w:val="24"/>
                <w:color w:val="auto"/>
              </w:rPr>
            </w:pPr>
          </w:p>
        </w:tc>
      </w:tr>
      <w:tr>
        <w:trPr>
          <w:trHeight w:val="347"/>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10.1.</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Non-Survival of Representations and Warranties....................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AA-32</w:t>
            </w:r>
          </w:p>
        </w:tc>
      </w:tr>
      <w:tr>
        <w:trPr>
          <w:trHeight w:val="173"/>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10.2.</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Brokers...........................................................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AA-32</w:t>
            </w:r>
          </w:p>
        </w:tc>
      </w:tr>
      <w:tr>
        <w:trPr>
          <w:trHeight w:val="173"/>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10.3.</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Notices...........................................................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AA-32</w:t>
            </w:r>
          </w:p>
        </w:tc>
      </w:tr>
      <w:tr>
        <w:trPr>
          <w:trHeight w:val="173"/>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10.4.</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Interpretation....................................................</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AA-33</w:t>
            </w:r>
          </w:p>
        </w:tc>
      </w:tr>
      <w:tr>
        <w:trPr>
          <w:trHeight w:val="173"/>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10.5.</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Miscellaneous.....................................................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AA-33</w:t>
            </w:r>
          </w:p>
        </w:tc>
      </w:tr>
      <w:tr>
        <w:trPr>
          <w:trHeight w:val="173"/>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10.6.</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Counterparts......................................................</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AA-33</w:t>
            </w:r>
          </w:p>
        </w:tc>
      </w:tr>
      <w:tr>
        <w:trPr>
          <w:trHeight w:val="173"/>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10.7.</w:t>
            </w:r>
          </w:p>
        </w:tc>
        <w:tc>
          <w:tcPr>
            <w:tcW w:w="6280" w:type="dxa"/>
            <w:vAlign w:val="bottom"/>
          </w:tcPr>
          <w:p>
            <w:pPr>
              <w:ind w:left="180"/>
              <w:spacing w:after="0"/>
              <w:rPr>
                <w:sz w:val="20"/>
                <w:szCs w:val="20"/>
                <w:color w:val="auto"/>
              </w:rPr>
            </w:pPr>
            <w:r>
              <w:rPr>
                <w:rFonts w:ascii="Courier New" w:cs="Courier New" w:eastAsia="Courier New" w:hAnsi="Courier New"/>
                <w:sz w:val="15"/>
                <w:szCs w:val="15"/>
                <w:color w:val="auto"/>
              </w:rPr>
              <w:t>Parties In Interest...............................................</w:t>
            </w:r>
          </w:p>
        </w:tc>
        <w:tc>
          <w:tcPr>
            <w:tcW w:w="580" w:type="dxa"/>
            <w:vAlign w:val="bottom"/>
          </w:tcPr>
          <w:p>
            <w:pPr>
              <w:ind w:left="120"/>
              <w:spacing w:after="0"/>
              <w:rPr>
                <w:sz w:val="20"/>
                <w:szCs w:val="20"/>
                <w:color w:val="auto"/>
              </w:rPr>
            </w:pPr>
            <w:r>
              <w:rPr>
                <w:rFonts w:ascii="Courier New" w:cs="Courier New" w:eastAsia="Courier New" w:hAnsi="Courier New"/>
                <w:sz w:val="15"/>
                <w:szCs w:val="15"/>
                <w:color w:val="auto"/>
                <w:w w:val="97"/>
              </w:rPr>
              <w:t>AA-33</w:t>
            </w:r>
          </w:p>
        </w:tc>
      </w:tr>
    </w:tbl>
    <w:p>
      <w:pPr>
        <w:spacing w:after="0" w:line="3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AA-iii</w:t>
      </w:r>
    </w:p>
    <w:p>
      <w:pPr>
        <w:sectPr>
          <w:pgSz w:w="11900" w:h="16838" w:orient="portrait"/>
          <w:cols w:equalWidth="0" w:num="1">
            <w:col w:w="10219"/>
          </w:cols>
          <w:pgMar w:left="240" w:top="291"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216</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AMENDED AND RESTATED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AGREEMENT AND PLAN OF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AMENDED AND RESTATED AGREEMENT AND PLAN OF MERGER, dated as of November 28, 1994 (the "Agreement"), by and among USA Waste Services, Inc., an Oklahoma corporation ("Parent"), Chambers Acquisition Corporation, a Delaware corporation and a wholly-owned subsidiary of Parent ("Subsidiary"), and Chambers Development Company, Inc., a Delaware corporation (the "Company").</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WHEREAS, Parent, Envirofil, Inc., a Delaware corporation ("Envirofil"), and the Company entered into a merger agreement dated as of November 28, 1994 (the "Original Merger Agreement") in order to effectuate the merger of a wholly owned subsidiary of Parent with and into the Company (the "Merger"), as a result of which the Company will become a wholly owned subsidiary of Parent;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WHEREAS, Parent, Envirofil and the Company agreed to amend the Original Merger Agreement and executed an Amendment to Agreement and Plan of Merger as of December 19, 1994;</w:t>
      </w:r>
    </w:p>
    <w:p>
      <w:pPr>
        <w:spacing w:after="0" w:line="175"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WHEREAS, Envirofil subsequently assigned all of its rights under the Original Merger Agreement to Subsidiary;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WHEREAS, Parent, Subsidiary and the Company intend the Merger to qualify as a tax-free reorganization under the provisions of Section 368 of the Internal Revenue Code of 1986, as amended (the "Code"), and the regulations thereunder; and</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WHEREAS, the parties wish to amend and restate the Original Merger Agreement in its entirety and incorporate the previous amendment and assignment and to make certain additional amendments.</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NOW, THEREFORE, in consideration of the premises and the representations, warranties, covenants and agreements contained herein, the parties hereto, intending to be legally bound, agree as follows: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MERGER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1.1. THE MERGER. Upon the terms and subject to the conditions of this Agreement, at the Effective Time (as defined in Section 1.2) in accordance with the Delaware General Corporation Law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use all reasonable efforts to consummate, as soon as practicable, the transactions contemplated by this Agreement in accordance with Section 3.5.</w:t>
      </w:r>
    </w:p>
    <w:p>
      <w:pPr>
        <w:spacing w:after="0" w:line="18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THE SURVIVING AND PARENT CORPORATIONS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2.1. CERTIFICATE OF INCORPORATION. The Certificate of Incorporation of Subsidiary as in effect immediately prior to the Effective Time shall be the Certificate of Incorporation of the Surviving Corporation after the Effective Time, and thereafter may be amended in accordance with its terms and as provided in the DGCL.</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AA-1</w:t>
      </w:r>
    </w:p>
    <w:p>
      <w:pPr>
        <w:sectPr>
          <w:pgSz w:w="11900" w:h="16838" w:orient="portrait"/>
          <w:cols w:equalWidth="0" w:num="1">
            <w:col w:w="10219"/>
          </w:cols>
          <w:pgMar w:left="240" w:top="291"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217</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2.2. BY-LAWS. The By-laws of Subsidiary as in effect immediately prior to the Effective Time shall be the By-laws of the Surviving Corporation after the Effective Time, and thereafter may be amended in accordance with their terms and as provided by the Certificate of Incorporation of the Surviving Corporation and the DGCL.</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2.3. DIRECTORS.</w:t>
      </w:r>
    </w:p>
    <w:p>
      <w:pPr>
        <w:spacing w:after="0" w:line="178" w:lineRule="exact"/>
        <w:rPr>
          <w:sz w:val="20"/>
          <w:szCs w:val="20"/>
          <w:color w:val="auto"/>
        </w:rPr>
      </w:pPr>
    </w:p>
    <w:p>
      <w:pPr>
        <w:ind w:right="3019" w:firstLine="443"/>
        <w:spacing w:after="0" w:line="244" w:lineRule="auto"/>
        <w:tabs>
          <w:tab w:leader="none" w:pos="81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Parent shall take such corporate action as may be necessary to cause Parent's Board of Directors immediately following the Effective Time to be composed of five members designated by the Board of Directors of Parent and four members designated by the Board of Directors of the Company.</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Parent shall take such corporate action immediately prior to the Effective Time as may be necessary to appoint an Executive Committee of Parent's Board of Directors immediately following the Effective Time which shall be composed of three members selected by the Board of Directors of Parent and two members selected by the Board of Directors of the Company.</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2.4. OFFICERS. Except as otherwise agreed to by Parent and the Company, the officers of the Company in office immediately prior to the Effective Time shall be the officers of the Surviving Corporation, to serve in accordance with the By-laws of the Surviving Corporation until their respective successors are duly elected or appointed and qualified.</w:t>
      </w:r>
    </w:p>
    <w:p>
      <w:pPr>
        <w:spacing w:after="0" w:line="17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III</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CONVERSION OF SHARES</w:t>
      </w:r>
    </w:p>
    <w:p>
      <w:pPr>
        <w:spacing w:after="0" w:line="178" w:lineRule="exact"/>
        <w:rPr>
          <w:sz w:val="20"/>
          <w:szCs w:val="20"/>
          <w:color w:val="auto"/>
        </w:rPr>
      </w:pPr>
    </w:p>
    <w:p>
      <w:pPr>
        <w:jc w:val="both"/>
        <w:ind w:right="3199" w:firstLine="451"/>
        <w:spacing w:after="0" w:line="244" w:lineRule="auto"/>
        <w:rPr>
          <w:sz w:val="20"/>
          <w:szCs w:val="20"/>
          <w:color w:val="auto"/>
        </w:rPr>
      </w:pPr>
      <w:r>
        <w:rPr>
          <w:rFonts w:ascii="Courier New" w:cs="Courier New" w:eastAsia="Courier New" w:hAnsi="Courier New"/>
          <w:sz w:val="15"/>
          <w:szCs w:val="15"/>
          <w:color w:val="auto"/>
        </w:rPr>
        <w:t>SECTION 3.1. CONVERSION OF COMPANY SHARES IN THE MERGER. At the Effective Time, by virtue of the Merger and without any action on the part of any holder of any capital stock of the Company:</w:t>
      </w:r>
    </w:p>
    <w:p>
      <w:pPr>
        <w:spacing w:after="0" w:line="175" w:lineRule="exact"/>
        <w:rPr>
          <w:sz w:val="20"/>
          <w:szCs w:val="20"/>
          <w:color w:val="auto"/>
        </w:rPr>
      </w:pPr>
    </w:p>
    <w:p>
      <w:pPr>
        <w:ind w:left="440" w:right="3019" w:firstLine="454"/>
        <w:spacing w:after="0" w:line="244" w:lineRule="auto"/>
        <w:tabs>
          <w:tab w:leader="none" w:pos="125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Company's Common Stock, par value $.50 per share (the "Regular Common Stock"), and each share of the Company's Class A Common Stock, par value $.50 per share (the "Class A Common Stock" and, together with the Regular Common Stock, the "Company Common Stock"), shall, subject to Sections 3.3 and 3.4, be converted into the right to receive, without interest, .41667 (the "Exchange Ratio") of a share of the common stock, par value $.01 per share, of Parent ("Parent Common Stock");</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capital stock of the Company, if any, owned by Parent or any subsidiary of Parent or held in treasury by the Company or any subsidiary of the Company immediately prior to the Effective Time shall be cancelled and shall cease to exist from and after the Effective Time; and</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and as more fully provided in Section 7.9, each unexpired option to purchase Company Common Stock that is outstanding at the Effective Time, whether or not exercisable, shall automatically and without any action on the part of the holder thereof be converted into an option to purchase a number of shares of Parent Common Stock equal to the number of shares of Company Common Stock that could be purchased under such option multiplied by the Exchange Ratio, at a price per share of Parent Common Stock equal to the per share exercise price of such option divided by the Exchange Ratio.</w:t>
      </w:r>
    </w:p>
    <w:p>
      <w:pPr>
        <w:spacing w:after="0" w:line="179"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SECTION 3.2. CONVERSION OF SUBSIDIARY SHARES. At the Effective Time, by virtue of the Merger and without any action on the part of Parent as the sole stockholder of Subsidiary, each issued and outstanding share of common stock, par value $.001 per share, of Subsidiary ("Subsidiary Common Stock") shall be converted into one share of common stock, par value $.50 per share, of the Surviving Corporation.</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AA-2</w:t>
      </w:r>
    </w:p>
    <w:p>
      <w:pPr>
        <w:sectPr>
          <w:pgSz w:w="11900" w:h="16838" w:orient="portrait"/>
          <w:cols w:equalWidth="0" w:num="1">
            <w:col w:w="10219"/>
          </w:cols>
          <w:pgMar w:left="240" w:top="291"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218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183" w:lineRule="exact"/>
        <w:rPr>
          <w:sz w:val="20"/>
          <w:szCs w:val="20"/>
          <w:color w:val="auto"/>
        </w:rPr>
      </w:pPr>
    </w:p>
    <w:p>
      <w:pPr>
        <w:ind w:right="3019" w:firstLine="443"/>
        <w:spacing w:after="0" w:line="244" w:lineRule="auto"/>
        <w:tabs>
          <w:tab w:leader="none" w:pos="81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transfer or other taxes required by reason of the issuance of certificates for such shares of Parent Common Stock in a name other than that of the registered holder of the certificate surrendered, or shall establish to the satisfaction of Parent that such tax has been paid or is not applicable.</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Effective Time, the Exchange Agent shall mail to each holder of record of a certificate or certificates that immediately prior to the Effective Time represented outstanding shares of Company Common Stock (the "Company Certificates") (i) a form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forthwith be cancelled.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186" w:lineRule="exact"/>
        <w:rPr>
          <w:rFonts w:ascii="Courier New" w:cs="Courier New" w:eastAsia="Courier New" w:hAnsi="Courier New"/>
          <w:sz w:val="15"/>
          <w:szCs w:val="15"/>
          <w:color w:val="auto"/>
        </w:rPr>
      </w:pPr>
    </w:p>
    <w:p>
      <w:pPr>
        <w:ind w:right="3019" w:firstLine="443"/>
        <w:spacing w:after="0" w:line="264" w:lineRule="auto"/>
        <w:tabs>
          <w:tab w:leader="none" w:pos="81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the date which is nine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Company Common Stock for any Parent Common Stock delivered to a public official pursuant to applicable abandoned property, escheat and similar laws.</w:t>
      </w:r>
    </w:p>
    <w:p>
      <w:pPr>
        <w:spacing w:after="0" w:line="334"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payment in exchange therefor, the Board of Directors of the Surviving Corporation may, in its discretion and as a condition precedent to the issuance thereof, require the owner of such lost, stolen or</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AA-3</w:t>
      </w:r>
    </w:p>
    <w:p>
      <w:pPr>
        <w:sectPr>
          <w:pgSz w:w="11900" w:h="16838" w:orient="portrait"/>
          <w:cols w:equalWidth="0" w:num="1">
            <w:col w:w="10219"/>
          </w:cols>
          <w:pgMar w:left="240" w:top="291"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219</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closing price per share of Parent Common Stock on the New York Stock Exchange, as reported by the Wall Street Journal, on the last trading day preceding the Effective Time.</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3.5. CLOSING. The closing (the "Closing") of the transactions contemplated by this Agreement shall take place at a location mutually agreeable to Parent and the Company on the fifth business day immediately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3.3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Company Common Stock are presented to the Surviving Corporation, they shall be cancelled and exchanged for Parent Common Stock in accordance with this Article III.</w:t>
      </w:r>
    </w:p>
    <w:p>
      <w:pPr>
        <w:spacing w:after="0" w:line="18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IV</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REPRESENTATIONS AND WARRANTIES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 PARENT AND SUBSIDIARY</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Parent and Subsidiary each represent and warrant to the Company as follows: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results of operations or prospects of Parent and its subsidiaries, taken as a whole. True, accurate and complete copies of each of Parent's and Subsidiary's Certificates of Incorporation and By-laws, in each case as in effect on the date hereof, including all amendments thereto, have heretofore been (or, in the case of Subsidiary, will promptly be) delivered to the Company.</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4.2. CAPITALIZATION.</w:t>
      </w:r>
    </w:p>
    <w:p>
      <w:pPr>
        <w:spacing w:after="0" w:line="178" w:lineRule="exact"/>
        <w:rPr>
          <w:sz w:val="20"/>
          <w:szCs w:val="20"/>
          <w:color w:val="auto"/>
        </w:rPr>
      </w:pPr>
    </w:p>
    <w:p>
      <w:pPr>
        <w:ind w:right="3019" w:firstLine="443"/>
        <w:spacing w:after="0" w:line="244" w:lineRule="auto"/>
        <w:tabs>
          <w:tab w:leader="none" w:pos="81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Parent consists of (i) 50,000,000 shares of Parent Common Stock, of which 22,575,263 shares were outstanding as of November 10, 1994, and (ii) 10,000,000 shares of preferred stock, par value $.01 per share, none of which was issued and outstanding as of November 21, 1994. All of the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AA-4</w:t>
      </w:r>
    </w:p>
    <w:p>
      <w:pPr>
        <w:sectPr>
          <w:pgSz w:w="11900" w:h="16838" w:orient="portrait"/>
          <w:cols w:equalWidth="0" w:num="1">
            <w:col w:w="10219"/>
          </w:cols>
          <w:pgMar w:left="240" w:top="291"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220</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issued and outstanding shares of Parent Common Stock are validly issued and are fully paid, nonassessable and free of preemptive rights.</w:t>
      </w:r>
    </w:p>
    <w:p>
      <w:pPr>
        <w:spacing w:after="0" w:line="176" w:lineRule="exact"/>
        <w:rPr>
          <w:sz w:val="20"/>
          <w:szCs w:val="20"/>
          <w:color w:val="auto"/>
        </w:rPr>
      </w:pPr>
    </w:p>
    <w:p>
      <w:pPr>
        <w:ind w:right="3099" w:firstLine="443"/>
        <w:spacing w:after="0" w:line="244" w:lineRule="auto"/>
        <w:tabs>
          <w:tab w:leader="none" w:pos="81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Subsidiary consists of 1,000 shares of Subsidiary Common Stock, of which 100 shares are issued and outstanding, which shares are owned beneficially and of record by Parent.</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(as defined in Section 4.5) or as set forth on Schedule 4.2 attached hereto,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There are no voting trusts, proxies or other agreements or understandings to which Parent or any subsidiary of Parent is a party or is bound with respect to the voting of any shares of capital stock of Parent. The shares of Parent Common Stock issued to stockholders of the Company in the Merger will be at the Effective Time duly authorized, validly issued, fully paid and nonassessable and free of preemptive rights.</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 in good standing would not, when taken together with all such other failures, have a material adverse effect on the business, operations, properties, assets, condition (financial or other), results of operations or prospects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which such person or entity, directly or indirectly, controls or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 Parent does not own any shares of Company Common Stock.</w:t>
      </w:r>
    </w:p>
    <w:p>
      <w:pPr>
        <w:spacing w:after="0" w:line="19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4.4. AUTHORITY; NON-CONTRAVENTION; APPROVALS.</w:t>
      </w:r>
    </w:p>
    <w:p>
      <w:pPr>
        <w:spacing w:after="0" w:line="178" w:lineRule="exact"/>
        <w:rPr>
          <w:sz w:val="20"/>
          <w:szCs w:val="20"/>
          <w:color w:val="auto"/>
        </w:rPr>
      </w:pPr>
    </w:p>
    <w:p>
      <w:pPr>
        <w:ind w:right="3019" w:firstLine="443"/>
        <w:spacing w:after="0" w:line="244" w:lineRule="auto"/>
        <w:tabs>
          <w:tab w:leader="none" w:pos="81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AA-5</w:t>
      </w:r>
    </w:p>
    <w:p>
      <w:pPr>
        <w:sectPr>
          <w:pgSz w:w="11900" w:h="16838" w:orient="portrait"/>
          <w:cols w:equalWidth="0" w:num="1">
            <w:col w:w="10219"/>
          </w:cols>
          <w:pgMar w:left="240" w:top="291"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221</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foregoing, each of the covenants and obligations of Parent set forth in Sections 6.2, 6.5, 7.3, 7.6, 7.7, 7.8 and 7.11 is valid, legally binding and enforceable notwithstanding the absence of the Parent Stockholders' Approval.</w:t>
      </w:r>
    </w:p>
    <w:p>
      <w:pPr>
        <w:spacing w:after="0" w:line="175" w:lineRule="exact"/>
        <w:rPr>
          <w:sz w:val="20"/>
          <w:szCs w:val="20"/>
          <w:color w:val="auto"/>
        </w:rPr>
      </w:pPr>
    </w:p>
    <w:p>
      <w:pPr>
        <w:ind w:right="3019" w:firstLine="443"/>
        <w:spacing w:after="0" w:line="244" w:lineRule="auto"/>
        <w:tabs>
          <w:tab w:leader="none" w:pos="81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Parent and its subsidiaries, taken as a whole.</w:t>
      </w:r>
    </w:p>
    <w:p>
      <w:pPr>
        <w:spacing w:after="0" w:line="194"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Parent and the Company required by the Hart-Scott-Rodino Antitrust Improvements Act of 1976, as amended (the "HSR Act"), (ii) the filing of the Joint Proxy Statement/Prospectus (as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results of operations or prospects of Parent and its subsidiaries, taken as a whole.</w:t>
      </w:r>
    </w:p>
    <w:p>
      <w:pPr>
        <w:spacing w:after="0" w:line="18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4.5. REPORTS AND FINANCIAL STATEMENTS. Since December 31, 1990, Parent has filed with the SEC all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Parent has previously delivered to the Company copies of its (a) Annual Reports on Form 10-K for the fiscal year ended December 31, 1993 and for each of the two immediately preceding fiscal years, as filed with the SEC, (b) proxy and information statements relating to (i) all meetings of its stockholders (whether annual or</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AA-6</w:t>
      </w:r>
    </w:p>
    <w:p>
      <w:pPr>
        <w:sectPr>
          <w:pgSz w:w="11900" w:h="16838" w:orient="portrait"/>
          <w:cols w:equalWidth="0" w:num="1">
            <w:col w:w="10219"/>
          </w:cols>
          <w:pgMar w:left="240" w:top="291" w:right="1440" w:bottom="1440" w:gutter="0" w:footer="0" w:header="0"/>
        </w:sectPr>
      </w:pPr>
    </w:p>
    <w:bookmarkStart w:id="228" w:name="page229"/>
    <w:bookmarkEnd w:id="228"/>
    <w:p>
      <w:pPr>
        <w:ind w:left="268"/>
        <w:spacing w:after="0"/>
        <w:rPr>
          <w:sz w:val="20"/>
          <w:szCs w:val="20"/>
          <w:color w:val="auto"/>
        </w:rPr>
      </w:pPr>
      <w:r>
        <w:rPr>
          <w:rFonts w:ascii="Courier New" w:cs="Courier New" w:eastAsia="Courier New" w:hAnsi="Courier New"/>
          <w:sz w:val="15"/>
          <w:szCs w:val="15"/>
          <w:color w:val="auto"/>
        </w:rPr>
        <w:t>222</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special) and (ii) actions by written consent in lieu of a stockholders' meeting from December 31, 1990, until the date hereof, and (c) all other reports, including quarterly reports, or registration statements filed by Parent with the SEC since December 31, 1990 (other than Registration Statements filed on Form S-8) (collectively, the "Parent SEC Reports"). As of their respective dates, the Parent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185"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SECTION 4.6. ABSENCE OF UNDISCLOSED LIABILITIES. Except as disclosed in the Parent SEC Reports or with respect to acquisitions or potential transactions or commitments heretofore disclosed to the Company in writing, neither Parent nor any of its subsidiaries had at September 30, 1994, or has incurred since that date, any liabilities or obligations (whether absolute, accrued, contingent or otherwise) of any nature, except (a) liabilities, obligations or contingencies</w:t>
      </w:r>
    </w:p>
    <w:p>
      <w:pPr>
        <w:spacing w:after="0" w:line="1" w:lineRule="exact"/>
        <w:rPr>
          <w:sz w:val="20"/>
          <w:szCs w:val="20"/>
          <w:color w:val="auto"/>
        </w:rPr>
      </w:pPr>
    </w:p>
    <w:p>
      <w:pPr>
        <w:ind w:left="8" w:right="3099" w:hanging="8"/>
        <w:spacing w:after="0" w:line="244" w:lineRule="auto"/>
        <w:tabs>
          <w:tab w:leader="none" w:pos="36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are accrued or reserved against in the Parent Financial Statements or reflected in the notes thereto or (ii) which were incurred after September 30, 1994 and were incurred in the ordinary course of business and consistent with past practices, (b) liabilities, obligations or contingencies which (i) would not, in the aggregate, have a material adverse effect on the business, operations, properties, assets, condition (financial or other), results of operations or prospects of Parent and its subsidiaries, taken as a whole, or</w:t>
      </w:r>
    </w:p>
    <w:p>
      <w:pPr>
        <w:spacing w:after="0" w:line="4" w:lineRule="exact"/>
        <w:rPr>
          <w:rFonts w:ascii="Courier New" w:cs="Courier New" w:eastAsia="Courier New" w:hAnsi="Courier New"/>
          <w:sz w:val="15"/>
          <w:szCs w:val="15"/>
          <w:color w:val="auto"/>
        </w:rPr>
      </w:pPr>
    </w:p>
    <w:p>
      <w:pPr>
        <w:ind w:left="8" w:right="3019" w:hanging="8"/>
        <w:spacing w:after="0" w:line="244" w:lineRule="auto"/>
        <w:tabs>
          <w:tab w:leader="none" w:pos="45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discharged or paid in full prior to the date hereof, (c) liabilities and obligations which are of a nature not required to be reflected in the consolidated financial statements of Parent and its subsidiaries prepared in accordance with generally accepted accounting principles consistently applied and which were incurred in the normal course of business and (d) that the Company acknowledges that (i) Parent is in the process of increasing the size of its revolving credit facility with a group of banks for whom the First National Bank of Boston is acting as agent and (ii) Parent has disclosed to the Company that certain Home Value Guarantee Agreement between Parent and Homeowners Association of Prairie Crossing in Lake County, Illinois.</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4.7. ABSENCE OF CERTAIN CHANGES OR EVENTS. Since the date of the most recent Parent SEC Report, there has not been any material adverse change in the business, operations, properties, assets, liabilities, condition (financial or other), results of operations or prospects of Parent and its subsidiaries, taken as a whole.</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4.8. LITIGATION. Except as disclosed in the Parent SEC Reports or in Schedule 4.8 attached hereto,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results of operations or prospects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results of operations or prospects of Parent and its subsidiaries, taken as a whole.</w:t>
      </w:r>
    </w:p>
    <w:p>
      <w:pPr>
        <w:spacing w:after="0" w:line="18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AA-7</w:t>
      </w:r>
    </w:p>
    <w:p>
      <w:pPr>
        <w:sectPr>
          <w:pgSz w:w="11900" w:h="16838" w:orient="portrait"/>
          <w:cols w:equalWidth="0" w:num="1">
            <w:col w:w="10227"/>
          </w:cols>
          <w:pgMar w:left="232" w:top="291"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223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as of its effective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Majority Stockholders for inclusion therein.</w:t>
      </w:r>
    </w:p>
    <w:p>
      <w:pPr>
        <w:spacing w:after="0" w:line="18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results of operations or prospects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results of operations or prospects of the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results of operations or prospects of the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results of operations or prospects of the Parent and its subsidiaries, taken as a whole.</w:t>
      </w:r>
    </w:p>
    <w:p>
      <w:pPr>
        <w:spacing w:after="0" w:line="19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which breaches, violations and defaults, in the case of clause (b) of this Section 4.11, would have, in the aggregate, a material adverse effect on the business, operations, properties, assets, condition (financial or other), results of operations or prospects of Parent and its subsidiaries, taken as a whole.</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4.12. TAXES.</w:t>
      </w:r>
    </w:p>
    <w:p>
      <w:pPr>
        <w:spacing w:after="0" w:line="178" w:lineRule="exact"/>
        <w:rPr>
          <w:sz w:val="20"/>
          <w:szCs w:val="20"/>
          <w:color w:val="auto"/>
        </w:rPr>
      </w:pPr>
    </w:p>
    <w:p>
      <w:pPr>
        <w:ind w:right="3019" w:firstLine="443"/>
        <w:spacing w:after="0" w:line="244" w:lineRule="auto"/>
        <w:tabs>
          <w:tab w:leader="none" w:pos="81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AA-8</w:t>
      </w:r>
    </w:p>
    <w:p>
      <w:pPr>
        <w:sectPr>
          <w:pgSz w:w="11900" w:h="16838" w:orient="portrait"/>
          <w:cols w:equalWidth="0" w:num="1">
            <w:col w:w="10219"/>
          </w:cols>
          <w:pgMar w:left="240" w:top="291" w:right="1440" w:bottom="1440" w:gutter="0" w:footer="0" w:header="0"/>
        </w:sectPr>
      </w:pPr>
    </w:p>
    <w:bookmarkStart w:id="230" w:name="page231"/>
    <w:bookmarkEnd w:id="230"/>
    <w:p>
      <w:pPr>
        <w:ind w:left="268"/>
        <w:spacing w:after="0"/>
        <w:rPr>
          <w:sz w:val="20"/>
          <w:szCs w:val="20"/>
          <w:color w:val="auto"/>
        </w:rPr>
      </w:pPr>
      <w:r>
        <w:rPr>
          <w:rFonts w:ascii="Courier New" w:cs="Courier New" w:eastAsia="Courier New" w:hAnsi="Courier New"/>
          <w:sz w:val="15"/>
          <w:szCs w:val="15"/>
          <w:color w:val="auto"/>
        </w:rPr>
        <w:t>224</w:t>
      </w:r>
    </w:p>
    <w:p>
      <w:pPr>
        <w:spacing w:after="0" w:line="178" w:lineRule="exact"/>
        <w:rPr>
          <w:sz w:val="20"/>
          <w:szCs w:val="20"/>
          <w:color w:val="auto"/>
        </w:rPr>
      </w:pPr>
    </w:p>
    <w:p>
      <w:pPr>
        <w:ind w:left="8" w:right="3019"/>
        <w:spacing w:after="0" w:line="263" w:lineRule="auto"/>
        <w:rPr>
          <w:sz w:val="20"/>
          <w:szCs w:val="20"/>
          <w:color w:val="auto"/>
        </w:rPr>
      </w:pPr>
      <w:r>
        <w:rPr>
          <w:rFonts w:ascii="Courier New" w:cs="Courier New" w:eastAsia="Courier New" w:hAnsi="Courier New"/>
          <w:sz w:val="14"/>
          <w:szCs w:val="14"/>
          <w:color w:val="auto"/>
        </w:rPr>
        <w:t>effect on the business, operations, properties, assets, condition (financial or other), results of operations or prospects of Parent and its subsidiaries, taken as a whole, and such Tax Returns are true, correct and complete in all material respects and (ii) duly paid in full or made adequate provision for the payment of all Taxes (as defined in Section 4.12(b)) for all periods ending at or prior to the Effective Time. The liabilities and reserves for Taxes reflected in the Parent balance sheet included in the latest Parent SEC Report are adequate to cover all Taxes for all periods ending at or prior to the Effective Time and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results of operations or prospects of Parent and its subsidiaries, taken as a whole.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337" w:lineRule="exact"/>
        <w:rPr>
          <w:sz w:val="20"/>
          <w:szCs w:val="20"/>
          <w:color w:val="auto"/>
        </w:rPr>
      </w:pPr>
    </w:p>
    <w:p>
      <w:pPr>
        <w:ind w:left="8" w:right="3019" w:firstLine="443"/>
        <w:spacing w:after="0" w:line="244" w:lineRule="auto"/>
        <w:tabs>
          <w:tab w:leader="none" w:pos="81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"Taxes" shall mean all taxes, including, without limitation, income, gross receipts, excise, property, sales, withholding, social security, occupation, use, service, service use,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80" w:lineRule="exact"/>
        <w:rPr>
          <w:rFonts w:ascii="Courier New" w:cs="Courier New" w:eastAsia="Courier New" w:hAnsi="Courier New"/>
          <w:sz w:val="15"/>
          <w:szCs w:val="15"/>
          <w:color w:val="auto"/>
        </w:rPr>
      </w:pPr>
    </w:p>
    <w:p>
      <w:pPr>
        <w:ind w:left="8" w:right="3279" w:firstLine="443"/>
        <w:spacing w:after="0" w:line="244" w:lineRule="auto"/>
        <w:tabs>
          <w:tab w:leader="none" w:pos="81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"Tax Return" shall mean any return, report or other document or information required to be supplied to a taxing authority in connection with Taxes.</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4.13. EMPLOYEE BENEFIT PLANS; ERISA. (a) Except as set forth in the Parent SEC Reports, at the date hereof, Parent and its subsidiaries do not maintain or contribute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Schedule 4.13 attached hereto lists all Multi-employer Plans and Multiple Employer Plans which any of Parent or its subsidiaries maintains or to which any of them makes contributions. Neither Parent nor its subsidiaries has any obligation to create any additional such plan or to amend any such plan so as to increase benefits thereunder, except as required under the terms of the Parent Plans, under existing collective bargaining agreements or to comply with applicable law.</w:t>
      </w:r>
    </w:p>
    <w:p>
      <w:pPr>
        <w:spacing w:after="0" w:line="184" w:lineRule="exact"/>
        <w:rPr>
          <w:sz w:val="20"/>
          <w:szCs w:val="20"/>
          <w:color w:val="auto"/>
        </w:rPr>
      </w:pPr>
    </w:p>
    <w:p>
      <w:pPr>
        <w:ind w:left="8" w:right="3199" w:firstLine="443"/>
        <w:spacing w:after="0" w:line="262" w:lineRule="auto"/>
        <w:tabs>
          <w:tab w:leader="none" w:pos="819"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results of operations or prospects of Parent and its subsidiaries, taken as a whole, (ii) except for premiums due, there is no outstanding material liability, whether measured alone or in the aggregate, under Title IV of ERISA with respect to any of the Parent Plans,</w:t>
      </w:r>
    </w:p>
    <w:p>
      <w:pPr>
        <w:spacing w:after="0" w:line="2" w:lineRule="exact"/>
        <w:rPr>
          <w:rFonts w:ascii="Courier New" w:cs="Courier New" w:eastAsia="Courier New" w:hAnsi="Courier New"/>
          <w:sz w:val="14"/>
          <w:szCs w:val="14"/>
          <w:color w:val="auto"/>
        </w:rPr>
      </w:pPr>
    </w:p>
    <w:p>
      <w:pPr>
        <w:ind w:left="8" w:right="3019" w:hanging="8"/>
        <w:spacing w:after="0" w:line="244" w:lineRule="auto"/>
        <w:tabs>
          <w:tab w:leader="none" w:pos="5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w:t>
      </w:r>
    </w:p>
    <w:p>
      <w:pPr>
        <w:spacing w:after="0" w:line="17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AA-9</w:t>
      </w:r>
    </w:p>
    <w:p>
      <w:pPr>
        <w:sectPr>
          <w:pgSz w:w="11900" w:h="16838" w:orient="portrait"/>
          <w:cols w:equalWidth="0" w:num="1">
            <w:col w:w="10227"/>
          </w:cols>
          <w:pgMar w:left="232" w:top="291" w:right="1440" w:bottom="1440" w:gutter="0" w:footer="0" w:header="0"/>
        </w:sectPr>
      </w:pPr>
    </w:p>
    <w:bookmarkStart w:id="231" w:name="page232"/>
    <w:bookmarkEnd w:id="231"/>
    <w:p>
      <w:pPr>
        <w:ind w:left="268"/>
        <w:spacing w:after="0"/>
        <w:rPr>
          <w:sz w:val="20"/>
          <w:szCs w:val="20"/>
          <w:color w:val="auto"/>
        </w:rPr>
      </w:pPr>
      <w:r>
        <w:rPr>
          <w:rFonts w:ascii="Courier New" w:cs="Courier New" w:eastAsia="Courier New" w:hAnsi="Courier New"/>
          <w:sz w:val="15"/>
          <w:szCs w:val="15"/>
          <w:color w:val="auto"/>
        </w:rPr>
        <w:t>225</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under each of the Parent Plans which is subject to Title IV of ERISA did not, as of its latest valuation date, exceed the then current value of the assets of such plan allocable to such benefit liabilities by more than the amount, if any, disclosed in the Parent SEC Reports as of September 30, 1994,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 (vii) 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w:t>
      </w:r>
    </w:p>
    <w:p>
      <w:pPr>
        <w:spacing w:after="0" w:line="9" w:lineRule="exact"/>
        <w:rPr>
          <w:sz w:val="20"/>
          <w:szCs w:val="20"/>
          <w:color w:val="auto"/>
        </w:rPr>
      </w:pPr>
    </w:p>
    <w:p>
      <w:pPr>
        <w:ind w:left="8" w:right="3019" w:hanging="8"/>
        <w:spacing w:after="0" w:line="244" w:lineRule="auto"/>
        <w:tabs>
          <w:tab w:leader="none" w:pos="63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Multi-employer Plans, neither Parent nor any of its subsidiaries has made or suffered a "complete withdrawal" or a "partial withdrawal,"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and (x) Parent and its subsidiaries have no current material liability for plan termination or withdrawal (complete or partial) under Title IV of ERISA based on any plan to which any entity that would be deemed one employer with Parent and its subsidiaries under Section 4001 of ERISA or Section 414 of the Code contributed during the period of time covered by the applicable statute of limitations (a "Parent Controlled Group Plan"), and Parent and its subsidiaries do not reasonably anticipate that any such liability will be asserted against Parent or any of its subsidiaries. None of the Parent Controlled Group Plans has an "accumulated funding deficiency" (as defined in Section 302 of ERISA and Section 412 of the Code).</w:t>
      </w:r>
    </w:p>
    <w:p>
      <w:pPr>
        <w:spacing w:after="0" w:line="185" w:lineRule="exact"/>
        <w:rPr>
          <w:rFonts w:ascii="Courier New" w:cs="Courier New" w:eastAsia="Courier New" w:hAnsi="Courier New"/>
          <w:sz w:val="15"/>
          <w:szCs w:val="15"/>
          <w:color w:val="auto"/>
        </w:rPr>
      </w:pPr>
    </w:p>
    <w:p>
      <w:pPr>
        <w:ind w:left="8" w:right="3199" w:firstLine="443"/>
        <w:spacing w:after="0" w:line="244" w:lineRule="auto"/>
        <w:tabs>
          <w:tab w:leader="none" w:pos="819"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4.14. LABOR CONTROVERSIES. Except as set forth in the Parent SEC Reports, (a) there are no significant controversies pending or, to the knowledge of Parent, threatened between Parent or its subsidiaries and any representatives of any of their employees, (b) to the knowledge of Parent, there are no material organizational efforts presently being made involving any of the presently unorganized employees of Parent and its subsidiaries, (c) Parent and its subsidiaries have, to the knowledge of Parent, complied in all material respects with all laws relating to the employment of labor, including, without limitation, any provisions thereof relating to wages, hours, collective bargaining, and the payment of social security and similar taxes, and (d) no person has, to the knowledge of Parent, asserted that Parent or any of its subsidiaries is liable in any material amount for any arrears of wages or any taxes or penalties for failure to comply with any of the foregoing, except for such controversies, organizational efforts, non-compliance and liabilities which, singly or in the aggregate, could not reasonably be expected to materially and adversely affect the business, operations, properties, assets, condition (financial or other), results of operations or prospects of Parent and its subsidiaries, taken as a whole.</w:t>
      </w:r>
    </w:p>
    <w:p>
      <w:pPr>
        <w:spacing w:after="0" w:line="185"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SECTION 4.15. ENVIRONMENTAL MATTERS. (a) Except as set forth in the Parent SEC Reports, (i) Parent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w:t>
      </w:r>
    </w:p>
    <w:p>
      <w:pPr>
        <w:spacing w:after="0" w:line="18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AA-10</w:t>
      </w:r>
    </w:p>
    <w:p>
      <w:pPr>
        <w:sectPr>
          <w:pgSz w:w="11900" w:h="16838" w:orient="portrait"/>
          <w:cols w:equalWidth="0" w:num="1">
            <w:col w:w="10227"/>
          </w:cols>
          <w:pgMar w:left="232" w:top="291" w:right="1440" w:bottom="1440" w:gutter="0" w:footer="0" w:header="0"/>
        </w:sectPr>
      </w:pPr>
    </w:p>
    <w:bookmarkStart w:id="232" w:name="page233"/>
    <w:bookmarkEnd w:id="232"/>
    <w:p>
      <w:pPr>
        <w:ind w:left="268"/>
        <w:spacing w:after="0"/>
        <w:rPr>
          <w:sz w:val="20"/>
          <w:szCs w:val="20"/>
          <w:color w:val="auto"/>
        </w:rPr>
      </w:pPr>
      <w:r>
        <w:rPr>
          <w:rFonts w:ascii="Courier New" w:cs="Courier New" w:eastAsia="Courier New" w:hAnsi="Courier New"/>
          <w:sz w:val="15"/>
          <w:szCs w:val="15"/>
          <w:color w:val="auto"/>
        </w:rPr>
        <w:t>226</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there have been no environmental investigations, studies, audits, tests, reviews or other analyses regarding compliance or noncompliance with any applicable Environmental Law conducted by or which are in the possession of Parent or its subsidiaries relating to the activities of Parent or its subsidiaries which have not been delivered to the Company prior to the date hereof, (viii) there are no underground storage tanks on, in or under any properties owned by Parent and any of its subsidiaries and no underground storage tanks have been closed or removed from any of such properties during the time such properties were owned, leased or operated by Parent or any of its subsidiaries, (ix)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(x) neither Parent,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results of operations or prospects of Parent and its subsidiaries considered as one enterprise.</w:t>
      </w:r>
    </w:p>
    <w:p>
      <w:pPr>
        <w:spacing w:after="0" w:line="192" w:lineRule="exact"/>
        <w:rPr>
          <w:sz w:val="20"/>
          <w:szCs w:val="20"/>
          <w:color w:val="auto"/>
        </w:rPr>
      </w:pPr>
    </w:p>
    <w:p>
      <w:pPr>
        <w:ind w:left="8" w:right="3099" w:firstLine="443"/>
        <w:spacing w:after="0" w:line="244" w:lineRule="auto"/>
        <w:tabs>
          <w:tab w:leader="none" w:pos="819"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spacing w:after="0" w:line="2" w:lineRule="exact"/>
        <w:rPr>
          <w:rFonts w:ascii="Courier New" w:cs="Courier New" w:eastAsia="Courier New" w:hAnsi="Courier New"/>
          <w:sz w:val="15"/>
          <w:szCs w:val="15"/>
          <w:color w:val="auto"/>
        </w:rPr>
      </w:pPr>
    </w:p>
    <w:p>
      <w:pPr>
        <w:ind w:left="8" w:right="3019" w:hanging="8"/>
        <w:spacing w:after="0" w:line="263" w:lineRule="auto"/>
        <w:tabs>
          <w:tab w:leader="none" w:pos="368"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and the Federal Toxic Substances Control Act, the Federal Insecticide, Fungicide and Rodenticide Act,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38" w:lineRule="exact"/>
        <w:rPr>
          <w:rFonts w:ascii="Courier New" w:cs="Courier New" w:eastAsia="Courier New" w:hAnsi="Courier New"/>
          <w:sz w:val="14"/>
          <w:szCs w:val="14"/>
          <w:color w:val="auto"/>
        </w:rPr>
      </w:pPr>
    </w:p>
    <w:p>
      <w:pPr>
        <w:ind w:left="8" w:right="3019" w:firstLine="443"/>
        <w:spacing w:after="0" w:line="244" w:lineRule="auto"/>
        <w:tabs>
          <w:tab w:leader="none" w:pos="819"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4.16. NON-COMPETITION AGREEMENTS. Neither Parent nor any subsidiary of Parent is a party to any agreement which purports to restrict or prohibit in any material respect any of them from, directly or indirectly, engaging in any business of rubbish, garbage, paper, textile wastes, chemical or hazardous wastes, liquid and other waste collection, interim storage, transfer, recovery, processing, recycling, marketing or disposal or any other material business currently engaged in by the Parent or the Company, or any</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AA-11</w:t>
      </w:r>
    </w:p>
    <w:p>
      <w:pPr>
        <w:sectPr>
          <w:pgSz w:w="11900" w:h="16838" w:orient="portrait"/>
          <w:cols w:equalWidth="0" w:num="1">
            <w:col w:w="10227"/>
          </w:cols>
          <w:pgMar w:left="232" w:top="291"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227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results of operations or prospects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 or both would become a default other than defaults under such leases which in the aggregate will not materially and adversely affect the Parent and its subsidiaries, taken as a whole.</w:t>
      </w:r>
    </w:p>
    <w:p>
      <w:pPr>
        <w:spacing w:after="0" w:line="18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4.18. PARENT STOCKHOLDERS' APPROVAL. The affirmative vote of stockholders of Parent required for approval and adoption of this Agreement and the Merger is a majority of the outstanding shares of Parent Common Stock.</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V</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represents and warrants to Parent and Subsidiary as follows: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results of operations or prospects of the Company and its subsidiaries, taken as a whole. True, accurate and complete copies of the Company's Certificate of Incorporation and By-laws, in each case as in effect on the date hereof, including all amendments thereto, have heretofore been delivered to Parent.</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5.2. CAPITALIZATION.</w:t>
      </w:r>
    </w:p>
    <w:p>
      <w:pPr>
        <w:spacing w:after="0" w:line="178" w:lineRule="exact"/>
        <w:rPr>
          <w:sz w:val="20"/>
          <w:szCs w:val="20"/>
          <w:color w:val="auto"/>
        </w:rPr>
      </w:pPr>
    </w:p>
    <w:p>
      <w:pPr>
        <w:ind w:right="3019" w:firstLine="443"/>
        <w:spacing w:after="0" w:line="244" w:lineRule="auto"/>
        <w:tabs>
          <w:tab w:leader="none" w:pos="81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consists of 50,000,000 shares of Regular Common Stock, 100,000,000 shares of Class A Common Stock and 10,000,000 shares of preferred stock. As of November 21, 1994, 15,959,968 shares of Regular Common Stock and 50,829,159 shares of Class A Common Stock were issued and outstanding and no shares of preferred stock were issued and outstanding. All of such issued and outstanding shares are validly issued and are fully paid, nonassessable and free of preemptive rights. No subsidiary of the Company holds any shares of the capital stock of the Company.</w:t>
      </w:r>
    </w:p>
    <w:p>
      <w:pPr>
        <w:spacing w:after="0" w:line="178" w:lineRule="exact"/>
        <w:rPr>
          <w:rFonts w:ascii="Courier New" w:cs="Courier New" w:eastAsia="Courier New" w:hAnsi="Courier New"/>
          <w:sz w:val="15"/>
          <w:szCs w:val="15"/>
          <w:color w:val="auto"/>
        </w:rPr>
      </w:pPr>
    </w:p>
    <w:p>
      <w:pPr>
        <w:ind w:right="3379" w:firstLine="443"/>
        <w:spacing w:after="0" w:line="270" w:lineRule="auto"/>
        <w:tabs>
          <w:tab w:leader="none" w:pos="811"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5.2 attached hereto, as of the date hereof there were no outstanding subscriptions, options, calls, contracts, commitments, understandings, restrictions, arrangements, rights or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AA-12</w:t>
      </w:r>
    </w:p>
    <w:p>
      <w:pPr>
        <w:sectPr>
          <w:pgSz w:w="11900" w:h="16838" w:orient="portrait"/>
          <w:cols w:equalWidth="0" w:num="1">
            <w:col w:w="10219"/>
          </w:cols>
          <w:pgMar w:left="240" w:top="291"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228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5.3. SUBSIDIARIES.</w:t>
      </w:r>
    </w:p>
    <w:p>
      <w:pPr>
        <w:spacing w:after="0" w:line="178" w:lineRule="exact"/>
        <w:rPr>
          <w:sz w:val="20"/>
          <w:szCs w:val="20"/>
          <w:color w:val="auto"/>
        </w:rPr>
      </w:pPr>
    </w:p>
    <w:p>
      <w:pPr>
        <w:ind w:right="3019" w:firstLine="443"/>
        <w:spacing w:after="0" w:line="263" w:lineRule="auto"/>
        <w:tabs>
          <w:tab w:leader="none" w:pos="81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5.3,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results of operations or prospects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except as set forth in Schedule 5.3 attached hereto.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5.4. AUTHORITY; NON-CONTRAVENTION; APPROVALS.</w:t>
      </w:r>
    </w:p>
    <w:p>
      <w:pPr>
        <w:spacing w:after="0" w:line="178" w:lineRule="exact"/>
        <w:rPr>
          <w:sz w:val="20"/>
          <w:szCs w:val="20"/>
          <w:color w:val="auto"/>
        </w:rPr>
      </w:pPr>
    </w:p>
    <w:p>
      <w:pPr>
        <w:ind w:right="3019" w:firstLine="443"/>
        <w:spacing w:after="0" w:line="244" w:lineRule="auto"/>
        <w:tabs>
          <w:tab w:leader="none" w:pos="81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full corporate power and authority to enter into this Agreement and, subject to the Company Stockholders' Approval (as defined in Section 7.3(a))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7.3, 7.6, 7.7, 7.8 and 7.11 is valid, legally binding and enforceable notwithstanding the absence of the Company Stockholders' Approval.</w:t>
      </w:r>
    </w:p>
    <w:p>
      <w:pPr>
        <w:spacing w:after="0" w:line="185"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AA-13</w:t>
      </w:r>
    </w:p>
    <w:p>
      <w:pPr>
        <w:sectPr>
          <w:pgSz w:w="11900" w:h="16838" w:orient="portrait"/>
          <w:cols w:equalWidth="0" w:num="1">
            <w:col w:w="10219"/>
          </w:cols>
          <w:pgMar w:left="240" w:top="291" w:right="1440" w:bottom="1440" w:gutter="0" w:footer="0" w:header="0"/>
        </w:sectPr>
      </w:pPr>
    </w:p>
    <w:bookmarkStart w:id="235" w:name="page236"/>
    <w:bookmarkEnd w:id="235"/>
    <w:p>
      <w:pPr>
        <w:ind w:left="268"/>
        <w:spacing w:after="0"/>
        <w:rPr>
          <w:sz w:val="20"/>
          <w:szCs w:val="20"/>
          <w:color w:val="auto"/>
        </w:rPr>
      </w:pPr>
      <w:r>
        <w:rPr>
          <w:rFonts w:ascii="Courier New" w:cs="Courier New" w:eastAsia="Courier New" w:hAnsi="Courier New"/>
          <w:sz w:val="15"/>
          <w:szCs w:val="15"/>
          <w:color w:val="auto"/>
        </w:rPr>
        <w:t>229</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w:t>
      </w:r>
    </w:p>
    <w:p>
      <w:pPr>
        <w:spacing w:after="0" w:line="2" w:lineRule="exact"/>
        <w:rPr>
          <w:sz w:val="20"/>
          <w:szCs w:val="20"/>
          <w:color w:val="auto"/>
        </w:rPr>
      </w:pPr>
    </w:p>
    <w:p>
      <w:pPr>
        <w:ind w:left="8" w:right="3019" w:hanging="8"/>
        <w:spacing w:after="0" w:line="244" w:lineRule="auto"/>
        <w:tabs>
          <w:tab w:leader="none" w:pos="36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the Company and its subsidiaries, taken as a whole.</w:t>
      </w:r>
    </w:p>
    <w:p>
      <w:pPr>
        <w:spacing w:after="0" w:line="180" w:lineRule="exact"/>
        <w:rPr>
          <w:rFonts w:ascii="Courier New" w:cs="Courier New" w:eastAsia="Courier New" w:hAnsi="Courier New"/>
          <w:sz w:val="15"/>
          <w:szCs w:val="15"/>
          <w:color w:val="auto"/>
        </w:rPr>
      </w:pPr>
    </w:p>
    <w:p>
      <w:pPr>
        <w:ind w:left="8" w:right="3019" w:firstLine="443"/>
        <w:spacing w:after="0" w:line="244" w:lineRule="auto"/>
        <w:tabs>
          <w:tab w:leader="none" w:pos="819"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Parent and the Company required by the HSR Act, (ii) the filing of the Joint Proxy Statement/Prospectus with the SEC pursuant to the Exchange Act and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results of operations or prospects of the Company and its subsidiaries, taken as a whole.</w:t>
      </w:r>
    </w:p>
    <w:p>
      <w:pPr>
        <w:spacing w:after="0" w:line="18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5.5. REPORTS AND FINANCIAL STATEMENTS. Except as set forth on Schedule 5.5 attached hereto, since December 31, 1990, the Company has filed with the SEC all material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The Company has previously delivered to Parent copies of its (a) Annual Reports on Form 10-K for the fiscal year ended December 31, 1993 and for each of the two immediately preceding fiscal years, as filed with the SEC, (b) proxy and information statements relating to (i) all meetings of its stockholders (whether annual or special) and (ii) actions by written consent in lieu of a stockholders' meeting from December 31, 1990 until the date hereof, and (c) all other reports, including quarterly reports, or registration statements filed by the Company with the SEC since December 31, 1990 (other than Registration Statements filed on Form S-8) and (the documents referred to in clauses (a), (b) and (c) are collectively referred to as the "Company SEC Reports"). Except as set forth in Schedule 5.5 attached hereto, as of their respective dates, the Company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192"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AA-14</w:t>
      </w:r>
    </w:p>
    <w:p>
      <w:pPr>
        <w:sectPr>
          <w:pgSz w:w="11900" w:h="16838" w:orient="portrait"/>
          <w:cols w:equalWidth="0" w:num="1">
            <w:col w:w="10227"/>
          </w:cols>
          <w:pgMar w:left="232" w:top="291" w:right="1440" w:bottom="1440" w:gutter="0" w:footer="0" w:header="0"/>
        </w:sectPr>
      </w:pPr>
    </w:p>
    <w:bookmarkStart w:id="236" w:name="page237"/>
    <w:bookmarkEnd w:id="236"/>
    <w:p>
      <w:pPr>
        <w:ind w:left="268"/>
        <w:spacing w:after="0"/>
        <w:rPr>
          <w:sz w:val="20"/>
          <w:szCs w:val="20"/>
          <w:color w:val="auto"/>
        </w:rPr>
      </w:pPr>
      <w:r>
        <w:rPr>
          <w:rFonts w:ascii="Courier New" w:cs="Courier New" w:eastAsia="Courier New" w:hAnsi="Courier New"/>
          <w:sz w:val="15"/>
          <w:szCs w:val="15"/>
          <w:color w:val="auto"/>
        </w:rPr>
        <w:t>230</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5.6. ABSENCE OF UNDISCLOSED LIABILITIES. Except as disclosed in the Company SEC Reports, neither the Company nor any of its subsidiaries had at September 30, 1994, or has incurred since that date,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September 30, 1994 and were incurred in the ordinary course of business and consistent with past practices, (b) liabilities, obligations or contingencies which (i) would not, in the aggregate, have a material adverse effect on the business, operations, properties, assets, condition (financial or other), results of operations or prospects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normal course of business.</w:t>
      </w:r>
    </w:p>
    <w:p>
      <w:pPr>
        <w:spacing w:after="0" w:line="184"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SECTION 5.7. ABSENCE OF CERTAIN CHANGES OR EVENTS. Since the date of the most recent Company SEC Report, there has not been any material adverse change in the business, operations, properties, assets, liabilities, condition (financial or other), results of operations or prospects of the Company and its subsidiaries, taken as a whole.</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5.8. LITIGATION. Except as referred to in the Company SEC Reports or in Schedule 5.8 attached hereto,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 proceedings, to materially and adversely affect the business, operations, properties, assets, condition (financial or other), results of operations or prospects of the Company and its subsidiaries, taken as a whole. Except as referred to in the Company SEC Reports or in Schedule 5.8 attached hereto,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results of operations or prospects of the Company and its subsidiaries, taken as a whole. The Company has heretofore delivered to Parent a true and complete copy of each document identified in Schedule 5.8.</w:t>
      </w:r>
    </w:p>
    <w:p>
      <w:pPr>
        <w:spacing w:after="0" w:line="185" w:lineRule="exact"/>
        <w:rPr>
          <w:sz w:val="20"/>
          <w:szCs w:val="20"/>
          <w:color w:val="auto"/>
        </w:rPr>
      </w:pPr>
    </w:p>
    <w:p>
      <w:pPr>
        <w:jc w:val="center"/>
        <w:ind w:right="3192"/>
        <w:spacing w:after="0"/>
        <w:rPr>
          <w:sz w:val="20"/>
          <w:szCs w:val="20"/>
          <w:color w:val="auto"/>
        </w:rPr>
      </w:pPr>
      <w:r>
        <w:rPr>
          <w:rFonts w:ascii="Courier New" w:cs="Courier New" w:eastAsia="Courier New" w:hAnsi="Courier New"/>
          <w:sz w:val="15"/>
          <w:szCs w:val="15"/>
          <w:color w:val="auto"/>
        </w:rPr>
        <w:t>SECTION 5.9. REGISTRATION STATEMENT AND PROXY STATEMENT. None of the</w:t>
      </w:r>
    </w:p>
    <w:p>
      <w:pPr>
        <w:spacing w:after="0" w:line="4" w:lineRule="exact"/>
        <w:rPr>
          <w:sz w:val="20"/>
          <w:szCs w:val="20"/>
          <w:color w:val="auto"/>
        </w:rPr>
      </w:pPr>
    </w:p>
    <w:p>
      <w:pPr>
        <w:jc w:val="center"/>
        <w:ind w:right="3192"/>
        <w:spacing w:after="0"/>
        <w:rPr>
          <w:sz w:val="20"/>
          <w:szCs w:val="20"/>
          <w:color w:val="auto"/>
        </w:rPr>
      </w:pPr>
      <w:r>
        <w:rPr>
          <w:rFonts w:ascii="Courier New" w:cs="Courier New" w:eastAsia="Courier New" w:hAnsi="Courier New"/>
          <w:sz w:val="14"/>
          <w:szCs w:val="14"/>
          <w:color w:val="auto"/>
        </w:rPr>
        <w:t>information to be supplied by the Company or its subsidiaries for inclusion in</w:t>
      </w:r>
    </w:p>
    <w:p>
      <w:pPr>
        <w:spacing w:after="0" w:line="15" w:lineRule="exact"/>
        <w:rPr>
          <w:sz w:val="20"/>
          <w:szCs w:val="20"/>
          <w:color w:val="auto"/>
        </w:rPr>
      </w:pPr>
    </w:p>
    <w:p>
      <w:pPr>
        <w:ind w:left="8" w:right="3019" w:hanging="8"/>
        <w:spacing w:after="0" w:line="244" w:lineRule="auto"/>
        <w:tabs>
          <w:tab w:leader="none" w:pos="36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comply, as of its effective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or Subsidiary for inclusion therein.</w:t>
      </w:r>
    </w:p>
    <w:p>
      <w:pPr>
        <w:spacing w:after="0" w:line="183"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SECTION 5.10. NO VIOLATION OF LAW. Except as disclosed in the Company SEC Reports or in Schedule 5.8 attached hereto,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results of operations or prospects of the Company and its subsidiaries, taken as a whole. Except as disclosed in the Company SEC Reports, as of the date of this Agreement, to the knowledge</w:t>
      </w:r>
    </w:p>
    <w:p>
      <w:pPr>
        <w:spacing w:after="0" w:line="18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AA-15</w:t>
      </w:r>
    </w:p>
    <w:p>
      <w:pPr>
        <w:sectPr>
          <w:pgSz w:w="11900" w:h="16838" w:orient="portrait"/>
          <w:cols w:equalWidth="0" w:num="1">
            <w:col w:w="10227"/>
          </w:cols>
          <w:pgMar w:left="232" w:top="291"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231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results of operations or prospects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results of operations or prospects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or prospects of the Company and its subsidiaries, taken as a whole.</w:t>
      </w:r>
    </w:p>
    <w:p>
      <w:pPr>
        <w:spacing w:after="0" w:line="1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which breaches, violations and defaults, in the case of clause (b) of this Section 5.11, would have, in the aggregate, a material adverse effect on the business, operations, properties, assets, condition (financial or other), results of operations or prospects of the Company and its subsidiaries, taken as a whole.</w:t>
      </w:r>
    </w:p>
    <w:p>
      <w:pPr>
        <w:spacing w:after="0" w:line="182"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results of operations or prospects of the Company and its subsidiaries, taken as a whole, and such Tax Returns are true, correct and complete in all material respects, and (ii) duly paid in full or made adequate provision for the payment of all Taxes for all periods ending at or prior to the Effective Time. The liabilities and reserves for Taxes reflected in the Company balance sheet included in the latest Company SEC Report are adequate to cover all Taxes for all periods ending at or prior to the Effective Time and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 results of operations or prospects of the Company and its subsidiaries, taken as a whole. Neither the Company nor any of its subsidiaries is a party to any agreement providing for the allocation or sharing of Taxes with any entity that is not, directly or indirectly, a wholly-owned corporate subsidiary of Company. Neither the Company nor any of its corporate subsidiaries has, with regard to any assets or property held, acquired or to be acquired by any of them, filed a consent to the application of Section 341(f) of the Code.</w:t>
      </w:r>
    </w:p>
    <w:p>
      <w:pPr>
        <w:spacing w:after="0" w:line="33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5.13. EMPLOYEE BENEFIT PLANS; ERISA.</w:t>
      </w:r>
    </w:p>
    <w:p>
      <w:pPr>
        <w:spacing w:after="0" w:line="178" w:lineRule="exact"/>
        <w:rPr>
          <w:sz w:val="20"/>
          <w:szCs w:val="20"/>
          <w:color w:val="auto"/>
        </w:rPr>
      </w:pPr>
    </w:p>
    <w:p>
      <w:pPr>
        <w:ind w:right="3019" w:firstLine="443"/>
        <w:spacing w:after="0" w:line="244" w:lineRule="auto"/>
        <w:tabs>
          <w:tab w:leader="none" w:pos="81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Company SEC Reports, at the date hereof, the Company and its subsidiaries do not maintain or contribute to any material employee benefit plans, programs, arrangements and practices (such plans, programs, arrangements and practices of the Company and its subsidiaries being referred to as the "Company Plans"), including employee benefit plans within the meaning set forth in Section 3(3) of ERISA, or other similar material arrangements for the provision of benefits (excluding any "Multi-employer Plan" within the meaning of Section 3(37) of ERISA or a "Multiple Employer Plan" within</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AA-16</w:t>
      </w:r>
    </w:p>
    <w:p>
      <w:pPr>
        <w:sectPr>
          <w:pgSz w:w="11900" w:h="16838" w:orient="portrait"/>
          <w:cols w:equalWidth="0" w:num="1">
            <w:col w:w="10219"/>
          </w:cols>
          <w:pgMar w:left="240" w:top="291" w:right="1440" w:bottom="1440" w:gutter="0" w:footer="0" w:header="0"/>
        </w:sectPr>
      </w:pPr>
    </w:p>
    <w:bookmarkStart w:id="238" w:name="page239"/>
    <w:bookmarkEnd w:id="238"/>
    <w:p>
      <w:pPr>
        <w:ind w:left="268"/>
        <w:spacing w:after="0"/>
        <w:rPr>
          <w:sz w:val="20"/>
          <w:szCs w:val="20"/>
          <w:color w:val="auto"/>
        </w:rPr>
      </w:pPr>
      <w:r>
        <w:rPr>
          <w:rFonts w:ascii="Courier New" w:cs="Courier New" w:eastAsia="Courier New" w:hAnsi="Courier New"/>
          <w:sz w:val="15"/>
          <w:szCs w:val="15"/>
          <w:color w:val="auto"/>
        </w:rPr>
        <w:t>232</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meaning of Section 413(c) of the Code). Schedule 5.13(a) attached hereto lists all Multi-employer Plans and Multiple Employer Plans which any of the Company or its subsidiaries maintains or to which any of them makes contributions. Neither the Company nor its subsidiaries has any obligation to create any additional such plan or to amend any such plan so as to increase benefits thereunder, except as required under the terms of the Company Plans, under existing collective bargaining agreements or to comply with applicable law.</w:t>
      </w:r>
    </w:p>
    <w:p>
      <w:pPr>
        <w:spacing w:after="0" w:line="178" w:lineRule="exact"/>
        <w:rPr>
          <w:sz w:val="20"/>
          <w:szCs w:val="20"/>
          <w:color w:val="auto"/>
        </w:rPr>
      </w:pPr>
    </w:p>
    <w:p>
      <w:pPr>
        <w:ind w:left="8" w:right="3019" w:firstLine="443"/>
        <w:spacing w:after="0" w:line="262" w:lineRule="auto"/>
        <w:tabs>
          <w:tab w:leader="none" w:pos="81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results of operations or prospects of the Company and its subsidiaries, taken as a whole, (ii) except for premiums due, there is no outstanding material liability, whether measured alone or in the aggregate, under Title IV of ERISA with respect to any of the Company Plans,</w:t>
      </w:r>
    </w:p>
    <w:p>
      <w:pPr>
        <w:spacing w:after="0" w:line="2" w:lineRule="exact"/>
        <w:rPr>
          <w:rFonts w:ascii="Courier New" w:cs="Courier New" w:eastAsia="Courier New" w:hAnsi="Courier New"/>
          <w:sz w:val="14"/>
          <w:szCs w:val="14"/>
          <w:color w:val="auto"/>
        </w:rPr>
      </w:pPr>
    </w:p>
    <w:p>
      <w:pPr>
        <w:ind w:left="8" w:right="3019" w:hanging="8"/>
        <w:spacing w:after="0" w:line="244" w:lineRule="auto"/>
        <w:tabs>
          <w:tab w:leader="none" w:pos="54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September 30, 1994,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w:t>
      </w:r>
    </w:p>
    <w:p>
      <w:pPr>
        <w:spacing w:after="0" w:line="14" w:lineRule="exact"/>
        <w:rPr>
          <w:rFonts w:ascii="Courier New" w:cs="Courier New" w:eastAsia="Courier New" w:hAnsi="Courier New"/>
          <w:sz w:val="15"/>
          <w:szCs w:val="15"/>
          <w:color w:val="auto"/>
        </w:rPr>
      </w:pPr>
    </w:p>
    <w:p>
      <w:pPr>
        <w:ind w:left="8" w:right="3019" w:hanging="8"/>
        <w:spacing w:after="0" w:line="263" w:lineRule="auto"/>
        <w:tabs>
          <w:tab w:leader="none" w:pos="639"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and (x) the Company and its subsidiaries have no current material liability, whether measured alone or in the aggregate, for plan termination or withdrawal (complete or partial) under Title IV of ERISA based on any plan to which any entity that would be deemed one employer with the Company and its subsidiaries under Section 4001 of ERISA or Section 414 of the Code contributed during the period of time covered by the applicable statute of limitations (the "Company Controlled Group Plans"), and the Company and its subsidiaries do not reasonably anticipate that any such liability will be asserted against the Company or any of its subsidiaries. None of the Company Controlled Group Plans has an "accumulated funding deficiency" (as defined in Section 302 of ERISA and 412 of the Code).</w:t>
      </w:r>
    </w:p>
    <w:p>
      <w:pPr>
        <w:spacing w:after="0" w:line="165" w:lineRule="exact"/>
        <w:rPr>
          <w:rFonts w:ascii="Courier New" w:cs="Courier New" w:eastAsia="Courier New" w:hAnsi="Courier New"/>
          <w:sz w:val="14"/>
          <w:szCs w:val="14"/>
          <w:color w:val="auto"/>
        </w:rPr>
      </w:pPr>
    </w:p>
    <w:p>
      <w:pPr>
        <w:ind w:left="8" w:right="3099" w:firstLine="443"/>
        <w:spacing w:after="0" w:line="244" w:lineRule="auto"/>
        <w:tabs>
          <w:tab w:leader="none" w:pos="819"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5.14. LABOR CONTROVERSIES. Except as set forth in the Company SEC Reports, (a) there are no significant controversies pending or, to the knowledge of the Company, threatened between the Company or its subsidiaries and any representatives of any of their employees, (b) to the knowledge of the Company, there are no material organizational efforts presently being made involving any of the presently unorganized employees of the Company or its subsidiaries, (c) the Company and its subsidiaries have, to the knowledge of</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AA-17</w:t>
      </w:r>
    </w:p>
    <w:p>
      <w:pPr>
        <w:sectPr>
          <w:pgSz w:w="11900" w:h="16838" w:orient="portrait"/>
          <w:cols w:equalWidth="0" w:num="1">
            <w:col w:w="10227"/>
          </w:cols>
          <w:pgMar w:left="232" w:top="291"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233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complied in all material respects with all laws relating to the employment of labor, including, without limitation, any provisions thereof relating to wages, hours, collective bargaining, and the payment of social security and similar taxes, and (d) no person has, to the knowledge of the Company, asserted that the Company or any of its subsidiaries is liable in any material amount for any arrears of wages or any taxes or penalties for failure to comply with any of the foregoing, except for such controversies, organizational efforts, non-compliance and liabilities which, singly or in the aggregate, could not reasonably be expected to materially and adversely affect the business, operations, properties, assets, condition (financial or other), results of operations or prospects of the Company and its subsidiaries, taken as a whole.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5.15. ENVIRONMENTAL MATTERS. Except as set forth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there have been no environmental investigations, studies, audits, tests, reviews or other analyses regarding compliance or noncompliance with any applicable Environmental Law conducted by or which are in the possession of the Company or its subsidiaries relating to the activities of the Company or its subsidiaries which have not been delivered to Parent prior to the date hereof, (viii) there are no underground storage tanks on, in or under any properties owned by the Company or any of its subsidiaries and no underground storage tanks have been closed or removed from any of such properties during the time such properties were owned, leased or operated by the Company or any of its subsidiaries, (ix)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results of operations or prospects of the Company and its subsidiaries considered as one enterprise.</w:t>
      </w:r>
    </w:p>
    <w:p>
      <w:pPr>
        <w:spacing w:after="0" w:line="20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5.16. NON-COMPETITION AGREEMENTS. Neither the Company nor any subsidiary of the Company is a party to any agreement which purports to restrict or prohibit in any material respect any of them from, directly or indirectly, engaging in any business of rubbish, garbage, paper, textile wastes, chemical or hazardous wastes, liquid and other waste collection, interim storage, transfer, recovery, processing, recycling, marketing or disposal or any other material business currently engaged in by the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of the Company from, directly or indirectly, engaging in any of the businesses described above.</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AA-18</w:t>
      </w:r>
    </w:p>
    <w:p>
      <w:pPr>
        <w:sectPr>
          <w:pgSz w:w="11900" w:h="16838" w:orient="portrait"/>
          <w:cols w:equalWidth="0" w:num="1">
            <w:col w:w="10219"/>
          </w:cols>
          <w:pgMar w:left="240" w:top="291"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234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of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results of operations or prospects of the Company and its subsidiaries, taken as a whole. All leases under which the Company leases any substantial amount of real or personal property have been delivered to Parent and are in good standing, valid and effective in accordance with their respective terms, and there is not, under any of such leases, any existing default or event which with notice or lapse of time or both would become a default other than defaults under such leases which in the aggregate will not materially and adversely affect the condition of the Company.</w:t>
      </w:r>
    </w:p>
    <w:p>
      <w:pPr>
        <w:spacing w:after="0" w:line="189"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SECTION 5.18. COMPANY STOCKHOLDERS' APPROVAL. The affirmative vote of stockholders of the Company required for approval and adoption of this Agreement and the Merger is a majority of the votes to which holders of outstanding shares of Regular Common Stock and Class A Common Stock, voting together as a single class, are entitled. If all the shares of Company Common Stock as to which irrevocable proxies have been granted were voted (whether pursuant to such irrevocable proxies or otherwise) at a meeting of the Company's stockholders in favor of the approval of this Agreement and the Merger, such vote would constitute the requisite approval of the Company's stockholders for the approval and adoption of this Agreement and the Merger under the DGCL.</w:t>
      </w:r>
    </w:p>
    <w:p>
      <w:pPr>
        <w:spacing w:after="0" w:line="162"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CONDUCT OF BUSINESS PENDING 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6.1. CONDUCT OF BUSINESS BY THE COMPANY PENDING THE MERGER. Except as otherwise contemplated by this Agreement, after the date hereof and prior to the Closing Date or earlier termination of this Agreement, unless Parent shall otherwise agree in writing, the Company shall, and shall cause its subsidiaries, to:</w:t>
      </w:r>
    </w:p>
    <w:p>
      <w:pPr>
        <w:spacing w:after="0" w:line="177" w:lineRule="exact"/>
        <w:rPr>
          <w:sz w:val="20"/>
          <w:szCs w:val="20"/>
          <w:color w:val="auto"/>
        </w:rPr>
      </w:pPr>
    </w:p>
    <w:p>
      <w:pPr>
        <w:ind w:left="440" w:right="3459" w:firstLine="454"/>
        <w:spacing w:after="0" w:line="243" w:lineRule="auto"/>
        <w:tabs>
          <w:tab w:leader="none" w:pos="1251"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their respective businesses in the ordinary and usual course of business and consistent with past practice;</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amend or propose to amend their respective charters or 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the Company may issue shares upon conversion of convertible securities and exercise of options outstanding on the date hereof;</w:t>
      </w:r>
    </w:p>
    <w:p>
      <w:pPr>
        <w:spacing w:after="0" w:line="177"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w:t>
      </w:r>
    </w:p>
    <w:p>
      <w:pPr>
        <w:spacing w:after="0" w:line="1" w:lineRule="exact"/>
        <w:rPr>
          <w:rFonts w:ascii="Courier New" w:cs="Courier New" w:eastAsia="Courier New" w:hAnsi="Courier New"/>
          <w:sz w:val="15"/>
          <w:szCs w:val="15"/>
          <w:color w:val="auto"/>
        </w:rPr>
      </w:pPr>
    </w:p>
    <w:p>
      <w:pPr>
        <w:ind w:left="440" w:right="3099" w:firstLine="3"/>
        <w:spacing w:after="0" w:line="244" w:lineRule="auto"/>
        <w:tabs>
          <w:tab w:leader="none" w:pos="89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purchase, acquire or offer to purchase or acquire any shares of its capital stock or any options, warrants or rights to acquire any of its capital stock or any security convertible into or exchangeable for its capital stock, (iii) take any action which would jeopardize the treatment of the Merger as a pooling of interests under Opinion No. 16 of the Accounting Principles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AA-19</w:t>
      </w:r>
    </w:p>
    <w:p>
      <w:pPr>
        <w:sectPr>
          <w:pgSz w:w="11900" w:h="16838" w:orient="portrait"/>
          <w:cols w:equalWidth="0" w:num="1">
            <w:col w:w="10219"/>
          </w:cols>
          <w:pgMar w:left="240" w:top="291"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5"/>
          <w:szCs w:val="15"/>
          <w:color w:val="auto"/>
        </w:rPr>
        <w:t>235</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Board ("APB No. 16"), (iv) take or fail to take any action which action or failure to take action would cause the Company or its stockholders (except to the extent that 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 (vii) enter into any contract, agreement, commitment or arrangement with respect to any of the foregoing;</w:t>
      </w:r>
    </w:p>
    <w:p>
      <w:pPr>
        <w:spacing w:after="0" w:line="180" w:lineRule="exact"/>
        <w:rPr>
          <w:sz w:val="20"/>
          <w:szCs w:val="20"/>
          <w:color w:val="auto"/>
        </w:rPr>
      </w:pPr>
    </w:p>
    <w:p>
      <w:pPr>
        <w:ind w:left="440" w:right="3199" w:firstLine="454"/>
        <w:spacing w:after="0" w:line="244" w:lineRule="auto"/>
        <w:tabs>
          <w:tab w:leader="none" w:pos="125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77"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confer on a regular and frequent basis with one or more representatives of Parent to report operational matters of materiality and the general status of ongoing operations;</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 which provides for an annual base salary in excess of $125,000 and has a term in excess of one year or enter into or amend any severance or termination arrangement;</w:t>
      </w:r>
    </w:p>
    <w:p>
      <w:pPr>
        <w:spacing w:after="0" w:line="178"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w:t>
      </w:r>
    </w:p>
    <w:p>
      <w:pPr>
        <w:spacing w:after="0" w:line="176" w:lineRule="exact"/>
        <w:rPr>
          <w:rFonts w:ascii="Courier New" w:cs="Courier New" w:eastAsia="Courier New" w:hAnsi="Courier New"/>
          <w:sz w:val="15"/>
          <w:szCs w:val="15"/>
          <w:color w:val="auto"/>
        </w:rPr>
      </w:pPr>
    </w:p>
    <w:p>
      <w:pPr>
        <w:ind w:left="440" w:right="3379" w:firstLine="454"/>
        <w:spacing w:after="0" w:line="244" w:lineRule="auto"/>
        <w:tabs>
          <w:tab w:leader="none" w:pos="125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with financially responsible insurance companies insurance on its tangible assets and its businesses in such amounts and against such risks and losses as are consistent with past practice.</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77" w:lineRule="exact"/>
        <w:rPr>
          <w:sz w:val="20"/>
          <w:szCs w:val="20"/>
          <w:color w:val="auto"/>
        </w:rPr>
      </w:pPr>
    </w:p>
    <w:p>
      <w:pPr>
        <w:ind w:left="440" w:right="3459" w:firstLine="454"/>
        <w:spacing w:after="0" w:line="243" w:lineRule="auto"/>
        <w:tabs>
          <w:tab w:leader="none" w:pos="1251"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their respective businesses in the ordinary and usual course of business and consistent with past practice;</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amend or propose to amend their respective charters or by-laws, (ii) split, combine or reclassify (whether by stock dividend or otherwise) their outstanding capital stock, or (iii) declare, set aside or pay any dividend or distribution payable in cash, stock, property or otherwise, except for the payment of dividends or distributions by a wholly-owned subsidiary of Parent;</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shares of Parent Common Stock, or any options, warrants or rights of any kind to acquire any shares of their capital stock of any class or any debt or equity securities convertible into or exchangeable for such capital stock, except for the issuance and sale of shares issuable upon conversion of convertible securities and exercise of options outstanding on the date hereof;</w:t>
      </w:r>
    </w:p>
    <w:p>
      <w:pPr>
        <w:spacing w:after="0" w:line="177"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w:t>
      </w:r>
    </w:p>
    <w:p>
      <w:pPr>
        <w:spacing w:after="0" w:line="1" w:lineRule="exact"/>
        <w:rPr>
          <w:rFonts w:ascii="Courier New" w:cs="Courier New" w:eastAsia="Courier New" w:hAnsi="Courier New"/>
          <w:sz w:val="15"/>
          <w:szCs w:val="15"/>
          <w:color w:val="auto"/>
        </w:rPr>
      </w:pPr>
    </w:p>
    <w:p>
      <w:pPr>
        <w:ind w:left="440" w:right="3019" w:firstLine="3"/>
        <w:spacing w:after="0" w:line="244" w:lineRule="auto"/>
        <w:tabs>
          <w:tab w:leader="none" w:pos="89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purchase, acquire or offer to purchase or acquire any shares of its capital stock or any options, warrants or rights to acquire any of its capital stock or any security convertible into or exchangeable for its capital stock, (iii) take any action which would jeopardize the treatment of the Merger as a pooling of interests under APB No. 16, (iv) take or fail to take any action which action or failure to take action would cause Parent or its stockholders (except to the extent that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AA-20</w:t>
      </w:r>
    </w:p>
    <w:p>
      <w:pPr>
        <w:sectPr>
          <w:pgSz w:w="11900" w:h="16838" w:orient="portrait"/>
          <w:cols w:equalWidth="0" w:num="1">
            <w:col w:w="10219"/>
          </w:cols>
          <w:pgMar w:left="240" w:top="291"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5"/>
          <w:szCs w:val="15"/>
          <w:color w:val="auto"/>
        </w:rPr>
        <w:t>236</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w:t>
      </w:r>
    </w:p>
    <w:p>
      <w:pPr>
        <w:spacing w:after="0" w:line="4" w:lineRule="exact"/>
        <w:rPr>
          <w:sz w:val="20"/>
          <w:szCs w:val="20"/>
          <w:color w:val="auto"/>
        </w:rPr>
      </w:pPr>
    </w:p>
    <w:p>
      <w:pPr>
        <w:ind w:left="440" w:right="3279" w:firstLine="3"/>
        <w:spacing w:after="0" w:line="243" w:lineRule="auto"/>
        <w:tabs>
          <w:tab w:leader="none" w:pos="98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agreement, commitment or arrangement with respect to any of the foregoing;</w:t>
      </w:r>
    </w:p>
    <w:p>
      <w:pPr>
        <w:spacing w:after="0" w:line="176"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confer on a regular and frequent basis with one or more representatives of the Company to report operational matters of materiality and the general status of ongoing operations;</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Parent and its subsidiaries shall in no event enter into any written employment agreement which provides for an annual base salary in excess of $125,000 and has a term in excess of one year or enter into or amend any severance or termination arrangement;</w:t>
      </w:r>
    </w:p>
    <w:p>
      <w:pPr>
        <w:spacing w:after="0" w:line="178"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w:t>
      </w:r>
    </w:p>
    <w:p>
      <w:pPr>
        <w:spacing w:after="0" w:line="176" w:lineRule="exact"/>
        <w:rPr>
          <w:rFonts w:ascii="Courier New" w:cs="Courier New" w:eastAsia="Courier New" w:hAnsi="Courier New"/>
          <w:sz w:val="15"/>
          <w:szCs w:val="15"/>
          <w:color w:val="auto"/>
        </w:rPr>
      </w:pPr>
    </w:p>
    <w:p>
      <w:pPr>
        <w:ind w:left="440" w:right="3379" w:firstLine="454"/>
        <w:spacing w:after="0" w:line="244" w:lineRule="auto"/>
        <w:tabs>
          <w:tab w:leader="none" w:pos="125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with financially responsible insurance companies insurance on its tangible assets and its businesses in such amounts and against such risks and losses as are consistent with past practice.</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6.5. ACQUISITION TRANSACTIONS.</w:t>
      </w:r>
    </w:p>
    <w:p>
      <w:pPr>
        <w:spacing w:after="0" w:line="178" w:lineRule="exact"/>
        <w:rPr>
          <w:sz w:val="20"/>
          <w:szCs w:val="20"/>
          <w:color w:val="auto"/>
        </w:rPr>
      </w:pPr>
    </w:p>
    <w:p>
      <w:pPr>
        <w:ind w:right="3099" w:firstLine="443"/>
        <w:spacing w:after="0" w:line="244" w:lineRule="auto"/>
        <w:tabs>
          <w:tab w:leader="none" w:pos="81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date hereof and prior to the Effective Time or earlier termination of this Agreement, neither the Company nor Parent shall, and shall not permit any of its subsidiaries to, initiate, solicit, negotiate, encourage or provide confidential information to facilitate, and each of the Company and Parent shall, and shall cause each of its subsidiaries to, (i) cause any officer, director or employee of, or any attorney, accountant or other agent retained by it and (ii) use its reasonable best efforts to cause any financial advisor or investment banker retained by it, not to initiate, solicit, negotiate, encourage or provide non-public or confidential information to facilitate, any proposal or offer to acquire all or any substantial part of the business and properties of the Company or Parent or any capital stock of the Company or Parent, whether by merger, purchase of assets, tender offer or otherwise, whether for cash, securities or any other consideration or combination thereof (any such transactions being referred to herein as "Acquisition Transactions").</w:t>
      </w:r>
    </w:p>
    <w:p>
      <w:pPr>
        <w:spacing w:after="0" w:line="182"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 (a) above, the Company or the Parent may, in response to an unsolicited written proposal with respect to an Acquisition Transaction, which proposal (insofar as it relates to the consideration to be paid to the Company or its stockholders) is not subject to a financing</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AA-21</w:t>
      </w:r>
    </w:p>
    <w:p>
      <w:pPr>
        <w:sectPr>
          <w:pgSz w:w="11900" w:h="16838" w:orient="portrait"/>
          <w:cols w:equalWidth="0" w:num="1">
            <w:col w:w="10219"/>
          </w:cols>
          <w:pgMar w:left="240" w:top="291" w:right="1440" w:bottom="1440" w:gutter="0" w:footer="0" w:header="0"/>
        </w:sectPr>
      </w:pPr>
    </w:p>
    <w:bookmarkStart w:id="243" w:name="page244"/>
    <w:bookmarkEnd w:id="243"/>
    <w:p>
      <w:pPr>
        <w:ind w:left="268"/>
        <w:spacing w:after="0"/>
        <w:rPr>
          <w:sz w:val="20"/>
          <w:szCs w:val="20"/>
          <w:color w:val="auto"/>
        </w:rPr>
      </w:pPr>
      <w:r>
        <w:rPr>
          <w:rFonts w:ascii="Courier New" w:cs="Courier New" w:eastAsia="Courier New" w:hAnsi="Courier New"/>
          <w:sz w:val="15"/>
          <w:szCs w:val="15"/>
          <w:color w:val="auto"/>
        </w:rPr>
        <w:t>237</w:t>
      </w:r>
    </w:p>
    <w:p>
      <w:pPr>
        <w:spacing w:after="0" w:line="178" w:lineRule="exact"/>
        <w:rPr>
          <w:sz w:val="20"/>
          <w:szCs w:val="20"/>
          <w:color w:val="auto"/>
        </w:rPr>
      </w:pPr>
    </w:p>
    <w:p>
      <w:pPr>
        <w:ind w:left="8" w:right="3019"/>
        <w:spacing w:after="0" w:line="263" w:lineRule="auto"/>
        <w:rPr>
          <w:sz w:val="20"/>
          <w:szCs w:val="20"/>
          <w:color w:val="auto"/>
        </w:rPr>
      </w:pPr>
      <w:r>
        <w:rPr>
          <w:rFonts w:ascii="Courier New" w:cs="Courier New" w:eastAsia="Courier New" w:hAnsi="Courier New"/>
          <w:sz w:val="14"/>
          <w:szCs w:val="14"/>
          <w:color w:val="auto"/>
        </w:rPr>
        <w:t>condition, furnish (subject to a confidentiality agreement reasonably acceptable to the Company and Parent) confidential or non-public information concerning its business, properties or assets to a financially capable corporation, partnership, person or other entity or group (a "Potential Acquirer") or negotiate with such Potential Acquirer if (i) the Company or the Parent, as the case may be, shall have given not less than five business days' advance written notice of its intention to do so to the other party, (ii) the board of directors of the Company or the Parent, as the case may be, is advised by one or more of its independent financial advisors that providing confidential or non-public information to the Potential Acquirer is likely to lead to an Acquisition Transaction on terms that would yield a materially higher value to the Company's or the Parent's stockholders, as the case may be, than the Merger and (iii) based upon advice of its independent legal counsel, its board of directors determines in good faith that there is a significant risk that the failure to provide such confidential or non-public information to such Potential Acquirer would constitute a breach of its fiduciary duty to its stockholders.</w:t>
      </w:r>
    </w:p>
    <w:p>
      <w:pPr>
        <w:spacing w:after="0" w:line="341" w:lineRule="exact"/>
        <w:rPr>
          <w:sz w:val="20"/>
          <w:szCs w:val="20"/>
          <w:color w:val="auto"/>
        </w:rPr>
      </w:pPr>
    </w:p>
    <w:p>
      <w:pPr>
        <w:ind w:left="8" w:right="3099" w:firstLine="443"/>
        <w:spacing w:after="0" w:line="244" w:lineRule="auto"/>
        <w:tabs>
          <w:tab w:leader="none" w:pos="819"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either party hereto shall determine to provide any information or negotiate as described in paragraph (b) above, or shall receive any offer of the type referred to in paragraph (b) above, it shall promptly inform the other party hereto that information is to be provided, that negotiations are to take place or that an offer has been received and shall furnish to the other party hereto the identity of the person receiving such information or the proponent of such offer, if applicable, and, if an offer has been received, a description of the material terms thereof.</w:t>
      </w:r>
    </w:p>
    <w:p>
      <w:pPr>
        <w:spacing w:after="0" w:line="178" w:lineRule="exact"/>
        <w:rPr>
          <w:rFonts w:ascii="Courier New" w:cs="Courier New" w:eastAsia="Courier New" w:hAnsi="Courier New"/>
          <w:sz w:val="15"/>
          <w:szCs w:val="15"/>
          <w:color w:val="auto"/>
        </w:rPr>
      </w:pPr>
    </w:p>
    <w:p>
      <w:pPr>
        <w:ind w:left="8" w:right="3019" w:firstLine="443"/>
        <w:spacing w:after="0" w:line="262" w:lineRule="auto"/>
        <w:tabs>
          <w:tab w:leader="none" w:pos="819"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party hereto may enter into a definitive agreement for an Acquisition Transaction which meets the requirements set forth above with a Potential Acquirer with which it is permitted to negotiate pursuant to paragraph (b) above, but only if (i) the board of directors of such party shall have duly determined that such Acquisition Transaction would yield a materially higher value to such party's stockholders than the Merger and that the execution of such definitive agreement is in the best interests of such party's stockholders,</w:t>
      </w:r>
    </w:p>
    <w:p>
      <w:pPr>
        <w:spacing w:after="0" w:line="1" w:lineRule="exact"/>
        <w:rPr>
          <w:rFonts w:ascii="Courier New" w:cs="Courier New" w:eastAsia="Courier New" w:hAnsi="Courier New"/>
          <w:sz w:val="14"/>
          <w:szCs w:val="14"/>
          <w:color w:val="auto"/>
        </w:rPr>
      </w:pPr>
    </w:p>
    <w:p>
      <w:pPr>
        <w:ind w:left="8" w:right="3019" w:hanging="8"/>
        <w:spacing w:after="0" w:line="263" w:lineRule="auto"/>
        <w:tabs>
          <w:tab w:leader="none" w:pos="45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ten business days prior to the execution of such definitive agreement, such party shall have furnished the other party hereto with a copy of such definitive agreement and (iii) such other party shall have failed within such ten-day period to offer to amend the terms of this Agreement in order that the Merger would yield a value to such party's stockholders at least equal to the Acquisition Transaction. In making the determination required by clause (i) above, the board of directors referred to therein shall consider all relevant considerations and factors, including, without limitation, the form and value of the consideration, the extent to which the economic benefits of the Acquisition Transaction differ from the economic benefits contemplated by this Agreement, the likelihood that the Potential Acquirer will be able to obtain financing to consummate the Acquisition Transaction, the proposed closing date, the certainty of consummation, antitrust issues and closing conditions.</w:t>
      </w:r>
    </w:p>
    <w:p>
      <w:pPr>
        <w:spacing w:after="0" w:line="167" w:lineRule="exact"/>
        <w:rPr>
          <w:rFonts w:ascii="Courier New" w:cs="Courier New" w:eastAsia="Courier New" w:hAnsi="Courier New"/>
          <w:sz w:val="14"/>
          <w:szCs w:val="14"/>
          <w:color w:val="auto"/>
        </w:rPr>
      </w:pPr>
    </w:p>
    <w:p>
      <w:pPr>
        <w:ind w:left="8" w:right="3019" w:firstLine="443"/>
        <w:spacing w:after="0" w:line="244" w:lineRule="auto"/>
        <w:tabs>
          <w:tab w:leader="none" w:pos="81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(i) acknowledges that a breach of any of its covenants contained in this Section 6.5 will result in irreparable harm to the other party which will not be compensable in money damages and (ii) agrees that such covenant shall be specifically enforceable and that specific performance and injunctive relief shall be a remedy properly available to the other party for a breach of such covenant.</w:t>
      </w:r>
    </w:p>
    <w:p>
      <w:pPr>
        <w:spacing w:after="0" w:line="176"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ARTICLE VII</w:t>
      </w:r>
    </w:p>
    <w:p>
      <w:pPr>
        <w:spacing w:after="0" w:line="177"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ADDITIONAL AGREEMENTS</w:t>
      </w:r>
    </w:p>
    <w:p>
      <w:pPr>
        <w:spacing w:after="0" w:line="178"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or which may have a material effect on their respective businesses, properties or personnel and (ii) such other information concerning their</w:t>
      </w:r>
    </w:p>
    <w:p>
      <w:pPr>
        <w:spacing w:after="0" w:line="341"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AA-22</w:t>
      </w:r>
    </w:p>
    <w:p>
      <w:pPr>
        <w:sectPr>
          <w:pgSz w:w="11900" w:h="16838" w:orient="portrait"/>
          <w:cols w:equalWidth="0" w:num="1">
            <w:col w:w="10227"/>
          </w:cols>
          <w:pgMar w:left="232" w:top="291"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5"/>
          <w:szCs w:val="15"/>
          <w:color w:val="auto"/>
        </w:rPr>
        <w:t>238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respective businesses, properties and personnel as Parent or Subsidiary or the Company, as the case may be, shall reasonably request; provided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184" w:lineRule="exact"/>
        <w:rPr>
          <w:sz w:val="20"/>
          <w:szCs w:val="20"/>
          <w:color w:val="auto"/>
        </w:rPr>
      </w:pPr>
    </w:p>
    <w:p>
      <w:pPr>
        <w:ind w:right="3019" w:firstLine="443"/>
        <w:spacing w:after="0" w:line="244" w:lineRule="auto"/>
        <w:tabs>
          <w:tab w:leader="none" w:pos="81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180"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results of operations or prospects of the Company and its subsidiaries or Parent and its subsidiaries, as the case may be, taken as a whole.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be true and correct in all material respects without omission of any material fact which is required to make such information not false or misleading as of the date thereof and in light of the circumstances under which given or made.</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7.3. STOCKHOLDERS' APPROVALS.</w:t>
      </w:r>
    </w:p>
    <w:p>
      <w:pPr>
        <w:spacing w:after="0" w:line="178" w:lineRule="exact"/>
        <w:rPr>
          <w:sz w:val="20"/>
          <w:szCs w:val="20"/>
          <w:color w:val="auto"/>
        </w:rPr>
      </w:pPr>
    </w:p>
    <w:p>
      <w:pPr>
        <w:ind w:right="3019" w:firstLine="443"/>
        <w:spacing w:after="0" w:line="244" w:lineRule="auto"/>
        <w:tabs>
          <w:tab w:leader="none" w:pos="81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 The Company (i) acknowledges that a breach of its covenant contained in this Section 7.3(a) to convene a meeting of its stockholders and call for a vote thereat with respect to the approval of this Agreement and the Merger will result in irreparable harm to Parent which will not be compensable in money damages and (ii) agrees that such covenant shall be specifically enforceable and that specific performance and injunctive relief shall be a remedy properly available to Parent for a breach of such covenant.</w:t>
      </w:r>
    </w:p>
    <w:p>
      <w:pPr>
        <w:spacing w:after="0" w:line="1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AA-23</w:t>
      </w:r>
    </w:p>
    <w:p>
      <w:pPr>
        <w:sectPr>
          <w:pgSz w:w="11900" w:h="16838" w:orient="portrait"/>
          <w:cols w:equalWidth="0" w:num="1">
            <w:col w:w="10219"/>
          </w:cols>
          <w:pgMar w:left="240" w:top="291" w:right="1440" w:bottom="1440" w:gutter="0" w:footer="0" w:header="0"/>
        </w:sectPr>
      </w:pPr>
    </w:p>
    <w:bookmarkStart w:id="245" w:name="page246"/>
    <w:bookmarkEnd w:id="245"/>
    <w:p>
      <w:pPr>
        <w:ind w:left="268"/>
        <w:spacing w:after="0"/>
        <w:rPr>
          <w:sz w:val="20"/>
          <w:szCs w:val="20"/>
          <w:color w:val="auto"/>
        </w:rPr>
      </w:pPr>
      <w:r>
        <w:rPr>
          <w:rFonts w:ascii="Courier New" w:cs="Courier New" w:eastAsia="Courier New" w:hAnsi="Courier New"/>
          <w:sz w:val="15"/>
          <w:szCs w:val="15"/>
          <w:color w:val="auto"/>
        </w:rPr>
        <w:t>239</w:t>
      </w:r>
    </w:p>
    <w:p>
      <w:pPr>
        <w:spacing w:after="0" w:line="178" w:lineRule="exact"/>
        <w:rPr>
          <w:sz w:val="20"/>
          <w:szCs w:val="20"/>
          <w:color w:val="auto"/>
        </w:rPr>
      </w:pPr>
    </w:p>
    <w:p>
      <w:pPr>
        <w:ind w:left="8" w:right="3019" w:firstLine="443"/>
        <w:spacing w:after="0" w:line="262" w:lineRule="auto"/>
        <w:tabs>
          <w:tab w:leader="none" w:pos="819"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but subject to the fiduciary duties of the members thereof,</w:t>
      </w:r>
    </w:p>
    <w:p>
      <w:pPr>
        <w:spacing w:after="0" w:line="2" w:lineRule="exact"/>
        <w:rPr>
          <w:rFonts w:ascii="Courier New" w:cs="Courier New" w:eastAsia="Courier New" w:hAnsi="Courier New"/>
          <w:sz w:val="14"/>
          <w:szCs w:val="14"/>
          <w:color w:val="auto"/>
        </w:rPr>
      </w:pPr>
    </w:p>
    <w:p>
      <w:pPr>
        <w:ind w:left="8" w:right="3019" w:hanging="8"/>
        <w:spacing w:after="0" w:line="244" w:lineRule="auto"/>
        <w:tabs>
          <w:tab w:leader="none" w:pos="36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 Parent (i) acknowledges that a breach of its covenant contained in this Section 7.3(b) to convene a meeting of its stockholders and call for a vote thereat with respect to the approval of this Agreement and the Merger will result in irreparable harm to the Company which will not be compensable in money damages and (ii) agrees that such covenant shall be specifically enforceable and that specific performance and injunctive relief shall be a remedy properly available to the Company for a breach of such covenant.</w:t>
      </w:r>
    </w:p>
    <w:p>
      <w:pPr>
        <w:spacing w:after="0" w:line="182"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68" w:lineRule="exact"/>
        <w:rPr>
          <w:sz w:val="20"/>
          <w:szCs w:val="20"/>
          <w:color w:val="auto"/>
        </w:rPr>
      </w:pPr>
    </w:p>
    <w:p>
      <w:pPr>
        <w:jc w:val="both"/>
        <w:ind w:left="8" w:right="3019" w:firstLine="451"/>
        <w:spacing w:after="0" w:line="267" w:lineRule="auto"/>
        <w:rPr>
          <w:sz w:val="20"/>
          <w:szCs w:val="20"/>
          <w:color w:val="auto"/>
        </w:rPr>
      </w:pPr>
      <w:r>
        <w:rPr>
          <w:rFonts w:ascii="Courier New" w:cs="Courier New" w:eastAsia="Courier New" w:hAnsi="Courier New"/>
          <w:sz w:val="14"/>
          <w:szCs w:val="14"/>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w:t>
      </w:r>
    </w:p>
    <w:p>
      <w:pPr>
        <w:spacing w:after="0" w:line="16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SECTION 7.6. EXPENSES AND FEES.</w:t>
      </w:r>
    </w:p>
    <w:p>
      <w:pPr>
        <w:spacing w:after="0" w:line="178" w:lineRule="exact"/>
        <w:rPr>
          <w:sz w:val="20"/>
          <w:szCs w:val="20"/>
          <w:color w:val="auto"/>
        </w:rPr>
      </w:pPr>
    </w:p>
    <w:p>
      <w:pPr>
        <w:ind w:left="8" w:right="3199" w:firstLine="443"/>
        <w:spacing w:after="0" w:line="244" w:lineRule="auto"/>
        <w:tabs>
          <w:tab w:leader="none" w:pos="81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7.6(b) or Section 7.6(c), all costs and expenses incurred in connection with this Agreement and the transactions contemplated hereby shall be paid by the party incurring such expenses, except that those expenses incurred in connection with printing the Joint Proxy Statement/Prospectus shall be shared equally by Parent and the Company.</w:t>
      </w:r>
    </w:p>
    <w:p>
      <w:pPr>
        <w:spacing w:after="0" w:line="176" w:lineRule="exact"/>
        <w:rPr>
          <w:rFonts w:ascii="Courier New" w:cs="Courier New" w:eastAsia="Courier New" w:hAnsi="Courier New"/>
          <w:sz w:val="15"/>
          <w:szCs w:val="15"/>
          <w:color w:val="auto"/>
        </w:rPr>
      </w:pPr>
    </w:p>
    <w:p>
      <w:pPr>
        <w:ind w:left="8" w:right="3019" w:firstLine="443"/>
        <w:spacing w:after="0" w:line="244" w:lineRule="auto"/>
        <w:tabs>
          <w:tab w:leader="none" w:pos="81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pay to Parent a fee equal to $28,000,000 plus the reasonable out-of-pocket expenses incurred by Parent in connection with this Agreement and the transactions contemplated hereby:</w:t>
      </w:r>
    </w:p>
    <w:p>
      <w:pPr>
        <w:spacing w:after="0" w:line="175" w:lineRule="exact"/>
        <w:rPr>
          <w:rFonts w:ascii="Courier New" w:cs="Courier New" w:eastAsia="Courier New" w:hAnsi="Courier New"/>
          <w:sz w:val="15"/>
          <w:szCs w:val="15"/>
          <w:color w:val="auto"/>
        </w:rPr>
      </w:pPr>
    </w:p>
    <w:p>
      <w:pPr>
        <w:ind w:left="448" w:right="3019" w:firstLine="454"/>
        <w:spacing w:after="0" w:line="243" w:lineRule="auto"/>
        <w:tabs>
          <w:tab w:leader="none" w:pos="1259"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terminates this Agreement pursuant to clause (v) or (vi) of Section 9.1(a);</w:t>
      </w:r>
    </w:p>
    <w:p>
      <w:pPr>
        <w:spacing w:after="0" w:line="176" w:lineRule="exact"/>
        <w:rPr>
          <w:rFonts w:ascii="Courier New" w:cs="Courier New" w:eastAsia="Courier New" w:hAnsi="Courier New"/>
          <w:sz w:val="15"/>
          <w:szCs w:val="15"/>
          <w:color w:val="auto"/>
        </w:rPr>
      </w:pPr>
    </w:p>
    <w:p>
      <w:pPr>
        <w:ind w:left="448" w:right="3199" w:firstLine="454"/>
        <w:spacing w:after="0" w:line="244" w:lineRule="auto"/>
        <w:tabs>
          <w:tab w:leader="none" w:pos="1349"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either the Company terminates this Agreement pursuant to clause (i) or (ii) of Section 9.1(a) or Parent terminates this Agreement pursuant to clause (vii) of Section 9.1(b) and (B) one or more of the following events shall occur prior to one year after such termination:</w:t>
      </w:r>
    </w:p>
    <w:p>
      <w:pPr>
        <w:spacing w:after="0" w:line="175" w:lineRule="exact"/>
        <w:rPr>
          <w:rFonts w:ascii="Courier New" w:cs="Courier New" w:eastAsia="Courier New" w:hAnsi="Courier New"/>
          <w:sz w:val="15"/>
          <w:szCs w:val="15"/>
          <w:color w:val="auto"/>
        </w:rPr>
      </w:pPr>
    </w:p>
    <w:p>
      <w:pPr>
        <w:ind w:left="728" w:right="3019" w:firstLine="445"/>
        <w:spacing w:after="0" w:line="244" w:lineRule="auto"/>
        <w:tabs>
          <w:tab w:leader="none" w:pos="1539"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acquired by merger or otherwise by another person under terms which provide for the Company and/or its stockholders to receive consideration having a fair value on the date of the first public announcement of such merger or other acquisition transaction equal to or greater than that provided in Section 3.1(a) of this Agreement;</w:t>
      </w:r>
    </w:p>
    <w:p>
      <w:pPr>
        <w:spacing w:after="0" w:line="177" w:lineRule="exact"/>
        <w:rPr>
          <w:rFonts w:ascii="Courier New" w:cs="Courier New" w:eastAsia="Courier New" w:hAnsi="Courier New"/>
          <w:sz w:val="15"/>
          <w:szCs w:val="15"/>
          <w:color w:val="auto"/>
        </w:rPr>
      </w:pPr>
    </w:p>
    <w:p>
      <w:pPr>
        <w:ind w:left="728" w:right="3199" w:firstLine="445"/>
        <w:spacing w:after="0" w:line="244" w:lineRule="auto"/>
        <w:tabs>
          <w:tab w:leader="none" w:pos="1539" w:val="left"/>
        </w:tabs>
        <w:numPr>
          <w:ilvl w:val="2"/>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enters into a merger or other agreement which contemplates the acquisition of the Company by another person under terms which provide for the Company and/or its stockholders to receive consideration having a fair value on the date of the first public announcement</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AA-24</w:t>
      </w:r>
    </w:p>
    <w:p>
      <w:pPr>
        <w:sectPr>
          <w:pgSz w:w="11900" w:h="16838" w:orient="portrait"/>
          <w:cols w:equalWidth="0" w:num="1">
            <w:col w:w="10227"/>
          </w:cols>
          <w:pgMar w:left="232" w:top="291"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5"/>
          <w:szCs w:val="15"/>
          <w:color w:val="auto"/>
        </w:rPr>
        <w:t>240</w:t>
      </w:r>
    </w:p>
    <w:p>
      <w:pPr>
        <w:spacing w:after="0" w:line="178" w:lineRule="exact"/>
        <w:rPr>
          <w:sz w:val="20"/>
          <w:szCs w:val="20"/>
          <w:color w:val="auto"/>
        </w:rPr>
      </w:pPr>
    </w:p>
    <w:p>
      <w:pPr>
        <w:ind w:left="720" w:right="3019"/>
        <w:spacing w:after="0" w:line="243" w:lineRule="auto"/>
        <w:rPr>
          <w:sz w:val="20"/>
          <w:szCs w:val="20"/>
          <w:color w:val="auto"/>
        </w:rPr>
      </w:pPr>
      <w:r>
        <w:rPr>
          <w:rFonts w:ascii="Courier New" w:cs="Courier New" w:eastAsia="Courier New" w:hAnsi="Courier New"/>
          <w:sz w:val="15"/>
          <w:szCs w:val="15"/>
          <w:color w:val="auto"/>
        </w:rPr>
        <w:t>of such merger or other agreement equal to or greater than that provided in Section 3.1(a) of this Agreement;</w:t>
      </w:r>
    </w:p>
    <w:p>
      <w:pPr>
        <w:spacing w:after="0" w:line="176" w:lineRule="exact"/>
        <w:rPr>
          <w:sz w:val="20"/>
          <w:szCs w:val="20"/>
          <w:color w:val="auto"/>
        </w:rPr>
      </w:pPr>
    </w:p>
    <w:p>
      <w:pPr>
        <w:ind w:left="720" w:right="3019" w:firstLine="445"/>
        <w:spacing w:after="0" w:line="244" w:lineRule="auto"/>
        <w:tabs>
          <w:tab w:leader="none" w:pos="1531"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another person acquires or becomes the beneficial owner of more than 50% of the outstanding shares of Company Common Stock for consideration having a fair value on the date of such acquisition greater than that provided in Section 3.1(a) of this Agreement;</w:t>
      </w:r>
    </w:p>
    <w:p>
      <w:pPr>
        <w:spacing w:after="0" w:line="175" w:lineRule="exact"/>
        <w:rPr>
          <w:rFonts w:ascii="Courier New" w:cs="Courier New" w:eastAsia="Courier New" w:hAnsi="Courier New"/>
          <w:sz w:val="15"/>
          <w:szCs w:val="15"/>
          <w:color w:val="auto"/>
        </w:rPr>
      </w:pPr>
    </w:p>
    <w:p>
      <w:pPr>
        <w:ind w:left="720" w:right="3019" w:firstLine="445"/>
        <w:spacing w:after="0" w:line="266" w:lineRule="auto"/>
        <w:tabs>
          <w:tab w:leader="none" w:pos="1531"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another person acquires all or any substantial portion of the Company's assets under terms which provide for the Company and/or its stockholders to receive consideration having a fair value on the date of the first public announcement of such acquisition transaction equal to or greater than that provided in Section 3.1(a) of this Agreement; or</w:t>
      </w:r>
    </w:p>
    <w:p>
      <w:pPr>
        <w:spacing w:after="0" w:line="161" w:lineRule="exact"/>
        <w:rPr>
          <w:rFonts w:ascii="Courier New" w:cs="Courier New" w:eastAsia="Courier New" w:hAnsi="Courier New"/>
          <w:sz w:val="14"/>
          <w:szCs w:val="14"/>
          <w:color w:val="auto"/>
        </w:rPr>
      </w:pPr>
    </w:p>
    <w:p>
      <w:pPr>
        <w:ind w:left="720" w:right="3099" w:firstLine="445"/>
        <w:spacing w:after="0" w:line="244" w:lineRule="auto"/>
        <w:tabs>
          <w:tab w:leader="none" w:pos="1531"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adopts a plan of liquidation relating to all or a substantial portion of its assets or declares a distribution to its stockholders of all or a substantial portion of its assets and in connection therewith the stockholders receive consideration having a fair value on the date of the first public announcement of such plan of liquidation or dividend declaration equal to or greater than that provided in Section 3.1(a) of this Agreement.</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agrees to pay to the Company a fee equal to $21,000,000 plus the reasonable out-of-pocket expenses incurred by the Company in connection with this Agreement and the transactions contemplated hereby if Parent terminates this Agreement pursuant to clause (v) or (vi) of Section 9.1(b).</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7.7. AGREEMENT TO COOPERATE.</w:t>
      </w:r>
    </w:p>
    <w:p>
      <w:pPr>
        <w:spacing w:after="0" w:line="178" w:lineRule="exact"/>
        <w:rPr>
          <w:sz w:val="20"/>
          <w:szCs w:val="20"/>
          <w:color w:val="auto"/>
        </w:rPr>
      </w:pPr>
    </w:p>
    <w:p>
      <w:pPr>
        <w:ind w:right="3019" w:firstLine="443"/>
        <w:spacing w:after="0" w:line="244" w:lineRule="auto"/>
        <w:tabs>
          <w:tab w:leader="none" w:pos="81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herein provided,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 subject, however, to the requisite votes of the stockholders and boards of directors of the Company and Parent.</w:t>
      </w:r>
    </w:p>
    <w:p>
      <w:pPr>
        <w:spacing w:after="0" w:line="180"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of the foregoing, each of Parent and the Company undertakes and agrees to file as soon as practicable after the date hereof a Notification and Report Form under the HSR Act with the Federal Trade Commission (the "FTC") and the Antitrust Division of the Department of Justice (the "Antitrust Division"). Each of Parent and the Company shall (i) use its reasonable efforts to comply as expeditiously as possible with all lawful requests of the FTC or the Antitrust Division for additional information and documents and (ii) not extend any waiting period under the HSR Act or enter into any agreement with the FTC or the Antitrust Division not to consummate the transactions contemplated by this Agreement, except with the prior consent of the other parties hereto.</w:t>
      </w:r>
    </w:p>
    <w:p>
      <w:pPr>
        <w:spacing w:after="0" w:line="180"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176" w:lineRule="exact"/>
        <w:rPr>
          <w:rFonts w:ascii="Courier New" w:cs="Courier New" w:eastAsia="Courier New" w:hAnsi="Courier New"/>
          <w:sz w:val="15"/>
          <w:szCs w:val="15"/>
          <w:color w:val="auto"/>
        </w:rPr>
      </w:pPr>
    </w:p>
    <w:p>
      <w:pPr>
        <w:ind w:right="3019" w:firstLine="443"/>
        <w:spacing w:after="0" w:line="243" w:lineRule="auto"/>
        <w:tabs>
          <w:tab w:leader="none" w:pos="81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Parent approve that certain financing plan set forth in the letter agreement between the Company and Parent dated December 19, 1994.</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7.9. OPTION PLANS. Prior to the Effective Time, the Company and Parent shall take such action as may be necessary to cause each unexpired and unexercised option (each a "Company Option") to be automatically converted at the Effective Time into an option (each a "Parent Option") to purchase a number of shares of Parent Common Stock equal to the number of shares of Company Common Stock that could</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AA-25</w:t>
      </w:r>
    </w:p>
    <w:p>
      <w:pPr>
        <w:sectPr>
          <w:pgSz w:w="11900" w:h="16838" w:orient="portrait"/>
          <w:cols w:equalWidth="0" w:num="1">
            <w:col w:w="10219"/>
          </w:cols>
          <w:pgMar w:left="240" w:top="291"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241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have been purchased under the Company Option multiplied by the Exchange Ratio, at a price per share of Parent Common Stock equal to the option exercise price determined pursuant to the Company Option divided by the Exchange Ratio and subject to the same terms and conditions as the Company Option. The date of grant of the substituted Parent Option shall be the date on which the corresponding Company Option was granted.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to cover the additional shares of Parent Common Stock subject to Parent Options granted in replacement of Company Options.</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7.10. EMPLOYEE BENEFITS. Parent acknowledges its intention, after the Effective Time, that employees of the Company who continue after the Merger shall be provided with benefits which are no less favorable than those provided by Parent to its own employees.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7.11.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7.11 shall not limit or otherwise affect the remedies available hereunder to the party receiving such notice.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7.12. DIRECTORS' AND OFFICERS' INDEMNIFICATION.</w:t>
      </w:r>
    </w:p>
    <w:p>
      <w:pPr>
        <w:spacing w:after="0" w:line="178" w:lineRule="exact"/>
        <w:rPr>
          <w:sz w:val="20"/>
          <w:szCs w:val="20"/>
          <w:color w:val="auto"/>
        </w:rPr>
      </w:pPr>
    </w:p>
    <w:p>
      <w:pPr>
        <w:ind w:right="3019" w:firstLine="443"/>
        <w:spacing w:after="0" w:line="244" w:lineRule="auto"/>
        <w:tabs>
          <w:tab w:leader="none" w:pos="81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(ii) the Parent and the Surviving Corporation will cooperate in the defense of any such matter, and (iii) any determination required to be made with respect to whether an indemnified Party's conduct complies with the standards set forth under the DGCL and the Parent's or the Surviving Corporation's respective Certificates of Incorporation or By-Laws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w:t>
      </w:r>
    </w:p>
    <w:p>
      <w:pPr>
        <w:spacing w:after="0" w:line="191"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7.12.</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AA-26</w:t>
      </w:r>
    </w:p>
    <w:p>
      <w:pPr>
        <w:sectPr>
          <w:pgSz w:w="11900" w:h="16838" w:orient="portrait"/>
          <w:cols w:equalWidth="0" w:num="1">
            <w:col w:w="10219"/>
          </w:cols>
          <w:pgMar w:left="240" w:top="291"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5"/>
          <w:szCs w:val="15"/>
          <w:color w:val="auto"/>
        </w:rPr>
        <w:t>242</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7.13.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8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VIII</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CONDITIONS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5" w:lineRule="exact"/>
        <w:rPr>
          <w:sz w:val="20"/>
          <w:szCs w:val="20"/>
          <w:color w:val="auto"/>
        </w:rPr>
      </w:pPr>
    </w:p>
    <w:p>
      <w:pPr>
        <w:ind w:left="440" w:right="3019" w:firstLine="454"/>
        <w:spacing w:after="0" w:line="244" w:lineRule="auto"/>
        <w:tabs>
          <w:tab w:leader="none" w:pos="125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175" w:lineRule="exact"/>
        <w:rPr>
          <w:rFonts w:ascii="Courier New" w:cs="Courier New" w:eastAsia="Courier New" w:hAnsi="Courier New"/>
          <w:sz w:val="15"/>
          <w:szCs w:val="15"/>
          <w:color w:val="auto"/>
        </w:rPr>
      </w:pPr>
    </w:p>
    <w:p>
      <w:pPr>
        <w:ind w:left="440" w:right="3379" w:firstLine="454"/>
        <w:spacing w:after="0" w:line="244" w:lineRule="auto"/>
        <w:tabs>
          <w:tab w:leader="none" w:pos="125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issuable in the Merger shall have been authorized for listing on the NYSE upon official notice of issuance;</w:t>
      </w:r>
    </w:p>
    <w:p>
      <w:pPr>
        <w:spacing w:after="0" w:line="175" w:lineRule="exact"/>
        <w:rPr>
          <w:rFonts w:ascii="Courier New" w:cs="Courier New" w:eastAsia="Courier New" w:hAnsi="Courier New"/>
          <w:sz w:val="15"/>
          <w:szCs w:val="15"/>
          <w:color w:val="auto"/>
        </w:rPr>
      </w:pPr>
    </w:p>
    <w:p>
      <w:pPr>
        <w:ind w:left="440" w:right="3279" w:firstLine="454"/>
        <w:spacing w:after="0" w:line="243" w:lineRule="auto"/>
        <w:tabs>
          <w:tab w:leader="none" w:pos="125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consummation of the Merger under the HSR Act shall have expired or been terminated;</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 and</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Coopers &amp; Lybrand, certified public accountants for Parent, shall have delivered a letter, dated the Closing Date, addressed to Parent, in form and substance reasonably satisfactory to Parent and the Company, stating that the Merger will qualify as a pooling of interests transaction under APB No. 16.</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176" w:lineRule="exact"/>
        <w:rPr>
          <w:sz w:val="20"/>
          <w:szCs w:val="20"/>
          <w:color w:val="auto"/>
        </w:rPr>
      </w:pPr>
    </w:p>
    <w:p>
      <w:pPr>
        <w:ind w:left="440" w:right="3019" w:firstLine="454"/>
        <w:spacing w:after="0" w:line="244" w:lineRule="auto"/>
        <w:tabs>
          <w:tab w:leader="none" w:pos="125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on and as of the Closing Date as if made at and as of such date, and the Company shall have received a certificate of the Chairman of the Board and Chief Executive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AA-27</w:t>
      </w:r>
    </w:p>
    <w:p>
      <w:pPr>
        <w:sectPr>
          <w:pgSz w:w="11900" w:h="16838" w:orient="portrait"/>
          <w:cols w:equalWidth="0" w:num="1">
            <w:col w:w="10219"/>
          </w:cols>
          <w:pgMar w:left="240" w:top="291"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243</w:t>
      </w:r>
    </w:p>
    <w:p>
      <w:pPr>
        <w:spacing w:after="0" w:line="178" w:lineRule="exact"/>
        <w:rPr>
          <w:sz w:val="20"/>
          <w:szCs w:val="20"/>
          <w:color w:val="auto"/>
        </w:rPr>
      </w:pPr>
    </w:p>
    <w:p>
      <w:pPr>
        <w:ind w:left="440" w:right="3199"/>
        <w:spacing w:after="0" w:line="244" w:lineRule="auto"/>
        <w:rPr>
          <w:sz w:val="20"/>
          <w:szCs w:val="20"/>
          <w:color w:val="auto"/>
        </w:rPr>
      </w:pPr>
      <w:r>
        <w:rPr>
          <w:rFonts w:ascii="Courier New" w:cs="Courier New" w:eastAsia="Courier New" w:hAnsi="Courier New"/>
          <w:sz w:val="15"/>
          <w:szCs w:val="15"/>
          <w:color w:val="auto"/>
        </w:rPr>
        <w:t>Officer, the President or a Vice President of Parent and of the President and Chief Executive Officer or a Vice President of Subsidiary to that effect;</w:t>
      </w:r>
    </w:p>
    <w:p>
      <w:pPr>
        <w:spacing w:after="0" w:line="175" w:lineRule="exact"/>
        <w:rPr>
          <w:sz w:val="20"/>
          <w:szCs w:val="20"/>
          <w:color w:val="auto"/>
        </w:rPr>
      </w:pPr>
    </w:p>
    <w:p>
      <w:pPr>
        <w:ind w:left="440" w:right="3019" w:firstLine="454"/>
        <w:spacing w:after="0" w:line="244" w:lineRule="auto"/>
        <w:tabs>
          <w:tab w:leader="none" w:pos="125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of Sullivan &amp; Cromwell and/or Thorp, Reed &amp; Armstrong,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177" w:lineRule="exact"/>
        <w:rPr>
          <w:rFonts w:ascii="Courier New" w:cs="Courier New" w:eastAsia="Courier New" w:hAnsi="Courier New"/>
          <w:sz w:val="15"/>
          <w:szCs w:val="15"/>
          <w:color w:val="auto"/>
        </w:rPr>
      </w:pPr>
    </w:p>
    <w:p>
      <w:pPr>
        <w:ind w:left="1260" w:hanging="366"/>
        <w:spacing w:after="0"/>
        <w:tabs>
          <w:tab w:leader="none" w:pos="126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or opinions from Snell</w:t>
      </w:r>
    </w:p>
    <w:p>
      <w:pPr>
        <w:spacing w:after="0" w:line="4" w:lineRule="exact"/>
        <w:rPr>
          <w:rFonts w:ascii="Courier New" w:cs="Courier New" w:eastAsia="Courier New" w:hAnsi="Courier New"/>
          <w:sz w:val="15"/>
          <w:szCs w:val="15"/>
          <w:color w:val="auto"/>
        </w:rPr>
      </w:pPr>
    </w:p>
    <w:p>
      <w:pPr>
        <w:ind w:left="440" w:right="3019" w:firstLine="3"/>
        <w:spacing w:after="0" w:line="244" w:lineRule="auto"/>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and/or Andrews &amp; Kurth L.L.P., special counsel to Parent and Subsidiary, dated the Closing Date, reasonably satisfactory to the Company and covering the due incorporation of Parent and Subsidiary, the binding nature of this Agreement, the effectiveness of the Merger, the validity of the Parent Common Stock to be issued in connection with the Merger and such other matters as may be reasonably requested by the Company;</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"comfort" letters in customary form from Coopers &amp; Lybrand, certified public accountants for Parent and Subsidiary, dated the date of the Proxy Statement, the effective date of the Registration Statement and the Closing Date (or such other date reasonably acceptable to the Company) with respect to certain financial statements and other financial information included in the Registration Statement and any subsequent changes in specified balance sheet and income statement items, including total assets, working capital, total stockholders' equity, total revenues and the total and per share amounts of net income;</w:t>
      </w:r>
    </w:p>
    <w:p>
      <w:pPr>
        <w:spacing w:after="0" w:line="179"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shall have occurred which have resulted in or constitute, a material adverse change in the business, operations, properties, assets, condition (financial or other), results of operations or prospects of Parent and its subsidiaries, taken as a whole;</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 and</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from J.P. Morgan Securities Inc. (or other nationally recognized investment banking firm reasonably acceptable to Parent) an opinion, dated as of the date on which the Joint Proxy Statement/Prospectus is first distributed to the stockholders of the Company, to the effect that the consideration to be received by the stockholders of the Company in the Merger is fair, from a financial point of view, to the holders of Company Common Stock, and such opinion shall not have been withdrawn.</w:t>
      </w:r>
    </w:p>
    <w:p>
      <w:pPr>
        <w:spacing w:after="0" w:line="178" w:lineRule="exact"/>
        <w:rPr>
          <w:sz w:val="20"/>
          <w:szCs w:val="20"/>
          <w:color w:val="auto"/>
        </w:rPr>
      </w:pPr>
    </w:p>
    <w:p>
      <w:pPr>
        <w:ind w:right="3199" w:firstLine="451"/>
        <w:spacing w:after="0" w:line="267" w:lineRule="auto"/>
        <w:rPr>
          <w:sz w:val="20"/>
          <w:szCs w:val="20"/>
          <w:color w:val="auto"/>
        </w:rPr>
      </w:pPr>
      <w:r>
        <w:rPr>
          <w:rFonts w:ascii="Courier New" w:cs="Courier New" w:eastAsia="Courier New" w:hAnsi="Courier New"/>
          <w:sz w:val="14"/>
          <w:szCs w:val="14"/>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61" w:lineRule="exact"/>
        <w:rPr>
          <w:sz w:val="20"/>
          <w:szCs w:val="20"/>
          <w:color w:val="auto"/>
        </w:rPr>
      </w:pPr>
    </w:p>
    <w:p>
      <w:pPr>
        <w:ind w:left="440" w:right="3019" w:firstLine="454"/>
        <w:spacing w:after="0" w:line="244" w:lineRule="auto"/>
        <w:tabs>
          <w:tab w:leader="none" w:pos="125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in all material respects its agreements contained in this Agreement required to be performed on or prior to the Closing Date and the representations and 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78"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AA-28</w:t>
      </w:r>
    </w:p>
    <w:p>
      <w:pPr>
        <w:sectPr>
          <w:pgSz w:w="11900" w:h="16838" w:orient="portrait"/>
          <w:cols w:equalWidth="0" w:num="1">
            <w:col w:w="10219"/>
          </w:cols>
          <w:pgMar w:left="240" w:top="291"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244</w:t>
      </w:r>
    </w:p>
    <w:p>
      <w:pPr>
        <w:spacing w:after="0" w:line="178" w:lineRule="exact"/>
        <w:rPr>
          <w:sz w:val="20"/>
          <w:szCs w:val="20"/>
          <w:color w:val="auto"/>
        </w:rPr>
      </w:pPr>
    </w:p>
    <w:p>
      <w:pPr>
        <w:ind w:left="440" w:right="3019" w:firstLine="454"/>
        <w:spacing w:after="0" w:line="244" w:lineRule="auto"/>
        <w:tabs>
          <w:tab w:leader="none" w:pos="125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an opinion or opinions from Sullivan &amp; Cromwell and/or Thorp, Reed &amp; Armstrong, special counsel to the Company, dated the Closing Date, reasonably satisfactory to Parent and covering the due incorporation of the Company, the binding nature of this Agreement, the effectiveness of the Merger and such other matters as may be reasonably requested by Parent;</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"comfort" letters from Deloitte &amp; Touche, certified public accountants for the Company, dated the date of the Proxy Statement, the effective date of the Registration Statement and the Closing Date (or such other date reasonably acceptable to Parent) with respect to certain financial statements and other financial information included in the Registration Statement in customary form and any subsequent changes in specified balance sheet and income statement items, including total assets, working capital, total stockholders' equity, total revenues and the total and per share amounts of net income;</w:t>
      </w:r>
    </w:p>
    <w:p>
      <w:pPr>
        <w:spacing w:after="0" w:line="179" w:lineRule="exact"/>
        <w:rPr>
          <w:rFonts w:ascii="Courier New" w:cs="Courier New" w:eastAsia="Courier New" w:hAnsi="Courier New"/>
          <w:sz w:val="15"/>
          <w:szCs w:val="15"/>
          <w:color w:val="auto"/>
        </w:rPr>
      </w:pPr>
    </w:p>
    <w:p>
      <w:pPr>
        <w:ind w:left="440" w:right="3279" w:firstLine="454"/>
        <w:spacing w:after="0" w:line="244" w:lineRule="auto"/>
        <w:tabs>
          <w:tab w:leader="none" w:pos="125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Affiliate Agreements required to be delivered to Parent pursuant to Section 7.4 shall have been furnished as required by Section 7.4;</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shall have occurred which have resulted in or constitute, a material adverse change in the business, operations, properties, assets, condition (financial or other), results of operations or prospects of the Company and its subsidiaries, taken as a whole;</w:t>
      </w:r>
    </w:p>
    <w:p>
      <w:pPr>
        <w:spacing w:after="0" w:line="176"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litigation and proceedings described or referred to in each Memorandum of Understanding identified in Schedule 5.8 shall have been fully and irrevocably settled, a final, nonappealable order shall have been entered and all claims, demands and causes of action pertaining in any way to such litigation or proceedings shall have been fully and irrevocably released and discharged, all substantially upon the terms and conditions set forth in such Memoranda of Understanding or otherwise upon terms and conditions satisfactory to Parent in its sole discretion;</w:t>
      </w:r>
    </w:p>
    <w:p>
      <w:pPr>
        <w:spacing w:after="0" w:line="178"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 shall have agreed to a consent order as to the matter referred to in the letter described in Item 1 of Schedule 5.8 and Parent shall have determined within fifteen business days after being notified of the terms and conditions thereof that such consent decree is satisfactory to Parent in its sole discretion; and</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from Donaldson, Lufkin &amp; Jenrette Securities Corporation (or other nationally recognized investment banking firm reasonably acceptable to the Company) an opinion reasonably acceptable to the Company, dated as of the date on which the Joint Proxy Statement/Prospectus is first distributed to the shareholders of Parent, to the effect that the Exchange Ratio is fair, from a financial point of view, to Parent's stockholders, and such opinion shall not have been withdrawn.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IX</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9.1. TERMINATION. This Agreement may be terminated at any time prior to the Closing Date, whether before or after approval by the stockholders of the Company or Parent, as follows:</w:t>
      </w:r>
    </w:p>
    <w:p>
      <w:pPr>
        <w:spacing w:after="0" w:line="175" w:lineRule="exact"/>
        <w:rPr>
          <w:sz w:val="20"/>
          <w:szCs w:val="20"/>
          <w:color w:val="auto"/>
        </w:rPr>
      </w:pPr>
    </w:p>
    <w:p>
      <w:pPr>
        <w:ind w:left="1260" w:hanging="366"/>
        <w:spacing w:after="0"/>
        <w:tabs>
          <w:tab w:leader="none" w:pos="12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right to terminate this Agreement:</w:t>
      </w:r>
    </w:p>
    <w:p>
      <w:pPr>
        <w:spacing w:after="0" w:line="177" w:lineRule="exact"/>
        <w:rPr>
          <w:rFonts w:ascii="Courier New" w:cs="Courier New" w:eastAsia="Courier New" w:hAnsi="Courier New"/>
          <w:sz w:val="15"/>
          <w:szCs w:val="15"/>
          <w:color w:val="auto"/>
        </w:rPr>
      </w:pPr>
    </w:p>
    <w:p>
      <w:pPr>
        <w:ind w:left="720" w:right="3639" w:firstLine="445"/>
        <w:spacing w:after="0" w:line="243" w:lineRule="auto"/>
        <w:tabs>
          <w:tab w:leader="none" w:pos="1531"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21 days after the date of this Agreement, the Company's Board of Directors: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AA-29</w:t>
      </w:r>
    </w:p>
    <w:p>
      <w:pPr>
        <w:sectPr>
          <w:pgSz w:w="11900" w:h="16838" w:orient="portrait"/>
          <w:cols w:equalWidth="0" w:num="1">
            <w:col w:w="10219"/>
          </w:cols>
          <w:pgMar w:left="240" w:top="291"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5"/>
          <w:szCs w:val="15"/>
          <w:color w:val="auto"/>
        </w:rPr>
        <w:t>245</w:t>
      </w:r>
    </w:p>
    <w:p>
      <w:pPr>
        <w:spacing w:after="0" w:line="178" w:lineRule="exact"/>
        <w:rPr>
          <w:sz w:val="20"/>
          <w:szCs w:val="20"/>
          <w:color w:val="auto"/>
        </w:rPr>
      </w:pPr>
    </w:p>
    <w:p>
      <w:pPr>
        <w:ind w:left="720" w:right="3019" w:firstLine="455"/>
        <w:spacing w:after="0" w:line="244" w:lineRule="auto"/>
        <w:tabs>
          <w:tab w:leader="none" w:pos="1531" w:val="left"/>
        </w:tabs>
        <w:numPr>
          <w:ilvl w:val="3"/>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receive from J.P. Morgan Securities Inc. an opinion to the effect that the consideration to be received by the stockholders of the Company in the Merger is fair, from a financial point of view, to the holders of Company Common Stock, with such limitations and qualifications as are customary in such opinions;</w:t>
      </w:r>
    </w:p>
    <w:p>
      <w:pPr>
        <w:spacing w:after="0" w:line="176" w:lineRule="exact"/>
        <w:rPr>
          <w:rFonts w:ascii="Courier New" w:cs="Courier New" w:eastAsia="Courier New" w:hAnsi="Courier New"/>
          <w:sz w:val="15"/>
          <w:szCs w:val="15"/>
          <w:color w:val="auto"/>
        </w:rPr>
      </w:pPr>
    </w:p>
    <w:p>
      <w:pPr>
        <w:ind w:left="720" w:right="3199" w:firstLine="455"/>
        <w:spacing w:after="0" w:line="244" w:lineRule="auto"/>
        <w:tabs>
          <w:tab w:leader="none" w:pos="1531" w:val="left"/>
        </w:tabs>
        <w:numPr>
          <w:ilvl w:val="3"/>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determines that the representations and warranties of Parent and Subsidiary contained in this Agreement are not true and correct in any material respect on and as of the date made and on and as of the date of the Board's determination;</w:t>
      </w:r>
    </w:p>
    <w:p>
      <w:pPr>
        <w:spacing w:after="0" w:line="175" w:lineRule="exact"/>
        <w:rPr>
          <w:rFonts w:ascii="Courier New" w:cs="Courier New" w:eastAsia="Courier New" w:hAnsi="Courier New"/>
          <w:sz w:val="15"/>
          <w:szCs w:val="15"/>
          <w:color w:val="auto"/>
        </w:rPr>
      </w:pPr>
    </w:p>
    <w:p>
      <w:pPr>
        <w:ind w:left="720" w:right="3099" w:firstLine="455"/>
        <w:spacing w:after="0" w:line="244" w:lineRule="auto"/>
        <w:tabs>
          <w:tab w:leader="none" w:pos="1531" w:val="left"/>
        </w:tabs>
        <w:numPr>
          <w:ilvl w:val="3"/>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determines, after consultation with Deloitte &amp; Touche, certified public accountants for the Company, and Coopers &amp; Lybrand, certified public accountants for Parent, that the Merger will not qualify as a pooling of interests transaction under APB No. 16, provided that the Company is not in default of the covenant contained in Section 6.1(d)(iii); or</w:t>
      </w:r>
    </w:p>
    <w:p>
      <w:pPr>
        <w:spacing w:after="0" w:line="177" w:lineRule="exact"/>
        <w:rPr>
          <w:rFonts w:ascii="Courier New" w:cs="Courier New" w:eastAsia="Courier New" w:hAnsi="Courier New"/>
          <w:sz w:val="15"/>
          <w:szCs w:val="15"/>
          <w:color w:val="auto"/>
        </w:rPr>
      </w:pPr>
    </w:p>
    <w:p>
      <w:pPr>
        <w:ind w:left="720" w:right="3199" w:firstLine="455"/>
        <w:spacing w:after="0" w:line="244" w:lineRule="auto"/>
        <w:tabs>
          <w:tab w:leader="none" w:pos="1531" w:val="left"/>
        </w:tabs>
        <w:numPr>
          <w:ilvl w:val="3"/>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determines that the condition set forth in Section 8.1(g) above will not be satisfied in all material respects on or prior to the Closing Date;</w:t>
      </w:r>
    </w:p>
    <w:p>
      <w:pPr>
        <w:spacing w:after="0" w:line="175" w:lineRule="exact"/>
        <w:rPr>
          <w:rFonts w:ascii="Courier New" w:cs="Courier New" w:eastAsia="Courier New" w:hAnsi="Courier New"/>
          <w:sz w:val="15"/>
          <w:szCs w:val="15"/>
          <w:color w:val="auto"/>
        </w:rPr>
      </w:pPr>
    </w:p>
    <w:p>
      <w:pPr>
        <w:ind w:left="460" w:right="3019" w:firstLine="445"/>
        <w:spacing w:after="0" w:line="244" w:lineRule="auto"/>
        <w:tabs>
          <w:tab w:leader="none" w:pos="1362" w:val="left"/>
        </w:tabs>
        <w:numPr>
          <w:ilvl w:val="2"/>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21 days after the date of this Agreement, the Company and Parent have not reached mutual agreement on the financing plan contemplated by Section 7.7(d) (the Company agreeing that it will not unreasonably withhold its approval of any such financing plan and acknowledging its acceptance of those aspects of such financing plan set forth in each Memorandum of Understanding referred to in Section 8.3(h));</w:t>
      </w:r>
    </w:p>
    <w:p>
      <w:pPr>
        <w:spacing w:after="0" w:line="177" w:lineRule="exact"/>
        <w:rPr>
          <w:rFonts w:ascii="Courier New" w:cs="Courier New" w:eastAsia="Courier New" w:hAnsi="Courier New"/>
          <w:sz w:val="15"/>
          <w:szCs w:val="15"/>
          <w:color w:val="auto"/>
        </w:rPr>
      </w:pPr>
    </w:p>
    <w:p>
      <w:pPr>
        <w:ind w:left="460" w:right="3279" w:firstLine="445"/>
        <w:spacing w:after="0" w:line="244" w:lineRule="auto"/>
        <w:tabs>
          <w:tab w:leader="none" w:pos="1452" w:val="left"/>
        </w:tabs>
        <w:numPr>
          <w:ilvl w:val="2"/>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July 31, 1995 otherwise than account of delay or default on the part of the Company or any of its 5% stockholders or any of their affiliates or associates;</w:t>
      </w:r>
    </w:p>
    <w:p>
      <w:pPr>
        <w:spacing w:after="0" w:line="175" w:lineRule="exact"/>
        <w:rPr>
          <w:rFonts w:ascii="Courier New" w:cs="Courier New" w:eastAsia="Courier New" w:hAnsi="Courier New"/>
          <w:sz w:val="15"/>
          <w:szCs w:val="15"/>
          <w:color w:val="auto"/>
        </w:rPr>
      </w:pPr>
    </w:p>
    <w:p>
      <w:pPr>
        <w:ind w:left="460" w:right="3019" w:firstLine="445"/>
        <w:spacing w:after="0" w:line="244" w:lineRule="auto"/>
        <w:tabs>
          <w:tab w:leader="none" w:pos="1362" w:val="left"/>
        </w:tabs>
        <w:numPr>
          <w:ilvl w:val="2"/>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enjoined by a final, unappealable court order not entered at the request or with the support of the Company or any of its 5% stockholders or any of their affiliates or associates;</w:t>
      </w:r>
    </w:p>
    <w:p>
      <w:pPr>
        <w:spacing w:after="0" w:line="175" w:lineRule="exact"/>
        <w:rPr>
          <w:rFonts w:ascii="Courier New" w:cs="Courier New" w:eastAsia="Courier New" w:hAnsi="Courier New"/>
          <w:sz w:val="15"/>
          <w:szCs w:val="15"/>
          <w:color w:val="auto"/>
        </w:rPr>
      </w:pPr>
    </w:p>
    <w:p>
      <w:pPr>
        <w:ind w:left="460" w:right="3099" w:firstLine="445"/>
        <w:spacing w:after="0" w:line="244" w:lineRule="auto"/>
        <w:tabs>
          <w:tab w:leader="none" w:pos="1271" w:val="left"/>
        </w:tabs>
        <w:numPr>
          <w:ilvl w:val="2"/>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the Company receives an offer from any third party (excluding any affiliate of the Company or any group of which any affiliate of the Company is a member) with respect to a merger, sale of substantial assets or other business combination involving the Company,</w:t>
      </w:r>
    </w:p>
    <w:p>
      <w:pPr>
        <w:spacing w:after="0" w:line="2" w:lineRule="exact"/>
        <w:rPr>
          <w:rFonts w:ascii="Courier New" w:cs="Courier New" w:eastAsia="Courier New" w:hAnsi="Courier New"/>
          <w:sz w:val="15"/>
          <w:szCs w:val="15"/>
          <w:color w:val="auto"/>
        </w:rPr>
      </w:pPr>
    </w:p>
    <w:p>
      <w:pPr>
        <w:ind w:left="460" w:right="3019" w:hanging="6"/>
        <w:spacing w:after="0" w:line="244" w:lineRule="auto"/>
        <w:tabs>
          <w:tab w:leader="none" w:pos="82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Board of Directors determines, in good faith and after consultation with an independent financial advisor, that such offer would yield a materially higher value to the Company or its stockholders than the Merger and (C) Parent fails, within ten business days after Parent is notified of such determination and of the terms and conditions of such offer, to make an offer which is substantially equivalent to, or more favorable than, such offer;</w:t>
      </w:r>
    </w:p>
    <w:p>
      <w:pPr>
        <w:spacing w:after="0" w:line="177" w:lineRule="exact"/>
        <w:rPr>
          <w:rFonts w:ascii="Courier New" w:cs="Courier New" w:eastAsia="Courier New" w:hAnsi="Courier New"/>
          <w:sz w:val="15"/>
          <w:szCs w:val="15"/>
          <w:color w:val="auto"/>
        </w:rPr>
      </w:pPr>
    </w:p>
    <w:p>
      <w:pPr>
        <w:ind w:left="460" w:right="3019" w:firstLine="445"/>
        <w:spacing w:after="0" w:line="244" w:lineRule="auto"/>
        <w:tabs>
          <w:tab w:leader="none" w:pos="1362" w:val="left"/>
        </w:tabs>
        <w:numPr>
          <w:ilvl w:val="2"/>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 tender/exchange offer is commenced by a third party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would yield a materially higher value to the Company or its stockholders than the Merger and (C) Parent fails, within ten business days after Parent is notified of such determination, to make an offer which is substantially equivalent to, or more favorable than, such tender/exchange offer; or</w:t>
      </w:r>
    </w:p>
    <w:p>
      <w:pPr>
        <w:spacing w:after="0" w:line="179" w:lineRule="exact"/>
        <w:rPr>
          <w:rFonts w:ascii="Courier New" w:cs="Courier New" w:eastAsia="Courier New" w:hAnsi="Courier New"/>
          <w:sz w:val="15"/>
          <w:szCs w:val="15"/>
          <w:color w:val="auto"/>
        </w:rPr>
      </w:pPr>
    </w:p>
    <w:p>
      <w:pPr>
        <w:ind w:left="460" w:right="3019" w:firstLine="445"/>
        <w:spacing w:after="0" w:line="244" w:lineRule="auto"/>
        <w:tabs>
          <w:tab w:leader="none" w:pos="1452" w:val="left"/>
        </w:tabs>
        <w:numPr>
          <w:ilvl w:val="2"/>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Parent (A) fails to perform in any material respect any of its material covenants in this Agreement and (B) does not cure such default in all material respects within 30 days after notice of such default is given to Parent by the Company.</w:t>
      </w:r>
    </w:p>
    <w:p>
      <w:pPr>
        <w:spacing w:after="0" w:line="175" w:lineRule="exact"/>
        <w:rPr>
          <w:rFonts w:ascii="Courier New" w:cs="Courier New" w:eastAsia="Courier New" w:hAnsi="Courier New"/>
          <w:sz w:val="15"/>
          <w:szCs w:val="15"/>
          <w:color w:val="auto"/>
        </w:rPr>
      </w:pPr>
    </w:p>
    <w:p>
      <w:pPr>
        <w:ind w:left="1000" w:hanging="366"/>
        <w:spacing w:after="0"/>
        <w:tabs>
          <w:tab w:leader="none" w:pos="100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the right to terminate this Agreement:</w:t>
      </w:r>
    </w:p>
    <w:p>
      <w:pPr>
        <w:spacing w:after="0" w:line="177" w:lineRule="exact"/>
        <w:rPr>
          <w:rFonts w:ascii="Courier New" w:cs="Courier New" w:eastAsia="Courier New" w:hAnsi="Courier New"/>
          <w:sz w:val="15"/>
          <w:szCs w:val="15"/>
          <w:color w:val="auto"/>
        </w:rPr>
      </w:pPr>
    </w:p>
    <w:p>
      <w:pPr>
        <w:ind w:left="460" w:right="3199" w:firstLine="445"/>
        <w:spacing w:after="0" w:line="243" w:lineRule="auto"/>
        <w:tabs>
          <w:tab w:leader="none" w:pos="1271"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21 days after the date of this Agreement, Parent's Board of Directors:</w:t>
      </w:r>
    </w:p>
    <w:p>
      <w:pPr>
        <w:spacing w:after="0" w:line="176" w:lineRule="exact"/>
        <w:rPr>
          <w:rFonts w:ascii="Courier New" w:cs="Courier New" w:eastAsia="Courier New" w:hAnsi="Courier New"/>
          <w:sz w:val="15"/>
          <w:szCs w:val="15"/>
          <w:color w:val="auto"/>
        </w:rPr>
      </w:pPr>
    </w:p>
    <w:p>
      <w:pPr>
        <w:ind w:left="720" w:right="3379" w:firstLine="455"/>
        <w:spacing w:after="0" w:line="244" w:lineRule="auto"/>
        <w:tabs>
          <w:tab w:leader="none" w:pos="1531" w:val="left"/>
        </w:tabs>
        <w:numPr>
          <w:ilvl w:val="3"/>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receive from Donaldson, Lufkin &amp; Jenrette Securities Corporation an opinion to the effect that the Exchange Ratio is fair, from a financial point of view, to Parent's stockholders, with such limitations and qualifications as are customary in such opinions;</w:t>
      </w:r>
    </w:p>
    <w:p>
      <w:pPr>
        <w:spacing w:after="0" w:line="17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AA-30</w:t>
      </w:r>
    </w:p>
    <w:p>
      <w:pPr>
        <w:sectPr>
          <w:pgSz w:w="11900" w:h="16838" w:orient="portrait"/>
          <w:cols w:equalWidth="0" w:num="1">
            <w:col w:w="9959"/>
          </w:cols>
          <w:pgMar w:left="500" w:top="291"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5"/>
          <w:szCs w:val="15"/>
          <w:color w:val="auto"/>
        </w:rPr>
        <w:t>246</w:t>
      </w:r>
    </w:p>
    <w:p>
      <w:pPr>
        <w:spacing w:after="0" w:line="178" w:lineRule="exact"/>
        <w:rPr>
          <w:sz w:val="20"/>
          <w:szCs w:val="20"/>
          <w:color w:val="auto"/>
        </w:rPr>
      </w:pPr>
    </w:p>
    <w:p>
      <w:pPr>
        <w:ind w:left="980" w:right="3019" w:firstLine="455"/>
        <w:spacing w:after="0" w:line="244" w:lineRule="auto"/>
        <w:tabs>
          <w:tab w:leader="none" w:pos="1791" w:val="left"/>
        </w:tabs>
        <w:numPr>
          <w:ilvl w:val="2"/>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determines that the representations and warranties of the Company contained in this Agreement are not true and correct in any material respect on and as of the date made and on and as of the date of the Board's determination;</w:t>
      </w:r>
    </w:p>
    <w:p>
      <w:pPr>
        <w:spacing w:after="0" w:line="175" w:lineRule="exact"/>
        <w:rPr>
          <w:rFonts w:ascii="Courier New" w:cs="Courier New" w:eastAsia="Courier New" w:hAnsi="Courier New"/>
          <w:sz w:val="15"/>
          <w:szCs w:val="15"/>
          <w:color w:val="auto"/>
        </w:rPr>
      </w:pPr>
    </w:p>
    <w:p>
      <w:pPr>
        <w:ind w:left="980" w:right="3099" w:firstLine="455"/>
        <w:spacing w:after="0" w:line="244" w:lineRule="auto"/>
        <w:tabs>
          <w:tab w:leader="none" w:pos="1791" w:val="left"/>
        </w:tabs>
        <w:numPr>
          <w:ilvl w:val="2"/>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determines, after consultation with Deloitte &amp; Touche, certified public accountants for the Company, and Coopers &amp; Lybrand, certified public accountants for Parent, that the Merger will not qualify as a pooling of interests transaction under APB No. 16, provided that Parent is not in default of the covenant contained in Section 6.2(d)(iii); or</w:t>
      </w:r>
    </w:p>
    <w:p>
      <w:pPr>
        <w:spacing w:after="0" w:line="177" w:lineRule="exact"/>
        <w:rPr>
          <w:rFonts w:ascii="Courier New" w:cs="Courier New" w:eastAsia="Courier New" w:hAnsi="Courier New"/>
          <w:sz w:val="15"/>
          <w:szCs w:val="15"/>
          <w:color w:val="auto"/>
        </w:rPr>
      </w:pPr>
    </w:p>
    <w:p>
      <w:pPr>
        <w:ind w:left="980" w:right="3199" w:firstLine="455"/>
        <w:spacing w:after="0" w:line="244" w:lineRule="auto"/>
        <w:tabs>
          <w:tab w:leader="none" w:pos="1791" w:val="left"/>
        </w:tabs>
        <w:numPr>
          <w:ilvl w:val="2"/>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determines that the condition set forth in Section 8.1(g) above will not be satisfied in all material respects on or prior to the Closing Date;</w:t>
      </w:r>
    </w:p>
    <w:p>
      <w:pPr>
        <w:spacing w:after="0" w:line="175" w:lineRule="exact"/>
        <w:rPr>
          <w:rFonts w:ascii="Courier New" w:cs="Courier New" w:eastAsia="Courier New" w:hAnsi="Courier New"/>
          <w:sz w:val="15"/>
          <w:szCs w:val="15"/>
          <w:color w:val="auto"/>
        </w:rPr>
      </w:pPr>
    </w:p>
    <w:p>
      <w:pPr>
        <w:ind w:left="720" w:right="3019" w:firstLine="445"/>
        <w:spacing w:after="0" w:line="265" w:lineRule="auto"/>
        <w:tabs>
          <w:tab w:leader="none" w:pos="1622"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21 days after the date of this Agreement, the Company and Parent have not reached mutual agreement on the financing plan contemplated by Section 7.7(d) (Parent agreeing that it will not unreasonably withhold its approval of any such financing plan and acknowledging its acceptance of those aspects of such financing plan set forth in each Memorandum of Understanding identified in Schedule 5.8);</w:t>
      </w:r>
    </w:p>
    <w:p>
      <w:pPr>
        <w:spacing w:after="0" w:line="162" w:lineRule="exact"/>
        <w:rPr>
          <w:rFonts w:ascii="Courier New" w:cs="Courier New" w:eastAsia="Courier New" w:hAnsi="Courier New"/>
          <w:sz w:val="14"/>
          <w:szCs w:val="14"/>
          <w:color w:val="auto"/>
        </w:rPr>
      </w:pPr>
    </w:p>
    <w:p>
      <w:pPr>
        <w:ind w:left="720" w:right="3099" w:firstLine="445"/>
        <w:spacing w:after="0" w:line="244" w:lineRule="auto"/>
        <w:tabs>
          <w:tab w:leader="none" w:pos="1712"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July 31, 1995 otherwise than account of delay or default on the part of Parent or any of its 5% stockholders or any of their affiliates or associates;</w:t>
      </w:r>
    </w:p>
    <w:p>
      <w:pPr>
        <w:spacing w:after="0" w:line="175" w:lineRule="exact"/>
        <w:rPr>
          <w:rFonts w:ascii="Courier New" w:cs="Courier New" w:eastAsia="Courier New" w:hAnsi="Courier New"/>
          <w:sz w:val="15"/>
          <w:szCs w:val="15"/>
          <w:color w:val="auto"/>
        </w:rPr>
      </w:pPr>
    </w:p>
    <w:p>
      <w:pPr>
        <w:ind w:left="720" w:right="3019" w:firstLine="445"/>
        <w:spacing w:after="0" w:line="244" w:lineRule="auto"/>
        <w:tabs>
          <w:tab w:leader="none" w:pos="1622"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enjoined by a final, unappealable court order not entered at the request or with the support of Parent or any of its 5% stockholders or any of their affiliates or associates;</w:t>
      </w:r>
    </w:p>
    <w:p>
      <w:pPr>
        <w:spacing w:after="0" w:line="175" w:lineRule="exact"/>
        <w:rPr>
          <w:rFonts w:ascii="Courier New" w:cs="Courier New" w:eastAsia="Courier New" w:hAnsi="Courier New"/>
          <w:sz w:val="15"/>
          <w:szCs w:val="15"/>
          <w:color w:val="auto"/>
        </w:rPr>
      </w:pPr>
    </w:p>
    <w:p>
      <w:pPr>
        <w:ind w:left="720" w:right="3019" w:firstLine="445"/>
        <w:spacing w:after="0" w:line="244" w:lineRule="auto"/>
        <w:tabs>
          <w:tab w:leader="none" w:pos="1531"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Parent receives an offer from any third party (excluding any affiliate of Parent or any group of which any affiliate of Parent is a member) with respect to a merger, sale of substantial assets or other business combination involving Parent, (B) Parent's Board of Directors determines, in good faith and after consultation with an independent financial advisor, that such offer would yield a materially higher value to Parent or its stockholders than the Merger and (C) the Company fails, within ten business days after the Company is notified of such determination and of the terms and conditions of such offer, to offer to amend this Agreement in order to make the Merger substantially equivalent to, or more favorable than, such offer;</w:t>
      </w:r>
    </w:p>
    <w:p>
      <w:pPr>
        <w:spacing w:after="0" w:line="180" w:lineRule="exact"/>
        <w:rPr>
          <w:rFonts w:ascii="Courier New" w:cs="Courier New" w:eastAsia="Courier New" w:hAnsi="Courier New"/>
          <w:sz w:val="15"/>
          <w:szCs w:val="15"/>
          <w:color w:val="auto"/>
        </w:rPr>
      </w:pPr>
    </w:p>
    <w:p>
      <w:pPr>
        <w:ind w:left="720" w:right="3199" w:firstLine="445"/>
        <w:spacing w:after="0" w:line="244" w:lineRule="auto"/>
        <w:tabs>
          <w:tab w:leader="none" w:pos="1622"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 tender/exchange offer is commenced by a third party (excluding any affiliate of Parent or any group of which any affiliate of Parent is a member) for all outstanding shares of Parent Common Stock, (B) Parent's Board of Directors determines, in good faith and after consultation with an independent financial advisor, that such offer would yield a materially higher value to Parent or its stockholders than the Merger and (C) the Company fails, within ten business days after the Company is notified of such determination, to make an offer which is substantially equivalent to, or more favorable than, such tender/exchange offer; or</w:t>
      </w:r>
    </w:p>
    <w:p>
      <w:pPr>
        <w:spacing w:after="0" w:line="179" w:lineRule="exact"/>
        <w:rPr>
          <w:rFonts w:ascii="Courier New" w:cs="Courier New" w:eastAsia="Courier New" w:hAnsi="Courier New"/>
          <w:sz w:val="15"/>
          <w:szCs w:val="15"/>
          <w:color w:val="auto"/>
        </w:rPr>
      </w:pPr>
    </w:p>
    <w:p>
      <w:pPr>
        <w:ind w:left="720" w:right="3199" w:firstLine="445"/>
        <w:spacing w:after="0" w:line="244" w:lineRule="auto"/>
        <w:tabs>
          <w:tab w:leader="none" w:pos="1712"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 fails to perform in any material respect any of its material covenants in this Agreement and (B) does not cure such default in all material respects within 30 days after notice of such default is given to the Company by Parent.</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9.2. EFFECT OF TERMINATION. In the event of termination of this Agreement by either Parent or the Company, as provided in Section 9.1, this Agreement shall forthwith become void and there shall be no further obligation on the part of the Company, Parent, Subsidiary or their respective officers or directors (except as set forth in this Section 9.2 and in Sections 7.1, 7.6 and 7.8, all of which shall survive the termination). Nothing in this Section 9.2 shall relieve any party from liability for any breach of this Agreement.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AA-31</w:t>
      </w:r>
    </w:p>
    <w:p>
      <w:pPr>
        <w:sectPr>
          <w:pgSz w:w="11900" w:h="16838" w:orient="portrait"/>
          <w:cols w:equalWidth="0" w:num="1">
            <w:col w:w="10219"/>
          </w:cols>
          <w:pgMar w:left="240" w:top="291"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247</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9.3. AMENDMENT. This Agreement may not be amended except by action taken by their respective Boards of Directors or duly authorized committee thereof and then only by an instrument in writing signed on behalf of each of the parties hereto and in compliance with applicable law.</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17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X</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GENERAL PROVISIONS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10.1. NON-SURVIVAL OF REPRESENTATIONS AND WARRANTIES. All representations and warranties in this Agreement shall not survive the Merger, and after effectiveness of the Merger neither the Company, Parent, Subsidiary or their respective officers or directors shall have any further obligation with respect thereto.</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10.2. BROKERS. The Company represents and warrants that no broker, finder or investment banker is entitled to any brokerage, finder's or other fee (except for the fee payable to the investment banking firm described in Section 8.2(g)) or commission in connection with the Merger or the transactions contemplated by this Agreement based upon arrangements made by or on behalf of the Company. Parent and Subsidiary represent and warrant that no broker, finder or investment banker is entitled to any brokerage, finder's or other fee (except for the fee payable to the investment banking firm described in Section 8.3(j)) or commission in connection with the Merger or the transactions contemplated by this Agreement based upon arrangements made by or on behalf of Parent or Subsidiary.</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10.3.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176"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 If to Parent or Subsidiary to:</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5000 Quorum Drive, Suite 300</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Dallas, Texas 75240</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Attention: Earl DeFrates</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Andrews &amp; Kurth L.L.P.</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4200 Texas Commerce Tower</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Attention: David G. Elkins, Esq.</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AA-32</w:t>
      </w:r>
    </w:p>
    <w:p>
      <w:pPr>
        <w:sectPr>
          <w:pgSz w:w="11900" w:h="16838" w:orient="portrait"/>
          <w:cols w:equalWidth="0" w:num="1">
            <w:col w:w="10219"/>
          </w:cols>
          <w:pgMar w:left="240" w:top="291" w:right="1440" w:bottom="1440" w:gutter="0" w:footer="0" w:header="0"/>
        </w:sectPr>
      </w:pPr>
    </w:p>
    <w:bookmarkStart w:id="254" w:name="page255"/>
    <w:bookmarkEnd w:id="254"/>
    <w:p>
      <w:pPr>
        <w:ind w:left="268"/>
        <w:spacing w:after="0"/>
        <w:rPr>
          <w:sz w:val="20"/>
          <w:szCs w:val="20"/>
          <w:color w:val="auto"/>
        </w:rPr>
      </w:pPr>
      <w:r>
        <w:rPr>
          <w:rFonts w:ascii="Courier New" w:cs="Courier New" w:eastAsia="Courier New" w:hAnsi="Courier New"/>
          <w:sz w:val="15"/>
          <w:szCs w:val="15"/>
          <w:color w:val="auto"/>
        </w:rPr>
        <w:t>248</w:t>
      </w:r>
    </w:p>
    <w:p>
      <w:pPr>
        <w:spacing w:after="0" w:line="177"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(b) If to the Company, to:</w:t>
      </w:r>
    </w:p>
    <w:p>
      <w:pPr>
        <w:spacing w:after="0" w:line="177"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Chambers Development Company, Inc.</w:t>
      </w:r>
    </w:p>
    <w:p>
      <w:pPr>
        <w:spacing w:after="0" w:line="3"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10700 Frankstown Road</w:t>
      </w:r>
    </w:p>
    <w:p>
      <w:pPr>
        <w:spacing w:after="0" w:line="3"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Pittsburgh, Pennsylvania 15235</w:t>
      </w:r>
    </w:p>
    <w:p>
      <w:pPr>
        <w:spacing w:after="0" w:line="3"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Attention: Alexander W. Rangos</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Sullivan &amp; Cromwell</w:t>
      </w:r>
    </w:p>
    <w:p>
      <w:pPr>
        <w:spacing w:after="0" w:line="3"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125 Broad Street</w:t>
      </w:r>
    </w:p>
    <w:p>
      <w:pPr>
        <w:spacing w:after="0" w:line="3"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New York, New York 10004</w:t>
      </w:r>
    </w:p>
    <w:p>
      <w:pPr>
        <w:spacing w:after="0" w:line="3"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Attention: Richard R. Howe, Esq.</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10.4.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179"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SECTION 10.5.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w:t>
      </w:r>
    </w:p>
    <w:p>
      <w:pPr>
        <w:ind w:left="368" w:hanging="368"/>
        <w:spacing w:after="0"/>
        <w:tabs>
          <w:tab w:leader="none" w:pos="3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intended to confer upon any other person any rights or remedies</w:t>
      </w:r>
    </w:p>
    <w:p>
      <w:pPr>
        <w:spacing w:after="0" w:line="4" w:lineRule="exact"/>
        <w:rPr>
          <w:rFonts w:ascii="Courier New" w:cs="Courier New" w:eastAsia="Courier New" w:hAnsi="Courier New"/>
          <w:sz w:val="15"/>
          <w:szCs w:val="15"/>
          <w:color w:val="auto"/>
        </w:rPr>
      </w:pPr>
    </w:p>
    <w:p>
      <w:pPr>
        <w:ind w:left="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hereunder, except for rights of indemnified Parties under Section 7.12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SECTION 10.6. COUNTERPARTS. This Agreement may be executed in two or more counterparts, each of which shall be deemed to be an original, but all of which shall constitute one and the same agreement.</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10.7. PARTIES IN INTEREST. This Agreement shall be binding upon and inure solely to the benefit of each party hereto, and except as set forth in the exception to Section 10.5(b), nothing in this Agreement, express or implied, is intended to confer upon any other person any rights or remedies of any nature whatsoever under or by reason of this Agreement.</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AA-33</w:t>
      </w:r>
    </w:p>
    <w:p>
      <w:pPr>
        <w:sectPr>
          <w:pgSz w:w="11900" w:h="16838" w:orient="portrait"/>
          <w:cols w:equalWidth="0" w:num="1">
            <w:col w:w="10227"/>
          </w:cols>
          <w:pgMar w:left="232" w:top="291"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5"/>
          <w:szCs w:val="15"/>
          <w:color w:val="auto"/>
        </w:rPr>
        <w:t>249</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WITNESS WHEREOF, Parent, Subsidiary and the Company have caused this Agreement to be signed by their respective officers as of the date first written above.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By:_______________________________</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Name: John E. Drury</w:t>
      </w:r>
    </w:p>
    <w:p>
      <w:pPr>
        <w:spacing w:after="0" w:line="3" w:lineRule="exact"/>
        <w:rPr>
          <w:sz w:val="20"/>
          <w:szCs w:val="20"/>
          <w:color w:val="auto"/>
        </w:rPr>
      </w:pPr>
    </w:p>
    <w:p>
      <w:pPr>
        <w:ind w:left="3600"/>
        <w:spacing w:after="0"/>
        <w:tabs>
          <w:tab w:leader="none" w:pos="4300" w:val="left"/>
        </w:tabs>
        <w:rPr>
          <w:sz w:val="20"/>
          <w:szCs w:val="20"/>
          <w:color w:val="auto"/>
        </w:rPr>
      </w:pPr>
      <w:r>
        <w:rPr>
          <w:rFonts w:ascii="Courier New" w:cs="Courier New" w:eastAsia="Courier New" w:hAnsi="Courier New"/>
          <w:sz w:val="15"/>
          <w:szCs w:val="15"/>
          <w:color w:val="auto"/>
        </w:rPr>
        <w:t>Title:</w:t>
        <w:tab/>
        <w:t>Chief Executive Officer</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CHAMBERS ACQUISITION CORPORATION</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By:_______________________________</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Name: Donald F. Moorehead, Jr.</w:t>
      </w:r>
    </w:p>
    <w:p>
      <w:pPr>
        <w:spacing w:after="0" w:line="3" w:lineRule="exact"/>
        <w:rPr>
          <w:sz w:val="20"/>
          <w:szCs w:val="20"/>
          <w:color w:val="auto"/>
        </w:rPr>
      </w:pPr>
    </w:p>
    <w:p>
      <w:pPr>
        <w:ind w:left="3600"/>
        <w:spacing w:after="0"/>
        <w:tabs>
          <w:tab w:leader="none" w:pos="4300" w:val="left"/>
        </w:tabs>
        <w:rPr>
          <w:sz w:val="20"/>
          <w:szCs w:val="20"/>
          <w:color w:val="auto"/>
        </w:rPr>
      </w:pPr>
      <w:r>
        <w:rPr>
          <w:rFonts w:ascii="Courier New" w:cs="Courier New" w:eastAsia="Courier New" w:hAnsi="Courier New"/>
          <w:sz w:val="15"/>
          <w:szCs w:val="15"/>
          <w:color w:val="auto"/>
        </w:rPr>
        <w:t>Title:</w:t>
        <w:tab/>
        <w:t>Chairman of the Board</w:t>
      </w:r>
    </w:p>
    <w:p>
      <w:pPr>
        <w:spacing w:after="0" w:line="177"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By:_______________________________</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Name: Alexander W. Rangos</w:t>
      </w:r>
    </w:p>
    <w:p>
      <w:pPr>
        <w:spacing w:after="0" w:line="3" w:lineRule="exact"/>
        <w:rPr>
          <w:sz w:val="20"/>
          <w:szCs w:val="20"/>
          <w:color w:val="auto"/>
        </w:rPr>
      </w:pPr>
    </w:p>
    <w:p>
      <w:pPr>
        <w:ind w:left="3600"/>
        <w:spacing w:after="0"/>
        <w:tabs>
          <w:tab w:leader="none" w:pos="4300" w:val="left"/>
        </w:tabs>
        <w:rPr>
          <w:sz w:val="20"/>
          <w:szCs w:val="20"/>
          <w:color w:val="auto"/>
        </w:rPr>
      </w:pPr>
      <w:r>
        <w:rPr>
          <w:rFonts w:ascii="Courier New" w:cs="Courier New" w:eastAsia="Courier New" w:hAnsi="Courier New"/>
          <w:sz w:val="15"/>
          <w:szCs w:val="15"/>
          <w:color w:val="auto"/>
        </w:rPr>
        <w:t>Title:</w:t>
        <w:tab/>
        <w:t>President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AA-34</w:t>
      </w:r>
    </w:p>
    <w:p>
      <w:pPr>
        <w:sectPr>
          <w:pgSz w:w="11900" w:h="16838" w:orient="portrait"/>
          <w:cols w:equalWidth="0" w:num="1">
            <w:col w:w="10219"/>
          </w:cols>
          <w:pgMar w:left="240" w:top="291"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250</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APPENDIX B</w:t>
      </w:r>
    </w:p>
    <w:p>
      <w:pPr>
        <w:spacing w:after="0" w:line="200" w:lineRule="exact"/>
        <w:rPr>
          <w:sz w:val="20"/>
          <w:szCs w:val="20"/>
          <w:color w:val="auto"/>
        </w:rPr>
      </w:pPr>
    </w:p>
    <w:p>
      <w:pPr>
        <w:spacing w:after="0" w:line="32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May 19, 1995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 Quorum Drive, Suite 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TX 75240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USA Waste Services, Inc. ("USA Waste" or the "Company") of the exchange ratio provided for in the Amended and Restated Merger Agreement dated November 28, 1994 (the "Agreement") between USA Waste and Chambers Development Company, Inc. ("Chambers").</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Pursuant to the Agreement, USA Waste is proposing to issue 0.41667 shares of its common stock for each share of Chambers. The total number of Chambers shares outstanding is 66.8 million. USA Waste, which has approximately 23.0 million shares outstanding (26.9 million on a fully diluted basis), will issue 27.8 million new shares.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arriving at our opinion, we have reviewed the Agreement as well as financial and other information that was publicly available or furnished to us by the Company and Chambers including information provided during discussions with their respective managements. Included in the information provided during discussions with the respective managements were certain financial projections of the Company prepared by the management of the Company, certain financial projections of Chambers prepared by the Company in conjunction with the management of Chambers and certain financial information of the Company and Chambers on a combined basis prepared by the Company. In addition, we have compared certain financial and securities data of the Company and Chambers with various other companies whose securities are traded in public markets, reviewed the historical stock prices and trading volumes of the common stock of the Company, reviewed prices and premiums paid in other business combinations and conducted such other financial studies, analyses and investigations as we deemed appropriate for purposes of this opinion.</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rendering our opinion, we have relied upon and assumed, without independent verification, the accuracy, completeness and fairness of all of the financial and other information that was available to us from public sources, that was provided to us by the Company, and Chambers and their respective representatives, or that was otherwise reviewed by us. In particular, we have relied, without independent investigation, upon the estimates of the managements of the Company and Chambers of the operating synergies achievable as a result of the proposed merger and upon our discussion of such synergies with the managements of the Company and Chambers. With respect to the financial projections supplied to us, we have assumed that they have been reasonably prepared on the basis reflecting the best currently available estimates and judgments of the management of the Company and Chambers as to the future operating and financial performance of the Company and Chambers. We did not make any independent evaluation of assets or liabilities of the Company or Chambers nor did we verify any of the information reviewed by us.</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opinion is necessarily based on economic, market, financial and other conditions as they exist on, and on the information made available to us as of, the date of this letter. It should be understood that, although subsequent developments may affect this opinion, we do not have any obligation to update, revise or reaffirm this opinion. Our opinion does not constitute a recommendation to any shareholder as to how such shareholder should vote on the proposed transaction.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BB-1</w:t>
      </w:r>
    </w:p>
    <w:p>
      <w:pPr>
        <w:sectPr>
          <w:pgSz w:w="11900" w:h="16838" w:orient="portrait"/>
          <w:cols w:equalWidth="0" w:num="1">
            <w:col w:w="10219"/>
          </w:cols>
          <w:pgMar w:left="240" w:top="291"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251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and has received customary compensation for such services.</w:t>
      </w:r>
    </w:p>
    <w:p>
      <w:pPr>
        <w:spacing w:after="0" w:line="351"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Based upon the foregoing and such other factors as we deem relevant, we are of the opinion that the exchange ratio pursuant to the Agreement is fair to the Company from a financial point of view.</w:t>
      </w:r>
    </w:p>
    <w:p>
      <w:pPr>
        <w:spacing w:after="0" w:line="1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DONALDSON, LUFKIN &amp; JENRETTE</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SECURITIES CORPORATION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BB-2</w:t>
      </w:r>
    </w:p>
    <w:p>
      <w:pPr>
        <w:sectPr>
          <w:pgSz w:w="11900" w:h="16838" w:orient="portrait"/>
          <w:cols w:equalWidth="0" w:num="1">
            <w:col w:w="10219"/>
          </w:cols>
          <w:pgMar w:left="240" w:top="291"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5"/>
          <w:szCs w:val="15"/>
          <w:color w:val="auto"/>
        </w:rPr>
        <w:t>252</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APPENDIX 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19, 1995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Development Company,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10700 Frankstown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PA 15235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John Rangos, Sr.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Chairman of the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stockholders of Chambers Development Company, Inc. (the "Company") of the consideration to be received by them pursuant to the terms and subject to the conditions of the proposed merger (the "Merger") contemplated by the Agreement and Plan of Merger dated as of November 28, 1994 (the "Agreement") by and among USA Waste Services, Inc. ("USA Waste"), Envirofil, Inc. and the Company. The Agreement provides that, at the effective time of the Merger, each share of the Company's Common Stock, par value $.50 per share, and each share of the Company's Class A Common Stock, par value $.50 per share, shall be converted into the right to receive, without interest, .41667 (the "Exchange Ratio") of a share of the common stock, par value $.01 per share, of USA Waste.</w:t>
      </w:r>
    </w:p>
    <w:p>
      <w:pPr>
        <w:spacing w:after="0" w:line="16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arriving at our opinion, we have reviewed (i) the Agreement; (ii) certain publicly available information concerning the Company, USA Waste, and of certain other companies engaged in businesses comparable to the Company and USA Waste, and the reported market prices for certain other companies' securities deemed comparable; (iii) publicly available terms of certain transactions involving companies comparable to the Company and USA Waste and the consideration received for such companies; (iv) current and historical market prices of the common stock of the Company and of USA Waste; (v) the audited financial statements of the Company and USA Waste for the fiscal year ended December 31, 1994; (vi) certain agreements with respect to outstanding indebtedness or obligations of the Company and of USA Waste; (vii) certain internal financial analyses and forecasts prepared by the Company and USA Waste and their respective managements; (viii) the terms of other business combinations that we have deemed relevant; and (ix) the currently contemplated capital structure and the anticipated credit standing of the merged companies upon consummation of the Merger.</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we have held discussions with certain members of the management of the Company, and USA Waste, with respect to certain aspects of the Merger, and the past and current business operations of the Company and USA Waste, the financial condition and future prospects and operations of the Company and USA Waste, the effects of the Merger on the financial condition and future prospects of the merged company, and certain other matters we believed necessary or appropriate to our inquiry. We have visited certain representative facilities of the Company, and USA Waste, and reviewed such other financial studies and analyses and considered such other information as we deemed appropriate for the purposes of this opinion. J.P. Morgan was not authorized to and did not solicit any expressions of interest from any other parties with respect to and sales of all or any part of the stock, assets or business of the Company.</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giving our opinion we have assumed, with your consent, that there will not be any material adverse effect on USA Waste or on the trading value of the common stock of USA Waste as a result of (i) the settlement of the litigation and proceedings described or referred to in each Memorandum of Understanding identified in Schedule 5.8 to the Agreement or (ii) the entry by the Company into a consent order as to the matter referred to in the letter described in Item 1 of Schedule 5.8 to the Agreement. We are not in a position to evaluate these matters and assume no responsibility for and express no view with respect to these matters.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CC-1</w:t>
      </w:r>
    </w:p>
    <w:p>
      <w:pPr>
        <w:sectPr>
          <w:pgSz w:w="11900" w:h="16838" w:orient="portrait"/>
          <w:cols w:equalWidth="0" w:num="1">
            <w:col w:w="10219"/>
          </w:cols>
          <w:pgMar w:left="240" w:top="291"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253</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giving our opinion, we have relied upon and assumed, without independent verification, the accuracy and completeness of all information that was publicly available or was furnished to us by the Company and USA Waste or otherwise reviewed by us. We have not verified the accuracy or completeness of any such information and we have not conducted any evaluation or appraisal of any assets or liabilities, nor have any such evaluations or appraisals been provided to us. In relying on financial analyses and forecasts provided to us, we have assumed that they have been reasonably prepared based on assumptions reflecting the best currently available estimates and judgments by management of the Company and USA Waste, respectively as to the expected future results of operations and financial condition of the Company to which such analyses or forecasts relate.</w:t>
      </w:r>
    </w:p>
    <w:p>
      <w:pPr>
        <w:spacing w:after="0" w:line="169"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In particular, we are expressing no opinion herein as to the price at which the common stock of USA Waste will trade at any future time. Because of the mechanism described in the first paragraph of this opinion for determining the Exchange Ratio, the actual value of the shares of common stock of USA Waste to be issued in exchange for each share of common stock of the Company pursuant to the Merger may vary significantly. Because of the large aggregate amount of common stock of USA Waste being issued to stockholders of the Company pursuant to the Merger and other factors, such securities may trade initially at prices below those at which they would trade on a fully distributed basis.</w:t>
      </w:r>
    </w:p>
    <w:p>
      <w:pPr>
        <w:spacing w:after="0" w:line="16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opinion addresses only the fairness from a financial point of view of the consideration to be received by the stockholders of the Company pursuant to the Merger. We do not express any views on any other terms of the Agreement or any related agreements or arrangements, including any transactions which might occur among USA Waste and any stockholders of the Company after the Merger.</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have acted as financial advisor to the Company with respect to the proposed Merger and will receive a fee from the Company for our services. We will also receive an additional fee if the proposed Merger is consummated. We have acted as financial advisor to the Company since 1992 and advised the Company on the sale of Security Bureau, Inc., a wholly-owned subsidiary of the Company. In the ordinary course of their businesses, affiliates of the undersigned may actively trade the debt and equity securities of the Company or USA Waste, for their own accounts, or for the accounts of customers, and accordingly, may at any time hold a long or short position in such securities.</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On the basis of and subject to the foregoing, it is our opinion as of the date hereof that the consideration to be received by the stockholders of the Company in the proposed Merger is fair, from a financial point of view, to the stockholders of the Company.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letter is provided solely for the benefit of the Board of Directors of the Company in connection with and for the purposes of, their consideration of the Merger, and is not on behalf of, and shall not confer rights or remedies upon, any stockholder of the Company or USA Waste, or any other person other than the Board of Directors of the Company or be used for any other purpose. This opinion may not be used or relied upon by, or disclosed, referred to or communicated by you (in whole or in part) to any third party for any purpose whatsoever except with our prior written consent in each instance. This opinion may be reproduced in full in any proxy or information statement mailed to stockholders of the Company but may not otherwise be disclosed publicly in any manner without our prior written approval and must be treated as confidential.</w:t>
      </w:r>
    </w:p>
    <w:p>
      <w:pPr>
        <w:spacing w:after="0" w:line="18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J.P. MORGAN SECURITIES INC.</w:t>
      </w:r>
    </w:p>
    <w:p>
      <w:pPr>
        <w:spacing w:after="0" w:line="177"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Name: Frederic A. Escherich</w:t>
      </w:r>
    </w:p>
    <w:p>
      <w:pPr>
        <w:spacing w:after="0" w:line="177"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5"/>
          <w:szCs w:val="15"/>
          <w:color w:val="auto"/>
        </w:rPr>
        <w:t>Title: Managing Director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CC-2</w:t>
      </w:r>
    </w:p>
    <w:p>
      <w:pPr>
        <w:sectPr>
          <w:pgSz w:w="11900" w:h="16838" w:orient="portrait"/>
          <w:cols w:equalWidth="0" w:num="1">
            <w:col w:w="10219"/>
          </w:cols>
          <w:pgMar w:left="240" w:top="291"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254</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APPENDIX D</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AGREEMENT AND PLAN OF MERGER</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AGREEMENT AND PLAN OF MERGER ("Agreement") is entered into this</w:t>
      </w:r>
    </w:p>
    <w:p>
      <w:pPr>
        <w:spacing w:after="0" w:line="4"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day of , 1995, by and between USA Waste Services, Inc., an Oklahoma corporation ("USA Waste Oklahoma"), and USA Waste Services, Inc., a Delaware corporation ("USA Waste Delaware").</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WHEREAS, USA Waste Oklahoma is a corporation organized and existing under the laws of the State of Oklahoma, having been incorporated on September 30, 1987; and</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WHEREAS, USA Waste Oklahoma has authorized the issuance of (i) 50,000,000 shares of Common Stock, par value $.01 per share, of which, as of the date hereof, 22,678,822 shares are issued and outstanding and (ii) 10,000,000 shares of Preferred Stock, par value $.01 per share, of which, as of the date hereof, none of which are issued and outstanding; and</w:t>
      </w:r>
    </w:p>
    <w:p>
      <w:pPr>
        <w:spacing w:after="0" w:line="177" w:lineRule="exact"/>
        <w:rPr>
          <w:sz w:val="20"/>
          <w:szCs w:val="20"/>
          <w:color w:val="auto"/>
        </w:rPr>
      </w:pPr>
    </w:p>
    <w:p>
      <w:pPr>
        <w:jc w:val="both"/>
        <w:ind w:right="3199" w:firstLine="451"/>
        <w:spacing w:after="0" w:line="244" w:lineRule="auto"/>
        <w:rPr>
          <w:sz w:val="20"/>
          <w:szCs w:val="20"/>
          <w:color w:val="auto"/>
        </w:rPr>
      </w:pPr>
      <w:r>
        <w:rPr>
          <w:rFonts w:ascii="Courier New" w:cs="Courier New" w:eastAsia="Courier New" w:hAnsi="Courier New"/>
          <w:sz w:val="15"/>
          <w:szCs w:val="15"/>
          <w:color w:val="auto"/>
        </w:rPr>
        <w:t>WHEREAS, USA Waste Delaware is a corporation organized and existing under the laws of the State of Delaware, having been incorporated on April , 1995; and</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WHEREAS, USA Waste Delaware has authorized the issuance of (i) 150,000,000 shares of Common Stock, par value $.01 per share, of which, as of the date hereof, 1,000 shares are issued and outstanding and (ii) 10,000,000 shares of Preferred Stock, par value $.01 per share, of which, as of the date hereof, none of which are issued and outstanding; and</w:t>
      </w:r>
    </w:p>
    <w:p>
      <w:pPr>
        <w:spacing w:after="0" w:line="177"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WHEREAS, USA Waste Oklahoma owns all of the issued and outstanding shares of Common Stock of USA Waste Delaware; and</w:t>
      </w:r>
    </w:p>
    <w:p>
      <w:pPr>
        <w:spacing w:after="0" w:line="17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WHEREAS, the respective Boards of Directors of USA Waste Oklahoma and USA Waste Delaware have determined that, in order to change the domicile of USA Waste Oklahoma from Oklahoma to Delaware, the merger of USA Waste Oklahoma into USA Waste Delaware on the terms and conditions set forth in this Agreement is desirable and in the best interests of the shareholders of USA Waste Oklahoma, the respective Boards of Directors of USA Waste Oklahoma and USA Waste Delaware have approved and adopted this Agreement, and the Board of Directors of USA Waste Oklahoma has directed that this Agreement be submitted to the shareholders of USA Waste Oklahoma for their consideration, approval and adoption;</w:t>
      </w:r>
    </w:p>
    <w:p>
      <w:pPr>
        <w:spacing w:after="0" w:line="164"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NOW, THEREFORE, in consideration of the mutual covenants, agreements, representations and warranties set forth herein and other valuable consideration, the receipt, adequacy and sufficiency of which are hereby acknowledged, the parties agree as follows:</w:t>
      </w:r>
    </w:p>
    <w:p>
      <w:pPr>
        <w:spacing w:after="0" w:line="1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1</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1.1 The Merger. In accordance with the provisions of this Agreement, at the Effective Time (as hereinafter defined), USA Waste Oklahoma shall be merged with and into USA Waste Delaware (the "Merger"), which shall be the surviving corporation and shall continue its corporate existence under the laws of the State of Delaware under the name "USA Waste Services, Inc." (the "Surviving Corporation") unimpaired and unaffected by the Merger. The separate corporate existence of USA Waste Oklahoma shall cease at the Effective Time. USA Waste Oklahoma and USA Waste Delaware are sometimes hereinafter collectively referred to as the "Constituent Corporations."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1.2 Effective Time. The Merger shall become effective at the time of (a)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gridSpan w:val="4"/>
          </w:tcPr>
          <w:p>
            <w:pPr>
              <w:spacing w:after="0"/>
              <w:rPr>
                <w:sz w:val="20"/>
                <w:szCs w:val="20"/>
                <w:color w:val="auto"/>
              </w:rPr>
            </w:pPr>
            <w:r>
              <w:rPr>
                <w:rFonts w:ascii="Courier New" w:cs="Courier New" w:eastAsia="Courier New" w:hAnsi="Courier New"/>
                <w:sz w:val="15"/>
                <w:szCs w:val="15"/>
                <w:color w:val="auto"/>
              </w:rPr>
              <w:t>the filing of a Certificate of</w:t>
            </w:r>
          </w:p>
        </w:tc>
        <w:tc>
          <w:tcPr>
            <w:tcW w:w="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Merger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Secretary</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State of</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w w:val="96"/>
              </w:rPr>
              <w:t>Delaware in</w:t>
            </w:r>
          </w:p>
        </w:tc>
      </w:tr>
      <w:tr>
        <w:trPr>
          <w:trHeight w:val="173"/>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accordance with the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provisions</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Delaware</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General</w:t>
            </w:r>
          </w:p>
        </w:tc>
        <w:tc>
          <w:tcPr>
            <w:tcW w:w="230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Corporation Law, and (b)</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the filing</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of a</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Certificate of</w:t>
            </w:r>
          </w:p>
        </w:tc>
        <w:tc>
          <w:tcPr>
            <w:tcW w:w="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Merger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Secretary</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State of</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w w:val="96"/>
              </w:rPr>
              <w:t>Oklahoma in</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accordance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38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provisions</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Oklahoma</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General</w:t>
            </w:r>
          </w:p>
        </w:tc>
        <w:tc>
          <w:tcPr>
            <w:tcW w:w="230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Corporation Act. USA</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Oklahoma and</w:t>
      </w:r>
    </w:p>
    <w:p>
      <w:pPr>
        <w:sectPr>
          <w:pgSz w:w="11900" w:h="16838" w:orient="portrait"/>
          <w:cols w:equalWidth="0" w:num="1">
            <w:col w:w="10219"/>
          </w:cols>
          <w:pgMar w:left="240" w:top="291"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255</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USA Waste Delaware agree to file the aforementioned Certificates of Merger at the time of the Closing, as hereinafter defined. The date and time when the Merger shall become effective is referred to herein as the "Effective Time."</w:t>
      </w:r>
    </w:p>
    <w:p>
      <w:pPr>
        <w:spacing w:after="0" w:line="17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1.3 Effect of the Merger. (a) The Surviving Corporation shall, without transfer, thereupon and thereafter possess all assets and property of every description, and every interest therein, wherever located, and the rights privileges, immunities, powers, franchises and authority, of a public as well as of a private nature, and be subject to all of the restrictions, disabilities, and duties of each of the Constituent Corporations, and all obligations of or belonging to or due to either of the Constituent Corporations, shall be vested in the Surviving Corporation without further act or deed; all assets and property of every description, and every interest therein, wherever located, and the rights privileges, immunities, powers, franchises, and authority shall thereafter be the property of the Surviving Corporation as effectively as when they were the property of the Constituent Corporations, and the title to any real estate or any interest therein vested in either of the Constituent Corporations shall not revert or in any way be impaired by reason of the Merger; all rights of creditors and all liens upon any property of the Constituent Corporations existing as of the Effective Time shall be preserved unimpaired; and all debts, liabilities, and duties of the Constituent Corporations shall thenceforth attach to the Surviving Corporation and may be enforced against it to the same extent as if such debts, liabilities, and duties had been incurred for or by it; and any action or proceeding, whether civil, criminal, or administrative, pending by or against either Constituent Corporation shall be prosecuted as if the Merger had not taken place, or the Surviving Corporation may be substituted in any such action or proceeding.</w:t>
      </w:r>
    </w:p>
    <w:p>
      <w:pPr>
        <w:spacing w:after="0" w:line="200" w:lineRule="exact"/>
        <w:rPr>
          <w:sz w:val="20"/>
          <w:szCs w:val="20"/>
          <w:color w:val="auto"/>
        </w:rPr>
      </w:pPr>
    </w:p>
    <w:p>
      <w:pPr>
        <w:spacing w:after="0" w:line="311" w:lineRule="exact"/>
        <w:rPr>
          <w:sz w:val="20"/>
          <w:szCs w:val="20"/>
          <w:color w:val="auto"/>
        </w:rPr>
      </w:pPr>
    </w:p>
    <w:p>
      <w:pPr>
        <w:ind w:right="3019" w:firstLine="443"/>
        <w:spacing w:after="0" w:line="244" w:lineRule="auto"/>
        <w:tabs>
          <w:tab w:leader="none" w:pos="81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corporate acts, plans, policies, contracts, approvals, and authorizations of USA Waste Oklahoma and its shareholders, Board of Directors, committees elected or appointed by its Board of Directors, officers, and agents that were valid and effective immediately prior to the Effective Time shall be taken for all purposes as the acts, plans, policies, contracts, approvals, and authorizations of the Surviving Corporation and shall be effective and binding thereon as the same were with respect to USA Waste Oklahoma. Any employees of USA Waste Oklahoma at the Effective Time shall become employees of the Surviving Corporation.</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Constituent Corporations do hereby certify and agree that at any time after the Effective Time the Surviving Corporation may be served with process in the State of Oklahoma in any proceeding for enforcement of any obligation of USA Waste Oklahoma, as well as for enforcement of any obligation of the Surviving Corporation arising from the Merger, including any suit or other proceeding to enforce the right of any shareholder as determined in appraisal proceedings pursuant to the provisions of Section 1091 of the Oklahoma General Corporation Act; the Constituent Corporations do hereby irrevocably appoint the Secretary of State of Oklahoma as their agent to accept service of process in any suit or other proceedings; and a copy of any process served on the Secretary of State of Oklahoma shall be mailed to USA Waste Services, Inc., 5000 Quorum Drive, Suite 300, Dallas, Texas 75240, Attention: Chief Financial Officer.</w:t>
      </w:r>
    </w:p>
    <w:p>
      <w:pPr>
        <w:spacing w:after="0" w:line="182" w:lineRule="exact"/>
        <w:rPr>
          <w:sz w:val="20"/>
          <w:szCs w:val="20"/>
          <w:color w:val="auto"/>
        </w:rPr>
      </w:pPr>
    </w:p>
    <w:p>
      <w:pPr>
        <w:jc w:val="both"/>
        <w:ind w:right="3019" w:firstLine="451"/>
        <w:spacing w:after="0" w:line="262" w:lineRule="auto"/>
        <w:rPr>
          <w:sz w:val="20"/>
          <w:szCs w:val="20"/>
          <w:color w:val="auto"/>
        </w:rPr>
      </w:pPr>
      <w:r>
        <w:rPr>
          <w:rFonts w:ascii="Courier New" w:cs="Courier New" w:eastAsia="Courier New" w:hAnsi="Courier New"/>
          <w:sz w:val="14"/>
          <w:szCs w:val="14"/>
          <w:color w:val="auto"/>
        </w:rPr>
        <w:t>1.4 Closing. The Closing of the transactions contemplated by this Agreement (the "Closing") shall take place at the offices of USA Waste Oklahoma at 10:00</w:t>
      </w:r>
    </w:p>
    <w:p>
      <w:pPr>
        <w:jc w:val="both"/>
        <w:ind w:right="3019"/>
        <w:spacing w:after="0" w:line="244" w:lineRule="auto"/>
        <w:rPr>
          <w:sz w:val="20"/>
          <w:szCs w:val="20"/>
          <w:color w:val="auto"/>
        </w:rPr>
      </w:pPr>
      <w:r>
        <w:rPr>
          <w:rFonts w:ascii="Courier New" w:cs="Courier New" w:eastAsia="Courier New" w:hAnsi="Courier New"/>
          <w:sz w:val="15"/>
          <w:szCs w:val="15"/>
          <w:color w:val="auto"/>
        </w:rPr>
        <w:t>a.m. local time, on , 1995, or at such other place and on such other date as USA Waste Oklahoma and USA Waste Delaware may mutually agree in writing (the "Closing Date").</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1.5 Certificate of Incorporation, Bylaws, and Directors and Officers. The Certificate of Incorporation of USA Waste Delaware, as in effect immediately prior to the Effective Time, shall be the Certificate of Incorporation of the Surviving Corporation until amended as provided by law. The Bylaws of USA Waste Delaware, as in effect immediately prior to the Effective Time, shall be the Bylaws of the Surviving Corporation until amended as provided by law. The directors and officers of USA Waste Oklahoma immediately prior to the Effective Time shall be the directors and officers of the Surviving Corporation, each to hold office in accordance with the Certificate of Incorporation and Bylaws of the Surviving Corporation until their respective successors shall have been elected and qualified.</w:t>
      </w:r>
    </w:p>
    <w:p>
      <w:pPr>
        <w:spacing w:after="0" w:line="180"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1.6 USA Waste Oklahoma's Shareholders Meeting. USA Waste Oklahoma shall submit for consideration, approval and adoption at its 1995 Annual Meeting of Shareholders the Merger and all other actions contemplated by this Agreement which require approval and adoption by USA Waste Oklahoma's shareholders.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DD-2</w:t>
      </w:r>
    </w:p>
    <w:p>
      <w:pPr>
        <w:sectPr>
          <w:pgSz w:w="11900" w:h="16838" w:orient="portrait"/>
          <w:cols w:equalWidth="0" w:num="1">
            <w:col w:w="10219"/>
          </w:cols>
          <w:pgMar w:left="240" w:top="291"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256</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2</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CONVERSION OF SHARES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2.1 Conversion. At the Effective Time, by virtue of the Merger and without any action on the part of the holders thereof:</w:t>
      </w:r>
    </w:p>
    <w:p>
      <w:pPr>
        <w:spacing w:after="0" w:line="176" w:lineRule="exact"/>
        <w:rPr>
          <w:sz w:val="20"/>
          <w:szCs w:val="20"/>
          <w:color w:val="auto"/>
        </w:rPr>
      </w:pPr>
    </w:p>
    <w:p>
      <w:pPr>
        <w:ind w:left="440" w:right="3199" w:firstLine="454"/>
        <w:spacing w:after="0" w:line="244" w:lineRule="auto"/>
        <w:tabs>
          <w:tab w:leader="none" w:pos="125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Common Stock, par value $.01 per share, of USA Waste Delaware issued and outstanding immediately prior to the Effective Time shall be retired and cancelled without payment of any consideration therefor and without any conversions thereof.</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par value $.01 per share, of USA Waste Oklahoma issued and outstanding immediately prior to the Effective Time ("USA Waste Oklahoma Common Stock") (except for shares of USA Waste Oklahoma Common Stock held as treasury shares of USA Waste Oklahoma, all of which shall be retired and cancelled) shall automatically be converted by reason of the Merger and without any action by the holders thereof into and become one share of Common Stock of the Surviving Corporation ("USA Waste Delaware Common Stock"); the shares of USA Waste Oklahoma Common Stock so converted shall cease to exist as such and shall exist only as shares of USA Waste Delaware Common Stock.</w:t>
      </w:r>
    </w:p>
    <w:p>
      <w:pPr>
        <w:spacing w:after="0" w:line="179"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to purchase shares of USA Waste Oklahoma Common Stock outstanding immediately prior to the Effective Time under or pursuant to USA Waste Oklahoma's 1990 Stock Option Plan, USA Waste Oklahoma's 1993 Stock Incentive Plan and Envirofil's 1993 Stock Option Plan shall continue outstanding as an option to purchase, in lieu of the right to purchase shares of USA Waste Oklahoma Common Stock, the same number of shares of USA Waste Delaware Common Stock upon the same terms and conditions as applicable immediately prior to the Effective Time under the relevant Option Plan. To the extent that USA Waste Oklahoma has obligated itself to issue options prior to the Merger pursuant to the aforementioned Option Plans, the Surviving Corporation shall remain liable to issue such options upon the satisfaction of the conditions precedent to the issuance thereof, until such Option Plans are amended or terminated in accordance with their respective terms.</w:t>
      </w:r>
    </w:p>
    <w:p>
      <w:pPr>
        <w:spacing w:after="0" w:line="181"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warrant or option (other than options included in Section</w:t>
      </w:r>
    </w:p>
    <w:p>
      <w:pPr>
        <w:spacing w:after="0" w:line="4" w:lineRule="exact"/>
        <w:rPr>
          <w:sz w:val="20"/>
          <w:szCs w:val="20"/>
          <w:color w:val="auto"/>
        </w:rPr>
      </w:pPr>
    </w:p>
    <w:p>
      <w:pPr>
        <w:ind w:left="440" w:right="3099"/>
        <w:spacing w:after="0" w:line="244" w:lineRule="auto"/>
        <w:rPr>
          <w:sz w:val="20"/>
          <w:szCs w:val="20"/>
          <w:color w:val="auto"/>
        </w:rPr>
      </w:pPr>
      <w:r>
        <w:rPr>
          <w:rFonts w:ascii="Courier New" w:cs="Courier New" w:eastAsia="Courier New" w:hAnsi="Courier New"/>
          <w:sz w:val="15"/>
          <w:szCs w:val="15"/>
          <w:color w:val="auto"/>
        </w:rPr>
        <w:t>2.1(c)) to purchase shares of USA Waste Oklahoma Common Stock outstanding immediately prior to the Effective Time shall continue outstanding as a warrant or option to purchase, in lieu of the right to purchase each share of USA Waste Oklahoma Common Stock, the same number of shares of USA Waste Delaware Common Stock upon the same terms and conditions as applicable immediately prior to the Effective Time under the relevant warrant or option.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2.2 Exchange of Certificates. (a) If the Merger is approved by the shareholders of USA Waste Oklahoma as described in Section 3.1(a), after the Effective Time, each holder of an outstanding certificate or certificates representing shares of USA Waste Oklahoma Common Stock may, but is not required to, surrender such certificate or certificates to USA Waste Oklahoma along with such other documents as may be deemed necessary by USA Waste Oklahoma and the Surviving Corporation effectively to surrender and exchange such certificate or certificates. From and after the Effective Time and until certificates representing shares of USA Waste Oklahoma Common Stock are surrendered for exchange or registration of transfer, all certificates that prior to the Effective Time of the Merger represented shares of USA Waste Oklahoma Common Stock shall be deemed for all purposes to represent and evidence the same number of shares of USA Waste Delaware Common Stock into which they were so converted under the terms of Section 2.1(b) of this Agreement.</w:t>
      </w:r>
    </w:p>
    <w:p>
      <w:pPr>
        <w:spacing w:after="0" w:line="182" w:lineRule="exact"/>
        <w:rPr>
          <w:sz w:val="20"/>
          <w:szCs w:val="20"/>
          <w:color w:val="auto"/>
        </w:rPr>
      </w:pPr>
    </w:p>
    <w:p>
      <w:pPr>
        <w:ind w:right="3019" w:firstLine="443"/>
        <w:spacing w:after="0" w:line="244" w:lineRule="auto"/>
        <w:tabs>
          <w:tab w:leader="none" w:pos="81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whenever certificates that formerly represented USA Waste Oklahoma Common Stock are presented for exchange or registration of transfer, the Surviving Corporation shall cause to be issued in respect thereof certificates representing an equal number of shares of the USA Waste Delaware Common Stock. If certificates for USA Waste Delaware Common Stock are to be delivered to or in the name of a person other than the person in whose name a surrendered certificate is registered, the surrendered certificate shall be properly endorsed or otherwise be in proper form for transfer and the person requesting the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DD-3</w:t>
      </w:r>
    </w:p>
    <w:p>
      <w:pPr>
        <w:sectPr>
          <w:pgSz w:w="11900" w:h="16838" w:orient="portrait"/>
          <w:cols w:equalWidth="0" w:num="1">
            <w:col w:w="10219"/>
          </w:cols>
          <w:pgMar w:left="240" w:top="291"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257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transfer shall pay to USA Waste Delaware all transfer or other taxes required by reason of the change in ownership or establish to USA Waste Delaware's satisfaction that such taxes have been or are not required to be paid.</w:t>
      </w:r>
    </w:p>
    <w:p>
      <w:pPr>
        <w:spacing w:after="0" w:line="175" w:lineRule="exact"/>
        <w:rPr>
          <w:sz w:val="20"/>
          <w:szCs w:val="20"/>
          <w:color w:val="auto"/>
        </w:rPr>
      </w:pPr>
    </w:p>
    <w:p>
      <w:pPr>
        <w:ind w:right="3099" w:firstLine="443"/>
        <w:spacing w:after="0" w:line="244" w:lineRule="auto"/>
        <w:tabs>
          <w:tab w:leader="none" w:pos="81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certificate formerly representing shares of USA Waste Oklahoma Common Stock shall have been lost, stolen, or destroyed, upon the making of an affidavit in form and substance satisfactory to USA Waste Delaware of that fact by the person claiming the certificate to be lost, stolen or destroyed and subject to such other conditions as USA Waste Delaware may reasonably impose, USA Waste Delaware shall issue in exchange for the lost, stolen or destroyed certificate a certificate representing the shares of USA Waste Delaware Common Stock. When authorizing the issuance of the shares of USA Waste Delaware Common Stock in exchange therefor, USA Waste Delaware may, in its discretion and as a condition precedent to the issuance thereof, require the owner of such a certificate to give USA Waste Delaware a bond or other indemnity in any amount reasonably satisfactory to USA Waste Delaware against any claim arising against USA Waste Delaware with respect to the stolen or destroyed certificate.</w:t>
      </w:r>
    </w:p>
    <w:p>
      <w:pPr>
        <w:spacing w:after="0" w:line="181" w:lineRule="exact"/>
        <w:rPr>
          <w:rFonts w:ascii="Courier New" w:cs="Courier New" w:eastAsia="Courier New" w:hAnsi="Courier New"/>
          <w:sz w:val="15"/>
          <w:szCs w:val="15"/>
          <w:color w:val="auto"/>
        </w:rPr>
      </w:pPr>
    </w:p>
    <w:p>
      <w:pPr>
        <w:ind w:right="3379" w:firstLine="443"/>
        <w:spacing w:after="0" w:line="244" w:lineRule="auto"/>
        <w:tabs>
          <w:tab w:leader="none" w:pos="81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USA Waste Delaware Common Stock into which USA Waste Oklahoma Common Stock shall have been converted pursuant to this Section 2.2 shall be deemed to have been issued in full satisfaction of all rights pertaining to such converted shares and shall, when issued pursuant to the provisions hereof, be validly issued, fully paid, and nonassessable.</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3</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CONDITIONS TO CLOSING</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respective obligations of USA Waste Oklahoma and USA Waste Delaware to enter into the Merger are subject to the satisfaction at or prior to the Effective Time of the following conditions:</w:t>
      </w:r>
    </w:p>
    <w:p>
      <w:pPr>
        <w:spacing w:after="0" w:line="175" w:lineRule="exact"/>
        <w:rPr>
          <w:sz w:val="20"/>
          <w:szCs w:val="20"/>
          <w:color w:val="auto"/>
        </w:rPr>
      </w:pPr>
    </w:p>
    <w:p>
      <w:pPr>
        <w:ind w:left="440" w:right="3019" w:firstLine="454"/>
        <w:spacing w:after="0" w:line="244" w:lineRule="auto"/>
        <w:tabs>
          <w:tab w:leader="none" w:pos="125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This Agreement and the Merger shall have been authorized and approved by the shareholders of USA Waste Oklahoma in accordance with the provisions of Sections 1082 and 1083 of the Oklahoma General Corporation Act and the stockholder of USA Waste Delaware in accordance with Section 252 and 253 of the Delaware General Corporation Law. After approval and adoption of this Agreement by the shareholders of each of the Constituent Corporations, all required documents shall be executed, verified, filed, and recorded and all required acts shall be done in order to accomplish the Merger under the provisions of the applicable statutes of the States of Oklahoma and Delaware.</w:t>
      </w:r>
    </w:p>
    <w:p>
      <w:pPr>
        <w:spacing w:after="0" w:line="179"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The shares of USA Waste Delaware Common Stock to be issued or reserved for issuance shall have been approved for listing upon official notice of issuance by the New York Stock Exchange.</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USA Waste Oklahoma shall have received, in form and substance satisfactory to it, an opinion of Snell &amp; Smith, P.C. with respect to certain Federal income tax effects of the Merger.</w:t>
      </w:r>
    </w:p>
    <w:p>
      <w:pPr>
        <w:spacing w:after="0" w:line="174"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As of the Effective Time, no action, suit or</w:t>
      </w:r>
    </w:p>
    <w:p>
      <w:pPr>
        <w:spacing w:after="0" w:line="4" w:lineRule="exact"/>
        <w:rPr>
          <w:rFonts w:ascii="Courier New" w:cs="Courier New" w:eastAsia="Courier New" w:hAnsi="Courier New"/>
          <w:sz w:val="15"/>
          <w:szCs w:val="15"/>
          <w:color w:val="auto"/>
        </w:rPr>
      </w:pPr>
    </w:p>
    <w:p>
      <w:pPr>
        <w:ind w:left="44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 shall have been instituted or, to the knowledge of the parties, be pending or threatened before any court or other governmental body by any public agency or governmental authority seeking to restrain, enjoin or prohibit the consummation of the transactions contemplated hereby or to seek damages on other relief in connection therewith against any officer or director of USA Waste Oklahoma or USA Waste Delaware.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DD-4</w:t>
      </w:r>
    </w:p>
    <w:p>
      <w:pPr>
        <w:sectPr>
          <w:pgSz w:w="11900" w:h="16838" w:orient="portrait"/>
          <w:cols w:equalWidth="0" w:num="1">
            <w:col w:w="10219"/>
          </w:cols>
          <w:pgMar w:left="240" w:top="291"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258</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4</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ABANDONMENT OF MERGER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Notwithstanding anything contained in this Agreement to the contrary, this Agreement may be terminated and the Merger abandoned at any time prior to the Effective Time, whether before or after adoption and approval of this Agreement by the shareholders of USA Waste Oklahoma:</w:t>
      </w:r>
    </w:p>
    <w:p>
      <w:pPr>
        <w:spacing w:after="0" w:line="176" w:lineRule="exact"/>
        <w:rPr>
          <w:sz w:val="20"/>
          <w:szCs w:val="20"/>
          <w:color w:val="auto"/>
        </w:rPr>
      </w:pPr>
    </w:p>
    <w:p>
      <w:pPr>
        <w:ind w:left="440" w:right="3019" w:firstLine="454"/>
        <w:spacing w:after="0" w:line="243" w:lineRule="auto"/>
        <w:tabs>
          <w:tab w:leader="none" w:pos="125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consent of the Boards of Directors of USA Waste Oklahoma and USA Waste Delaware; or</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Board of Directors of USA Waste Oklahoma or the Board of Directors of USA Waste Delaware if a court of competent jurisdiction or governmental, regulatory or administrative agency or commission shall have issued an order, decree or ruling (which order, decree or ruling the parties shall use their best efforts to have vacated or reversed), in each case permanently restraining, enjoining or otherwise prohibiting the transactions contemplated by this Agreement, and such order, decree or ruling shall have become final and nonappealable; or</w:t>
      </w:r>
    </w:p>
    <w:p>
      <w:pPr>
        <w:spacing w:after="0" w:line="178" w:lineRule="exact"/>
        <w:rPr>
          <w:rFonts w:ascii="Courier New" w:cs="Courier New" w:eastAsia="Courier New" w:hAnsi="Courier New"/>
          <w:sz w:val="15"/>
          <w:szCs w:val="15"/>
          <w:color w:val="auto"/>
        </w:rPr>
      </w:pPr>
    </w:p>
    <w:p>
      <w:pPr>
        <w:jc w:val="both"/>
        <w:ind w:left="440" w:right="3099" w:firstLine="454"/>
        <w:spacing w:after="0" w:line="244" w:lineRule="auto"/>
        <w:tabs>
          <w:tab w:leader="none" w:pos="125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Board of Directors of USA Waste Oklahoma, if such Board of Directors determines that the consummation of the transaction provided for herein would not, for any reason, be in the best interests of USA Waste Oklahoma and its shareholders.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5</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MISCELLANEOUS PROVISIONS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5.1 Complete Agreement. This Agreement contains a complete and exclusive statement of the agreement of the parties with respect to the subject matter hereof, and all prior negotiations and agreements between the parties are superseded by this Agreement.</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5.2 Waiver and Amendment. Any representation, warranty, covenant, term or condition of this Agreement which may legally be waived, may be waived, or the time of performance thereof extended, at any time by the party entitled to the benefit thereof, and any term, condition or covenant hereof (including, without limitation, the period during which any condition is to be satisfied or any obligation performed) may be amended by the parties at any time. Any waiver, extension or amendment shall be evidenced by any instrument in writing executed on behalf of the appropriate party or parties or on its behalf by its Chairman, President or any Vice President or other person who has been authorized by its Board of Directors to execute waivers, extensions or amendments on its behalf.</w:t>
      </w:r>
    </w:p>
    <w:p>
      <w:pPr>
        <w:spacing w:after="0" w:line="180"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5.3 Assignment; Binding Effect. This Agreement may not be assigned by either party without the written consent of the other party. This Agreement shall be binding upon and inure to the benefit of the parties and their respective successors and permitted assigns.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5.4 Notices. Any notice, demand, claim or other communication under this Agreement shall be in writing and shall be deemed to have been given upon the delivery or mailing thereof, as the case may be, if delivered personally or sent by certified mail, return receipt requested, postage prepaid, to the parties at such address as a party may specify by notice to the other.</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5.5 Additional Agreements. Subject to the terms and conditions of this Agreement, each of the parties agrees to use its best efforts in good faith to take or cause to be taken as promptly as practicable all action and to do or cause to be done all things necessary or advisable to consummate and make effective the transaction contemplated by this Agreement. In case at any time after the Effective Time any further action is necessary or advisable to carry out the purposes of this Agreement, each party to this Agreement shall take all such action. If at any time the Surviving Corporation shall consider or be advised that any further assignment or assurance in law or other action is necessary or desirable to vest, perfect, or confirm, of record or otherwise, in the Surviving Corporation the title to any property or rights of USA Waste Oklahoma acquired or to be acquired as a result of the Merger, the proper officers and directors of USA Waste Oklahoma and of the Surviving Corporation shall be and they hereby are severally and fully authorized to execute and deliver such</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DD-5</w:t>
      </w:r>
    </w:p>
    <w:p>
      <w:pPr>
        <w:sectPr>
          <w:pgSz w:w="11900" w:h="16838" w:orient="portrait"/>
          <w:cols w:equalWidth="0" w:num="1">
            <w:col w:w="10219"/>
          </w:cols>
          <w:pgMar w:left="240" w:top="291"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259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deeds, assignments, and assurances in law and to take such other action as may be necessary or proper in the name of USA Waste Oklahoma or the Surviving Corporation, respectively, to vest, perfect, or confirm title to such property or rights in the Surviving Corporation and otherwise to carry out the purpose of this Agreement.</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5.6 Governing Law. As to all matters of law, this Agreement shall be governed by and construed in accordance with Delaware law, regardless of the laws that might otherwise be applicable under principles of conflicts of law.</w:t>
      </w:r>
    </w:p>
    <w:p>
      <w:pPr>
        <w:spacing w:after="0" w:line="17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5.7 Headings. Any headings in this Agreement are solely for convenience of reference and shall not affect its interpretation.</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5.8 Execution of Counterparts. This Agreement may be executed in several counterparts, each of which shall be deemed an original and all of which together shall constitute one and the same instrument.</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5.9 Severability. If any provision of this Agreement is held or deemed to be, or in fact is, invalid, inoperative or unenforceable for any reason, this Agreement shall be construed as though such invalid, inoperative or unenforceable provision had never been contained in this Agreement.</w:t>
      </w:r>
    </w:p>
    <w:p>
      <w:pPr>
        <w:spacing w:after="0" w:line="176"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IN WITNESS WHEREOF, the parties hereto have executed and delivered this Agreement on the day and year first above written.</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INC.,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Oklahoma corporation</w:t>
      </w:r>
    </w:p>
    <w:p>
      <w:pPr>
        <w:spacing w:after="0" w:line="178" w:lineRule="exact"/>
        <w:rPr>
          <w:sz w:val="20"/>
          <w:szCs w:val="20"/>
          <w:color w:val="auto"/>
        </w:rPr>
      </w:pPr>
    </w:p>
    <w:p>
      <w:pPr>
        <w:sectPr>
          <w:pgSz w:w="11900" w:h="16838" w:orient="portrait"/>
          <w:cols w:equalWidth="0" w:num="2">
            <w:col w:w="3700" w:space="720"/>
            <w:col w:w="5799"/>
          </w:cols>
          <w:pgMar w:left="240" w:top="291" w:right="1440" w:bottom="1440" w:gutter="0" w:footer="0" w:header="0"/>
          <w:type w:val="continuous"/>
        </w:sectPr>
      </w:pPr>
    </w:p>
    <w:p>
      <w:pPr>
        <w:ind w:right="1360"/>
        <w:spacing w:after="0" w:line="244" w:lineRule="auto"/>
        <w:rPr>
          <w:sz w:val="20"/>
          <w:szCs w:val="20"/>
          <w:color w:val="auto"/>
        </w:rPr>
      </w:pPr>
      <w:r>
        <w:rPr>
          <w:rFonts w:ascii="Courier New" w:cs="Courier New" w:eastAsia="Courier New" w:hAnsi="Courier New"/>
          <w:sz w:val="15"/>
          <w:szCs w:val="15"/>
          <w:color w:val="auto"/>
        </w:rPr>
        <w:t>__________________________ Name: Gregory T. Sangalis Title: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By:________________________</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sectPr>
          <w:pgSz w:w="11900" w:h="16838" w:orient="portrait"/>
          <w:cols w:equalWidth="0" w:num="2">
            <w:col w:w="3700" w:space="720"/>
            <w:col w:w="579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USA WASTE SERVICES, INC.,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178" w:lineRule="exact"/>
        <w:rPr>
          <w:sz w:val="20"/>
          <w:szCs w:val="20"/>
          <w:color w:val="auto"/>
        </w:rPr>
      </w:pPr>
    </w:p>
    <w:p>
      <w:pPr>
        <w:sectPr>
          <w:pgSz w:w="11900" w:h="16838" w:orient="portrait"/>
          <w:cols w:equalWidth="0" w:num="2">
            <w:col w:w="3700" w:space="720"/>
            <w:col w:w="5799"/>
          </w:cols>
          <w:pgMar w:left="240" w:top="291" w:right="1440" w:bottom="1440" w:gutter="0" w:footer="0" w:header="0"/>
          <w:type w:val="continuous"/>
        </w:sectPr>
      </w:pPr>
    </w:p>
    <w:p>
      <w:pPr>
        <w:ind w:right="1360"/>
        <w:spacing w:after="0" w:line="244" w:lineRule="auto"/>
        <w:rPr>
          <w:sz w:val="20"/>
          <w:szCs w:val="20"/>
          <w:color w:val="auto"/>
        </w:rPr>
      </w:pPr>
      <w:r>
        <w:rPr>
          <w:rFonts w:ascii="Courier New" w:cs="Courier New" w:eastAsia="Courier New" w:hAnsi="Courier New"/>
          <w:sz w:val="15"/>
          <w:szCs w:val="15"/>
          <w:color w:val="auto"/>
        </w:rPr>
        <w:t>__________________________ Name: Gregory T. Sangalis Title: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By:________________________</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2" w:lineRule="exact"/>
        <w:rPr>
          <w:sz w:val="20"/>
          <w:szCs w:val="20"/>
          <w:color w:val="auto"/>
        </w:rPr>
      </w:pPr>
    </w:p>
    <w:p>
      <w:pPr>
        <w:sectPr>
          <w:pgSz w:w="11900" w:h="16838" w:orient="portrait"/>
          <w:cols w:equalWidth="0" w:num="2">
            <w:col w:w="3700" w:space="720"/>
            <w:col w:w="5799"/>
          </w:cols>
          <w:pgMar w:left="240" w:top="291" w:right="1440" w:bottom="1440" w:gutter="0" w:footer="0" w:header="0"/>
          <w:type w:val="continuous"/>
        </w:sectPr>
      </w:pPr>
    </w:p>
    <w:p>
      <w:pPr>
        <w:spacing w:after="0" w:line="149"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DD-6</w:t>
      </w:r>
    </w:p>
    <w:p>
      <w:pPr>
        <w:sectPr>
          <w:pgSz w:w="11900" w:h="16838" w:orient="portrait"/>
          <w:cols w:equalWidth="0" w:num="1">
            <w:col w:w="10219"/>
          </w:cols>
          <w:pgMar w:left="240" w:top="291" w:right="1440" w:bottom="1440" w:gutter="0" w:footer="0" w:header="0"/>
          <w:type w:val="continuous"/>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260</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APPENDIX E</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CERTIFICATE OF INCORPORATION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First: The name of the Corporation is USA Waste Services, Inc.</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w:t>
      </w:r>
    </w:p>
    <w:p>
      <w:pPr>
        <w:spacing w:after="0" w:line="177"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Third: The nature of the business, objects and purposes to be transacted, promoted or carried on by the Corporation is:</w:t>
      </w:r>
    </w:p>
    <w:p>
      <w:pPr>
        <w:spacing w:after="0" w:line="176" w:lineRule="exact"/>
        <w:rPr>
          <w:sz w:val="20"/>
          <w:szCs w:val="20"/>
          <w:color w:val="auto"/>
        </w:rPr>
      </w:pPr>
    </w:p>
    <w:p>
      <w:pPr>
        <w:ind w:left="440" w:right="3739" w:firstLine="451"/>
        <w:spacing w:after="0" w:line="243" w:lineRule="auto"/>
        <w:rPr>
          <w:sz w:val="20"/>
          <w:szCs w:val="20"/>
          <w:color w:val="auto"/>
        </w:rPr>
      </w:pPr>
      <w:r>
        <w:rPr>
          <w:rFonts w:ascii="Courier New" w:cs="Courier New" w:eastAsia="Courier New" w:hAnsi="Courier New"/>
          <w:sz w:val="15"/>
          <w:szCs w:val="15"/>
          <w:color w:val="auto"/>
        </w:rPr>
        <w:t>To engage in any lawful activity for which corporations may be organized under the General Corporation Law of Delaware.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Fourth: The total number of shares of capital stock which the Corporation shall have authority to issue is one hundred sixty million (160,000,000), divided into one hundred fifty million (150,000,000) shares of Common Stock of the par value of one cent ($0.01) per share and ten million (10,000,000) shares of Preferred Stock of the par value of one cent ($0.01) per share.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such rights, if any, as the Board of Directors in its discretion from time to time may grant and at such price as the Board of Directors in its discretion may fix.</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 The holders of Common Stock shall have the right to one vote per share on all questions to the exclusion of all other classes of stock, except as by law expressly provided or as otherwise herein expressly provided with respect to the holders of any other class or classes of stock.</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179" w:lineRule="exact"/>
        <w:rPr>
          <w:sz w:val="20"/>
          <w:szCs w:val="20"/>
          <w:color w:val="auto"/>
        </w:rPr>
      </w:pPr>
    </w:p>
    <w:p>
      <w:pPr>
        <w:ind w:left="440" w:right="3099" w:firstLine="454"/>
        <w:spacing w:after="0" w:line="243" w:lineRule="auto"/>
        <w:tabs>
          <w:tab w:leader="none" w:pos="125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constituting that series and the distinctive designation of that series;</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175" w:lineRule="exact"/>
        <w:rPr>
          <w:rFonts w:ascii="Courier New" w:cs="Courier New" w:eastAsia="Courier New" w:hAnsi="Courier New"/>
          <w:sz w:val="15"/>
          <w:szCs w:val="15"/>
          <w:color w:val="auto"/>
        </w:rPr>
      </w:pPr>
    </w:p>
    <w:p>
      <w:pPr>
        <w:ind w:left="440" w:right="3019" w:firstLine="454"/>
        <w:spacing w:after="0" w:line="243" w:lineRule="auto"/>
        <w:tabs>
          <w:tab w:leader="none" w:pos="125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voting rights, in addition to the voting rights provided by law, and, if so, the terms of such voting rights;</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ectPr>
          <w:pgSz w:w="11900" w:h="16838" w:orient="portrait"/>
          <w:cols w:equalWidth="0" w:num="1">
            <w:col w:w="10219"/>
          </w:cols>
          <w:pgMar w:left="240" w:top="291" w:right="1440" w:bottom="1440" w:gutter="0" w:footer="0" w:header="0"/>
        </w:sectPr>
      </w:pPr>
    </w:p>
    <w:bookmarkStart w:id="267" w:name="page268"/>
    <w:bookmarkEnd w:id="267"/>
    <w:p>
      <w:pPr>
        <w:ind w:left="268"/>
        <w:spacing w:after="0"/>
        <w:rPr>
          <w:sz w:val="20"/>
          <w:szCs w:val="20"/>
          <w:color w:val="auto"/>
        </w:rPr>
      </w:pPr>
      <w:r>
        <w:rPr>
          <w:rFonts w:ascii="Courier New" w:cs="Courier New" w:eastAsia="Courier New" w:hAnsi="Courier New"/>
          <w:sz w:val="15"/>
          <w:szCs w:val="15"/>
          <w:color w:val="auto"/>
        </w:rPr>
        <w:t>261</w:t>
      </w:r>
    </w:p>
    <w:p>
      <w:pPr>
        <w:spacing w:after="0" w:line="178" w:lineRule="exact"/>
        <w:rPr>
          <w:sz w:val="20"/>
          <w:szCs w:val="20"/>
          <w:color w:val="auto"/>
        </w:rPr>
      </w:pPr>
    </w:p>
    <w:p>
      <w:pPr>
        <w:ind w:left="448" w:right="3019" w:firstLine="454"/>
        <w:spacing w:after="0" w:line="244" w:lineRule="auto"/>
        <w:tabs>
          <w:tab w:leader="none" w:pos="125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176" w:lineRule="exact"/>
        <w:rPr>
          <w:rFonts w:ascii="Courier New" w:cs="Courier New" w:eastAsia="Courier New" w:hAnsi="Courier New"/>
          <w:sz w:val="15"/>
          <w:szCs w:val="15"/>
          <w:color w:val="auto"/>
        </w:rPr>
      </w:pPr>
    </w:p>
    <w:p>
      <w:pPr>
        <w:jc w:val="both"/>
        <w:ind w:left="448" w:right="3199" w:firstLine="454"/>
        <w:spacing w:after="0" w:line="244" w:lineRule="auto"/>
        <w:tabs>
          <w:tab w:leader="none" w:pos="125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a sinking fund for the redemption or purchase of shares of that series, and, if so, the terms and amount of such sinking fund;</w:t>
      </w:r>
    </w:p>
    <w:p>
      <w:pPr>
        <w:spacing w:after="0" w:line="175" w:lineRule="exact"/>
        <w:rPr>
          <w:rFonts w:ascii="Courier New" w:cs="Courier New" w:eastAsia="Courier New" w:hAnsi="Courier New"/>
          <w:sz w:val="15"/>
          <w:szCs w:val="15"/>
          <w:color w:val="auto"/>
        </w:rPr>
      </w:pPr>
    </w:p>
    <w:p>
      <w:pPr>
        <w:ind w:left="448" w:right="3099" w:firstLine="454"/>
        <w:spacing w:after="0" w:line="244" w:lineRule="auto"/>
        <w:tabs>
          <w:tab w:leader="none" w:pos="125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shares of that series in the event of voluntary or involuntary liquidation, dissolution or winding up of the Corporation, and the relative rights of priority, if any, of payment of shares of that series;</w:t>
      </w:r>
    </w:p>
    <w:p>
      <w:pPr>
        <w:spacing w:after="0" w:line="175" w:lineRule="exact"/>
        <w:rPr>
          <w:rFonts w:ascii="Courier New" w:cs="Courier New" w:eastAsia="Courier New" w:hAnsi="Courier New"/>
          <w:sz w:val="15"/>
          <w:szCs w:val="15"/>
          <w:color w:val="auto"/>
        </w:rPr>
      </w:pPr>
    </w:p>
    <w:p>
      <w:pPr>
        <w:ind w:left="448" w:right="3379" w:firstLine="454"/>
        <w:spacing w:after="0" w:line="243" w:lineRule="auto"/>
        <w:tabs>
          <w:tab w:leader="none" w:pos="125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relative rights, preferences and limitations of that series; or</w:t>
      </w:r>
    </w:p>
    <w:p>
      <w:pPr>
        <w:spacing w:after="0" w:line="175" w:lineRule="exact"/>
        <w:rPr>
          <w:rFonts w:ascii="Courier New" w:cs="Courier New" w:eastAsia="Courier New" w:hAnsi="Courier New"/>
          <w:sz w:val="15"/>
          <w:szCs w:val="15"/>
          <w:color w:val="auto"/>
        </w:rPr>
      </w:pPr>
    </w:p>
    <w:p>
      <w:pPr>
        <w:ind w:left="1268" w:hanging="366"/>
        <w:spacing w:after="0"/>
        <w:tabs>
          <w:tab w:leader="none" w:pos="1268"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or all of the foregoing terms.</w:t>
      </w:r>
    </w:p>
    <w:p>
      <w:pPr>
        <w:spacing w:after="0" w:line="177" w:lineRule="exact"/>
        <w:rPr>
          <w:rFonts w:ascii="Courier New" w:cs="Courier New" w:eastAsia="Courier New" w:hAnsi="Courier New"/>
          <w:sz w:val="15"/>
          <w:szCs w:val="15"/>
          <w:color w:val="auto"/>
        </w:rPr>
      </w:pPr>
    </w:p>
    <w:p>
      <w:pPr>
        <w:ind w:left="8" w:right="3099" w:firstLine="443"/>
        <w:spacing w:after="0" w:line="244" w:lineRule="auto"/>
        <w:tabs>
          <w:tab w:leader="none" w:pos="72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179" w:lineRule="exact"/>
        <w:rPr>
          <w:rFonts w:ascii="Courier New" w:cs="Courier New" w:eastAsia="Courier New" w:hAnsi="Courier New"/>
          <w:sz w:val="15"/>
          <w:szCs w:val="15"/>
          <w:color w:val="auto"/>
        </w:rPr>
      </w:pPr>
    </w:p>
    <w:p>
      <w:pPr>
        <w:ind w:left="8" w:right="3019" w:firstLine="443"/>
        <w:spacing w:after="0" w:line="263" w:lineRule="auto"/>
        <w:tabs>
          <w:tab w:leader="none" w:pos="72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169"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Fifth: The name and mailing address of the incorporator is John T. Unger and his mailing address is 1000 Louisiana, Suite 3650, Houston, Texas 77002-5012.</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Sixth: The Corporation is to have perpetual existence.</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Seventh: Elections of directors need not be by written ballot unless the bylaws of the Corporation shall so provide. Meetings of stockholders may be held within or without the State of Delaware, as the bylaws may provide. 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Eighth: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left="8" w:right="3019" w:hanging="8"/>
        <w:spacing w:after="0" w:line="263" w:lineRule="auto"/>
        <w:tabs>
          <w:tab w:leader="none" w:pos="54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Certificate of Incorporation nor any amendment, alteration, or repeal of this Article Eighth, nor the adoption of any provision of the Certificate of Incorporation inconsistent with this Article Eighth, shall adversely effect, eliminate, or reduce any right or protection of a director of the Corporation hereunder with respect to any act, omission or matter occurring, or any action, suit, or claim that, but for this Article Eighth, would accrue or arise, prior to the time of such</w:t>
      </w:r>
    </w:p>
    <w:p>
      <w:pPr>
        <w:spacing w:after="0" w:line="16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EE-2</w:t>
      </w:r>
    </w:p>
    <w:p>
      <w:pPr>
        <w:sectPr>
          <w:pgSz w:w="11900" w:h="16838" w:orient="portrait"/>
          <w:cols w:equalWidth="0" w:num="1">
            <w:col w:w="10227"/>
          </w:cols>
          <w:pgMar w:left="232" w:top="291"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262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amendment, modification, repeal, or adoption of an inconsistent provision. All references in this Article to a "director" shall also be deemed to refer to such person or persons, if any, who pursuant to a provision of the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Ninth: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Ninth shall be deemed to have met the standard of conduct required for such indemnification unless the contrary shall be established.</w:t>
      </w:r>
    </w:p>
    <w:p>
      <w:pPr>
        <w:spacing w:after="0" w:line="18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Tenth: (A) Except as otherwise provided in this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79" w:lineRule="exact"/>
        <w:rPr>
          <w:sz w:val="20"/>
          <w:szCs w:val="20"/>
          <w:color w:val="auto"/>
        </w:rPr>
      </w:pPr>
    </w:p>
    <w:p>
      <w:pPr>
        <w:ind w:right="3019" w:firstLine="443"/>
        <w:spacing w:after="0" w:line="263" w:lineRule="auto"/>
        <w:tabs>
          <w:tab w:leader="none" w:pos="81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39"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pursuant to the provisions of this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EE-3</w:t>
      </w:r>
    </w:p>
    <w:p>
      <w:pPr>
        <w:sectPr>
          <w:pgSz w:w="11900" w:h="16838" w:orient="portrait"/>
          <w:cols w:equalWidth="0" w:num="1">
            <w:col w:w="10219"/>
          </w:cols>
          <w:pgMar w:left="240" w:top="291"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263</w:t>
      </w:r>
    </w:p>
    <w:p>
      <w:pPr>
        <w:spacing w:after="0" w:line="178" w:lineRule="exact"/>
        <w:rPr>
          <w:sz w:val="20"/>
          <w:szCs w:val="20"/>
          <w:color w:val="auto"/>
        </w:rPr>
      </w:pPr>
    </w:p>
    <w:p>
      <w:pPr>
        <w:ind w:right="3019" w:firstLine="443"/>
        <w:spacing w:after="0" w:line="244" w:lineRule="auto"/>
        <w:tabs>
          <w:tab w:leader="none" w:pos="81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77"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Certificate of Incorporation applicable thereto, and such directors so elected shall not be divided into classes pursuant to this Article Tenth unless expressly provided by such terms.</w:t>
      </w:r>
    </w:p>
    <w:p>
      <w:pPr>
        <w:spacing w:after="0" w:line="177"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Certificate of</w:t>
      </w:r>
    </w:p>
    <w:p>
      <w:pPr>
        <w:spacing w:after="0" w:line="4" w:lineRule="exact"/>
        <w:rPr>
          <w:rFonts w:ascii="Courier New" w:cs="Courier New" w:eastAsia="Courier New" w:hAnsi="Courier New"/>
          <w:sz w:val="15"/>
          <w:szCs w:val="15"/>
          <w:color w:val="auto"/>
        </w:rPr>
      </w:pPr>
    </w:p>
    <w:p>
      <w:pPr>
        <w:ind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or the bylaws of the Corporation (and notwithstanding the fact that a lesser percentage may be specified by law, this Certificate of Incorporation or the bylaws of the Corporation), the affirmative vote, at any regular meeting or special meeting of the stockholders, of not less than two-thirds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Tenth, but only if notice of the proposed alteration or amendment was contained in the notice of such meeting.</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Eleventh: The names and mailing addresses of the initial directors who are to serve as directors until the first annual meeting of stockholders or until their successors are elected and qualify are:</w:t>
      </w:r>
    </w:p>
    <w:p>
      <w:pPr>
        <w:spacing w:after="0" w:line="200" w:lineRule="exact"/>
        <w:rPr>
          <w:sz w:val="20"/>
          <w:szCs w:val="20"/>
          <w:color w:val="auto"/>
        </w:rPr>
      </w:pPr>
    </w:p>
    <w:p>
      <w:pPr>
        <w:spacing w:after="0" w:line="321"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2420" w:type="dxa"/>
            <w:vAlign w:val="bottom"/>
          </w:tcPr>
          <w:p>
            <w:pPr>
              <w:ind w:left="900"/>
              <w:spacing w:after="0"/>
              <w:rPr>
                <w:sz w:val="20"/>
                <w:szCs w:val="20"/>
                <w:color w:val="auto"/>
              </w:rPr>
            </w:pPr>
            <w:r>
              <w:rPr>
                <w:rFonts w:ascii="Courier New" w:cs="Courier New" w:eastAsia="Courier New" w:hAnsi="Courier New"/>
                <w:sz w:val="15"/>
                <w:szCs w:val="15"/>
                <w:color w:val="auto"/>
              </w:rPr>
              <w:t>NAME</w:t>
            </w:r>
          </w:p>
        </w:tc>
        <w:tc>
          <w:tcPr>
            <w:tcW w:w="600" w:type="dxa"/>
            <w:vAlign w:val="bottom"/>
          </w:tcPr>
          <w:p>
            <w:pPr>
              <w:spacing w:after="0"/>
              <w:rPr>
                <w:sz w:val="14"/>
                <w:szCs w:val="14"/>
                <w:color w:val="auto"/>
              </w:rPr>
            </w:pPr>
          </w:p>
        </w:tc>
        <w:tc>
          <w:tcPr>
            <w:tcW w:w="2200" w:type="dxa"/>
            <w:vAlign w:val="bottom"/>
          </w:tcPr>
          <w:p>
            <w:pPr>
              <w:ind w:left="580"/>
              <w:spacing w:after="0"/>
              <w:rPr>
                <w:sz w:val="20"/>
                <w:szCs w:val="20"/>
                <w:color w:val="auto"/>
              </w:rPr>
            </w:pPr>
            <w:r>
              <w:rPr>
                <w:rFonts w:ascii="Courier New" w:cs="Courier New" w:eastAsia="Courier New" w:hAnsi="Courier New"/>
                <w:sz w:val="15"/>
                <w:szCs w:val="15"/>
                <w:color w:val="auto"/>
              </w:rPr>
              <w:t>ADDRESS</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Donald F. Moorehead, Jr.</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5000</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Quorum Drive, Suite 300</w:t>
            </w:r>
          </w:p>
        </w:tc>
      </w:tr>
      <w:tr>
        <w:trPr>
          <w:trHeight w:val="173"/>
        </w:trPr>
        <w:tc>
          <w:tcPr>
            <w:tcW w:w="2420" w:type="dxa"/>
            <w:vAlign w:val="bottom"/>
          </w:tcPr>
          <w:p>
            <w:pPr>
              <w:spacing w:after="0"/>
              <w:rPr>
                <w:sz w:val="15"/>
                <w:szCs w:val="15"/>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Dallas, Texas 75240</w:t>
            </w: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5000</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Quorum Drive, Suite 300</w:t>
            </w:r>
          </w:p>
        </w:tc>
      </w:tr>
      <w:tr>
        <w:trPr>
          <w:trHeight w:val="173"/>
        </w:trPr>
        <w:tc>
          <w:tcPr>
            <w:tcW w:w="2420" w:type="dxa"/>
            <w:vAlign w:val="bottom"/>
          </w:tcPr>
          <w:p>
            <w:pPr>
              <w:spacing w:after="0"/>
              <w:rPr>
                <w:sz w:val="15"/>
                <w:szCs w:val="15"/>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Dallas, Texas 75240</w:t>
            </w: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David Sutherland-Yoest</w:t>
            </w: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rPr>
              <w:t>5000</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Quorum Drive, Suite 300</w:t>
            </w:r>
          </w:p>
        </w:tc>
      </w:tr>
      <w:tr>
        <w:trPr>
          <w:trHeight w:val="173"/>
        </w:trPr>
        <w:tc>
          <w:tcPr>
            <w:tcW w:w="2420" w:type="dxa"/>
            <w:vAlign w:val="bottom"/>
          </w:tcPr>
          <w:p>
            <w:pPr>
              <w:spacing w:after="0"/>
              <w:rPr>
                <w:sz w:val="15"/>
                <w:szCs w:val="15"/>
                <w:color w:val="auto"/>
              </w:rPr>
            </w:pPr>
          </w:p>
        </w:tc>
        <w:tc>
          <w:tcPr>
            <w:tcW w:w="2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Dallas, Texas 75240</w:t>
            </w: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Twelfth: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Thirteenth: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EE-4</w:t>
      </w:r>
    </w:p>
    <w:p>
      <w:pPr>
        <w:sectPr>
          <w:pgSz w:w="11900" w:h="16838" w:orient="portrait"/>
          <w:cols w:equalWidth="0" w:num="1">
            <w:col w:w="10219"/>
          </w:cols>
          <w:pgMar w:left="240" w:top="291"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264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Fourteenth: The Corporation reserves the right at any time, and from time to time, to amend, alter, change, or repeal any provision contained in this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rights reserved in this Article; provided, however, that the Corporation shall not amend Article Tenth to be effective on a date other than a date on which directors are to be elected.</w:t>
      </w:r>
    </w:p>
    <w:p>
      <w:pPr>
        <w:spacing w:after="0" w:line="180"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 the undersigned being the incorporator hereinbefore named, for the purpose of forming a corporation pursuant to the General Corporation Law of Delaware, do make this certificate, hereby declaring that this is my act and deed and that the facts herein stated are true, and accordingly have hereunto set my hand this 27th day of April, 1995.</w:t>
      </w:r>
    </w:p>
    <w:p>
      <w:pPr>
        <w:spacing w:after="0" w:line="177"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JOHN T. UNGER</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EE-5</w:t>
      </w:r>
    </w:p>
    <w:p>
      <w:pPr>
        <w:sectPr>
          <w:pgSz w:w="11900" w:h="16838" w:orient="portrait"/>
          <w:cols w:equalWidth="0" w:num="1">
            <w:col w:w="10219"/>
          </w:cols>
          <w:pgMar w:left="240" w:top="291"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265</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APPENDIX F</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BY-LAWS</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OFFICES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MEETINGS OF STOCKHOLDERS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 meeting is to be held, which place shall be specified in the notice, or if not so specified, at the place where the meeting is to be held. The list shall also be produced and kept at the time and place of the meeting during the whole time thereof, and may be inspected by any stockholder who is present.</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w:t>
      </w:r>
    </w:p>
    <w:p>
      <w:pPr>
        <w:sectPr>
          <w:pgSz w:w="11900" w:h="16838" w:orient="portrait"/>
          <w:cols w:equalWidth="0" w:num="1">
            <w:col w:w="10219"/>
          </w:cols>
          <w:pgMar w:left="240" w:top="291"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266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Notwithstanding the other provisions of the Certificate of Incorporation or these by-laws, the chairman of the meeting or the holders of a majority of the shares of such stock,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84"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34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2.8. Voting of Stock of Certain Holders; Elections: Inspectors. Shares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FF-2</w:t>
      </w:r>
    </w:p>
    <w:p>
      <w:pPr>
        <w:sectPr>
          <w:pgSz w:w="11900" w:h="16838" w:orient="portrait"/>
          <w:cols w:equalWidth="0" w:num="1">
            <w:col w:w="10219"/>
          </w:cols>
          <w:pgMar w:left="240" w:top="291"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5"/>
          <w:szCs w:val="15"/>
          <w:color w:val="auto"/>
        </w:rPr>
        <w:t>267</w:t>
      </w:r>
    </w:p>
    <w:p>
      <w:pPr>
        <w:spacing w:after="0" w:line="178"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the Corporation, he has expressly empowered the pledgee to vote thereon, in which case only the pledgee, or his proxy, may represent the stock and vote thereon.</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78" w:lineRule="exact"/>
        <w:rPr>
          <w:sz w:val="20"/>
          <w:szCs w:val="20"/>
          <w:color w:val="auto"/>
        </w:rPr>
      </w:pPr>
    </w:p>
    <w:p>
      <w:pPr>
        <w:ind w:left="1260" w:hanging="366"/>
        <w:spacing w:after="0"/>
        <w:tabs>
          <w:tab w:leader="none" w:pos="12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only one votes, his act binds all;</w:t>
      </w:r>
    </w:p>
    <w:p>
      <w:pPr>
        <w:spacing w:after="0" w:line="176"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more than one vote, the act of the majority so voting binds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w:t>
      </w:r>
    </w:p>
    <w:p>
      <w:pPr>
        <w:spacing w:after="0" w:line="178" w:lineRule="exact"/>
        <w:rPr>
          <w:sz w:val="20"/>
          <w:szCs w:val="20"/>
          <w:color w:val="auto"/>
        </w:rPr>
      </w:pPr>
    </w:p>
    <w:p>
      <w:pPr>
        <w:ind w:left="440" w:right="3019" w:firstLine="454"/>
        <w:spacing w:after="0" w:line="244" w:lineRule="auto"/>
        <w:tabs>
          <w:tab w:leader="none" w:pos="1251"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180"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Unless otherwise provided in the Certificate of Incorporation, cumulative voting for the election of directors shall be prohibited.</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President, or if neither the Chairman of the Board (if any), the Vice Chairman of the Board (if any) nor President is present, by a chairman elected at the meeting.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183" w:lineRule="exact"/>
        <w:rPr>
          <w:sz w:val="20"/>
          <w:szCs w:val="20"/>
          <w:color w:val="auto"/>
        </w:rPr>
      </w:pPr>
    </w:p>
    <w:p>
      <w:pPr>
        <w:ind w:left="1260" w:hanging="366"/>
        <w:spacing w:after="0"/>
        <w:tabs>
          <w:tab w:leader="none" w:pos="12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Calling of meeting to order.</w:t>
      </w:r>
    </w:p>
    <w:p>
      <w:pPr>
        <w:spacing w:after="0" w:line="177" w:lineRule="exact"/>
        <w:rPr>
          <w:rFonts w:ascii="Courier New" w:cs="Courier New" w:eastAsia="Courier New" w:hAnsi="Courier New"/>
          <w:sz w:val="15"/>
          <w:szCs w:val="15"/>
          <w:color w:val="auto"/>
        </w:rPr>
      </w:pPr>
    </w:p>
    <w:p>
      <w:pPr>
        <w:ind w:left="440" w:right="3559" w:firstLine="454"/>
        <w:spacing w:after="0" w:line="243" w:lineRule="auto"/>
        <w:tabs>
          <w:tab w:leader="none" w:pos="125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a chairman and the appointment of a secretary if necessary.</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proof of the due calling of the meeting.</w:t>
      </w:r>
    </w:p>
    <w:p>
      <w:pPr>
        <w:spacing w:after="0" w:line="176"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and examination of proxies and determination of a</w:t>
      </w:r>
    </w:p>
    <w:p>
      <w:pPr>
        <w:spacing w:after="0" w:line="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quorum.</w:t>
      </w:r>
    </w:p>
    <w:p>
      <w:pPr>
        <w:spacing w:after="0" w:line="176"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Reading and settlement of the minutes of the previous meeting.</w:t>
      </w:r>
    </w:p>
    <w:p>
      <w:pPr>
        <w:spacing w:after="0" w:line="176"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of officers and committees.</w:t>
      </w:r>
    </w:p>
    <w:p>
      <w:pPr>
        <w:spacing w:after="0" w:line="177" w:lineRule="exact"/>
        <w:rPr>
          <w:rFonts w:ascii="Courier New" w:cs="Courier New" w:eastAsia="Courier New" w:hAnsi="Courier New"/>
          <w:sz w:val="15"/>
          <w:szCs w:val="15"/>
          <w:color w:val="auto"/>
        </w:rPr>
      </w:pPr>
    </w:p>
    <w:p>
      <w:pPr>
        <w:ind w:left="440" w:right="3559" w:firstLine="454"/>
        <w:spacing w:after="0" w:line="243" w:lineRule="auto"/>
        <w:tabs>
          <w:tab w:leader="none" w:pos="125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directors if an annual meeting, or a meeting called for that purpose.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FF-3</w:t>
      </w:r>
    </w:p>
    <w:p>
      <w:pPr>
        <w:sectPr>
          <w:pgSz w:w="11900" w:h="16838" w:orient="portrait"/>
          <w:cols w:equalWidth="0" w:num="1">
            <w:col w:w="10219"/>
          </w:cols>
          <w:pgMar w:left="240" w:top="291"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5"/>
          <w:szCs w:val="15"/>
          <w:color w:val="auto"/>
        </w:rPr>
        <w:t>268</w:t>
      </w:r>
    </w:p>
    <w:p>
      <w:pPr>
        <w:spacing w:after="0" w:line="177" w:lineRule="exact"/>
        <w:rPr>
          <w:sz w:val="20"/>
          <w:szCs w:val="20"/>
          <w:color w:val="auto"/>
        </w:rPr>
      </w:pPr>
    </w:p>
    <w:p>
      <w:pPr>
        <w:ind w:left="1260" w:hanging="366"/>
        <w:spacing w:after="0"/>
        <w:tabs>
          <w:tab w:leader="none" w:pos="12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Unfinished business.</w:t>
      </w:r>
    </w:p>
    <w:p>
      <w:pPr>
        <w:spacing w:after="0" w:line="176"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business.</w:t>
      </w:r>
    </w:p>
    <w:p>
      <w:pPr>
        <w:spacing w:after="0" w:line="176"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2.10. Treasury Stock. The Corporation shall not vote, directly or indirectly, shares of its own stock owned by it; and such shares shall not be counted in determining the total number of outstanding shares.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 after any such record dated fixed as aforesaid. With respect to a meeting of stockholders, the record date shall not be less than ten days before the date of such meeting.</w:t>
      </w:r>
    </w:p>
    <w:p>
      <w:pPr>
        <w:spacing w:after="0" w:line="186"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President, or the Board of Directors, (b) otherwise properly brought before the meeting by or at the direction of the Chairman of the Board, the President, or the Board of Directors, or (c) otherwise properly brought before the meeting by a stockholder.</w:t>
      </w:r>
    </w:p>
    <w:p>
      <w:pPr>
        <w:spacing w:after="0" w:line="179"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FF-4</w:t>
      </w:r>
    </w:p>
    <w:p>
      <w:pPr>
        <w:sectPr>
          <w:pgSz w:w="11900" w:h="16838" w:orient="portrait"/>
          <w:cols w:equalWidth="0" w:num="1">
            <w:col w:w="10219"/>
          </w:cols>
          <w:pgMar w:left="240" w:top="291"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5"/>
          <w:szCs w:val="15"/>
          <w:color w:val="auto"/>
        </w:rPr>
        <w:t>269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 the special meeting was mailed or such 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 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180"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w:t>
      </w:r>
    </w:p>
    <w:p>
      <w:pPr>
        <w:spacing w:after="0" w:line="1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FF-5</w:t>
      </w:r>
    </w:p>
    <w:p>
      <w:pPr>
        <w:sectPr>
          <w:pgSz w:w="11900" w:h="16838" w:orient="portrait"/>
          <w:cols w:equalWidth="0" w:num="1">
            <w:col w:w="10219"/>
          </w:cols>
          <w:pgMar w:left="240" w:top="291"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5"/>
          <w:szCs w:val="15"/>
          <w:color w:val="auto"/>
        </w:rPr>
        <w:t>270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17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III</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BOARD OF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Delaware or stockholders of the Corporation.</w:t>
      </w:r>
    </w:p>
    <w:p>
      <w:pPr>
        <w:spacing w:after="0" w:line="181"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a resolution duly adopted by the Board of Directors.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3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82"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In the event of any increase or decrease in the authorized number of directors, the newly created or eliminated directorships resulting from such increase or decrease shall be appointed or determined by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FF-6</w:t>
      </w:r>
    </w:p>
    <w:p>
      <w:pPr>
        <w:sectPr>
          <w:pgSz w:w="11900" w:h="16838" w:orient="portrait"/>
          <w:cols w:equalWidth="0" w:num="1">
            <w:col w:w="10219"/>
          </w:cols>
          <w:pgMar w:left="240" w:top="291"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5"/>
          <w:szCs w:val="15"/>
          <w:color w:val="auto"/>
        </w:rPr>
        <w:t>271</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Board of Directors among the three classes of directors so as to maintain such classes as nearly equally as possible. 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 expires and when the director's successor is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by resolution, either within or without the State of Delaware, without notice other than such resolution.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3.6. Notice of Special Meeting. Personal written, telegraphic, cable or wireless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by resolution.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6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 If a quorum shall not be present at any meeting of the Board of Directors, the directors present thereat may adjourn the meeting from time to time, without notice other than announcement at the meeting, until a quorum shall be present.</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FF-7</w:t>
      </w:r>
    </w:p>
    <w:p>
      <w:pPr>
        <w:sectPr>
          <w:pgSz w:w="11900" w:h="16838" w:orient="portrait"/>
          <w:cols w:equalWidth="0" w:num="1">
            <w:col w:w="10219"/>
          </w:cols>
          <w:pgMar w:left="240" w:top="291"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272</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18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IV</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COMMITTEE OF DIRECTORS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4.1. Designation, Powers and Name. The Board of Directors shall designated an Executive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FF-8</w:t>
      </w:r>
    </w:p>
    <w:p>
      <w:pPr>
        <w:sectPr>
          <w:pgSz w:w="11900" w:h="16838" w:orient="portrait"/>
          <w:cols w:equalWidth="0" w:num="1">
            <w:col w:w="10219"/>
          </w:cols>
          <w:pgMar w:left="240" w:top="291" w:right="1440" w:bottom="1440" w:gutter="0" w:footer="0" w:header="0"/>
        </w:sectPr>
      </w:pPr>
    </w:p>
    <w:bookmarkStart w:id="279" w:name="page280"/>
    <w:bookmarkEnd w:id="279"/>
    <w:p>
      <w:pPr>
        <w:ind w:left="268"/>
        <w:spacing w:after="0"/>
        <w:rPr>
          <w:sz w:val="20"/>
          <w:szCs w:val="20"/>
          <w:color w:val="auto"/>
        </w:rPr>
      </w:pPr>
      <w:r>
        <w:rPr>
          <w:rFonts w:ascii="Courier New" w:cs="Courier New" w:eastAsia="Courier New" w:hAnsi="Courier New"/>
          <w:sz w:val="15"/>
          <w:szCs w:val="15"/>
          <w:color w:val="auto"/>
        </w:rPr>
        <w:t>273</w:t>
      </w:r>
    </w:p>
    <w:p>
      <w:pPr>
        <w:spacing w:after="0" w:line="178"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limitations of authority as may be determined from time to time by the by-laws or the resolution adopted by the Board of Directors.</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4.2. Executive Committee. The Executive Committee of the Board of Directors (the "Executive Committee") shall consist of not less than two directors to be designated by the Board of Directors. None of the members of the Executive Committee need be officers of the Corporation. The Executive Committee shall have and may exercise all of the powers of the Board of Directors during the period between meetings of the Board of Directors except as reserved to the Board of Directors or as delegated by these by-laws or by the Board of Directors to another standing committee or as may be prohibited by law and, except further, that the Executive Committee shall not have the power to elect officers of the Corporation.</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4.3. Compensation Committee. The Compensation Committee of the Board of Directors (the "Compensation Committee") shall consist of not less than three directors, a majority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The Compensation Committee shall have and may exercise all of the powers of the Board of Directors during the period between meetings of the Board of Directors, except as may be prohibited by law, with respect to (i) studying, recommending, adopting, implementing, administering, determining, and authorizing the amount, terms, and conditions of payment of any and all forms of compensation for the Corporation's directors, officers, employees, and agents and (ii) approving and administering any loan to, guarantee of any obligation of, or other assistance to any officer or other employee of the Corporation or any of its subsidiaries, including any officer or employee who is a director of the Corporation or any of its subsidiaries.</w:t>
      </w:r>
    </w:p>
    <w:p>
      <w:pPr>
        <w:spacing w:after="0" w:line="184"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SECTION 4.4. Audit Committee. The Audit Committee of the Board of Directors (the "Audit Committee") shall consist of not less than two directors, all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and who is free from any relationship that, in the opinion of the Board of Directors, would interfere with the designated director's exercise of independent judgment as a committee member. The Audit Committee shall have and may exercise all of the powers of the Board of Directors, except as may be prohibited by law, with respect to (i) the selection and recommendation for employment by the Corporation, subject to approval by the Board of Directors and the stockholders, of a firm of certified public accountants to audit the books and accounts of the Corporation and its subsidiaries for the fiscal year in which they are appointed and who shall report to the Audit Committee, (ii) reviewing the audit and other work and reports submitted by the certified public accountants, conferring with the auditors, and reporting thereon to the Board of Directors with such recommendations as the Audit Committee may deem appropriate, (iii) reviewing annually the maintenance and safekeeping of the Corporation's books and records,</w:t>
      </w:r>
    </w:p>
    <w:p>
      <w:pPr>
        <w:spacing w:after="0" w:line="165" w:lineRule="exact"/>
        <w:rPr>
          <w:sz w:val="20"/>
          <w:szCs w:val="20"/>
          <w:color w:val="auto"/>
        </w:rPr>
      </w:pPr>
    </w:p>
    <w:p>
      <w:pPr>
        <w:ind w:left="8" w:right="3019" w:hanging="8"/>
        <w:spacing w:after="0" w:line="264" w:lineRule="auto"/>
        <w:tabs>
          <w:tab w:leader="none" w:pos="45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 with the Corporation's principal financial and accounting officers, the certified public accountants and auditors, and other officers and employees of the Corporation as the Audit Committee shall deem necessary in order to determine the adequacy of the Corporation's accounting principles and operating policies, controls, and practices, its public financial reporting policies and practices, and the results of the Corporation's annual audit, and (v) retaining such professional assistance, including outside counsel, auditors, and others, as the Audit Committee shall deem necessary or advisable, in connection with the exercise of its powers on such terms as the Audit Committee shall deem necessary or advisable to protect the interests of the stockholders of the Corporation.</w:t>
      </w:r>
    </w:p>
    <w:p>
      <w:pPr>
        <w:spacing w:after="0" w:line="16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4.5. Procedure; Meetings; Quorum. Any committee designated pursuant to Sections 4.1, 4.2, 4.3, or 4.4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w:t>
      </w:r>
    </w:p>
    <w:p>
      <w:pPr>
        <w:spacing w:after="0" w:line="18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FF-9</w:t>
      </w:r>
    </w:p>
    <w:p>
      <w:pPr>
        <w:sectPr>
          <w:pgSz w:w="11900" w:h="16838" w:orient="portrait"/>
          <w:cols w:equalWidth="0" w:num="1">
            <w:col w:w="10227"/>
          </w:cols>
          <w:pgMar w:left="232" w:top="291"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274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 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179"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SECTION 4.6. Compensation. Members of special or standing committees may be allowed compensation for attending committee meetings, if the Board of Directors shall so determine.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V</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NOTICE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telegram, telegraphic, cable or wireless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If sent by telegram, notice to a director or member of a committee shall be deemed to be given when the telegram, so addressed, is delivered to the telegraph company. Notice shall be deemed to have been given on the date of any telegraphic, cable or wireless transmission.</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5.2. Written Waiver. Whenever any notice is required to be given under the provisions of the statutes, the Certificate of Incorporation or these by-laws,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 by-laws.</w:t>
      </w:r>
    </w:p>
    <w:p>
      <w:pPr>
        <w:spacing w:after="0" w:line="18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OFFICERS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6.1. Officers. The officers of the Corporation shall be a Chairman of the Board, one or more Vice Chairmen of the Board, a Chief Executive Officer, a President, one or more Vice Presidents, any one or more of which may be designated Executive Vice President or Senior Vice President, a Secretary,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With the foregoing exceptions, none of the other officers need be a director, and none of the officers need be a stockholder of the Corporation.</w:t>
      </w:r>
    </w:p>
    <w:p>
      <w:pPr>
        <w:spacing w:after="0" w:line="1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FF-10</w:t>
      </w:r>
    </w:p>
    <w:p>
      <w:pPr>
        <w:sectPr>
          <w:pgSz w:w="11900" w:h="16838" w:orient="portrait"/>
          <w:cols w:equalWidth="0" w:num="1">
            <w:col w:w="10219"/>
          </w:cols>
          <w:pgMar w:left="240" w:top="291"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5"/>
          <w:szCs w:val="15"/>
          <w:color w:val="auto"/>
        </w:rPr>
        <w:t>275</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6.2. Term of Office.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0"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SECTION 6.4. Vacancies. Any vacancy occurring in any office of the Corporation by death, resignation, removal or otherwise, may be filled by the Board of Directors for the unexpired portion of the term.</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6.6. Chairman of the Board. The Chairman of the Board (if such office is created by the Board) shall have all powers and shall perform all duties incident to the office of Chairman of the Board. The Chairman shall preside at all meetings of the Board of Directors or of the stockholders of the Corporation. In the Chairman's absence, such duties shall be attended to by the Vice Chairman of the Board (if any, but if there is more than one, the Vice Chairman who is senior in terms of time as such) or (if there is no Vice Chairman) by the President. The Chairman shall formulate and submit to the Board of Directors or the Executive Committee (if any) matters of general policy of the Corporation and shall have such other powers and perform such other duties as usually appertain to the office or as may be prescribed by the Board of Directors or the executive committee. The Chairman of the Board may hold such other offices as the Board of Directors may determine.</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6.7. Vice Chairmen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or of the stockholders of the Corporation. In the Chairman's and Vice Chairmen's absence, such duties shall be attended to by the President. The Vice Chairmen shall perform such other duties, and shall have such other powers, as from time to time may be assigned to them by the Board of Directors or the Executive Committee (if any).</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the Chief Executive Officer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The Chief Executive Officer shall keep the Board of Directors and the Executive Committee fully informed and shall consult them concerning the business of the Corporation. He shall perform all other duties normally incident to the office of Chief Executive Officer and such other duties, and shall have such other powers, as may be prescribed by the stockholders, the Board of Directors or the Executive Committee (if any) from time to time.</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FF-11</w:t>
      </w:r>
    </w:p>
    <w:p>
      <w:pPr>
        <w:sectPr>
          <w:pgSz w:w="11900" w:h="16838" w:orient="portrait"/>
          <w:cols w:equalWidth="0" w:num="1">
            <w:col w:w="10219"/>
          </w:cols>
          <w:pgMar w:left="240" w:top="291"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5"/>
          <w:szCs w:val="15"/>
          <w:color w:val="auto"/>
        </w:rPr>
        <w:t>276</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In the absence of the Chairman of the Board and the Chief Executive Officer, the President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such other duties, and shall have such other powers, as may be prescribed by these by-laws, the Board of Directors, or the Executive Committee (if any) from time to time. In the discretion of the Board of Directors, the President may also serve as chief executive officer of the Corporation.</w:t>
      </w:r>
    </w:p>
    <w:p>
      <w:pPr>
        <w:spacing w:after="0" w:line="19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6.10.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 in terms of time as a Vice President of the Corporation shall so act. Any Vice President may sign, with the Secretary or Assistant Secretary, certificates for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18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6.11.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such other duties, and shall have such other powers, as from time to time may be assigned to him by these by-laws, the Chief Executive Officer, the President, the Board of Directors, or the Executive Committee (if any).</w:t>
      </w:r>
    </w:p>
    <w:p>
      <w:pPr>
        <w:spacing w:after="0" w:line="33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6.12. Controller. The Controller shall (a) have charge and custody of and be responsible for all funds and securities of the Corporation; receive and give receipts for moneys due and payable to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FF-12</w:t>
      </w:r>
    </w:p>
    <w:p>
      <w:pPr>
        <w:sectPr>
          <w:pgSz w:w="11900" w:h="16838" w:orient="portrait"/>
          <w:cols w:equalWidth="0" w:num="1">
            <w:col w:w="10219"/>
          </w:cols>
          <w:pgMar w:left="240" w:top="291"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5"/>
          <w:szCs w:val="15"/>
          <w:color w:val="auto"/>
        </w:rPr>
        <w:t>277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Corporation from any source whatsoever and deposit all such moneys in the name of the Corporation in such banks, trust companies, or other depositories as shall be selected in accordance with the provisions of Section 7.3 of these by-laws; (b) prepare, or cause to be prepared, for submission at each regular meeting of the Board of Directors, at each annual meeting of the stockholders, and at such other times as may be required by the Board of Directors, the President or the executive committee (if any), a statement of financial condition of the Corporation in such detail as may be required; and (c) in general, shall have all powers and shall perform all the duties incident to the office of Controller and such other duties, and shall have such other powers, as from time to time may be assigned to him by these by-laws, the Chief Executive Officer, the President, the Board of Directors, or the Executive Committee (if any). If required by the Board of Directors, the Controller shall give a bond for the faithful discharge of his duties in such sum and with such surety or sureties as the Board of Directors shall determine.</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6.13.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The Assistant 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182"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VII</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CONTRACTS, CHECKS AND DEPOSITS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7.1. Contracts. Except as otherwise provided in these by-laws or by law or as otherwise directed by the Board of Directors, the Chairman of the Board, the Chief Executive Officer, the President, and Vice President, or the Secretary shall be authorized to execute and deliver, in the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Chairman of the Board, the Chief Executive Officer, or the President or, if designated by the Board of Directors, the Chairman of the Board,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33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depositary by the Controller and/or such other officers or persons as the Board of Directors from time to time may designate.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FF-13</w:t>
      </w:r>
    </w:p>
    <w:p>
      <w:pPr>
        <w:sectPr>
          <w:pgSz w:w="11900" w:h="16838" w:orient="portrait"/>
          <w:cols w:equalWidth="0" w:num="1">
            <w:col w:w="10219"/>
          </w:cols>
          <w:pgMar w:left="240" w:top="291"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5"/>
          <w:szCs w:val="15"/>
          <w:color w:val="auto"/>
        </w:rPr>
        <w:t>278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to do so,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18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ARTICLE VIII</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CERTIFICATES OF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8.1. Issuance. The shares of the Corporation shall be represented by certificates, provided that the Board of Directors may provide by resolution that some or all classes or series of the Corporation's stock may be uncertificated shares. Any such resolution shall not apply to shares represented by a certificate until such certificate is surrendered. Notwithstanding the adoption of such a resolution by the Board of Directors, every holder of stock represented by certificates and upon request every holder of uncertificated shares shall be entitled to a certificate or certificates showing the number of shares of stock registered in his name on the books of the Corporation.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Chairman of the Board,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9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of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FF-14</w:t>
      </w:r>
    </w:p>
    <w:p>
      <w:pPr>
        <w:sectPr>
          <w:pgSz w:w="11900" w:h="16838" w:orient="portrait"/>
          <w:cols w:equalWidth="0" w:num="1">
            <w:col w:w="10219"/>
          </w:cols>
          <w:pgMar w:left="240" w:top="291"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5"/>
          <w:szCs w:val="15"/>
          <w:color w:val="auto"/>
        </w:rPr>
        <w:t>279</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upon such terms and with such indemnity, if any, to the Corporation as the Board of Directors may prescribe. Certificates shall not be issued representing fractional shares of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destructions of any such certificate or the issuance of such new certificate or uncertificated shares, or both.</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8.3. Transfers.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78" w:lineRule="exact"/>
        <w:rPr>
          <w:sz w:val="20"/>
          <w:szCs w:val="20"/>
          <w:color w:val="auto"/>
        </w:rPr>
      </w:pPr>
    </w:p>
    <w:p>
      <w:pPr>
        <w:ind w:right="3199" w:firstLine="451"/>
        <w:spacing w:after="0" w:line="267" w:lineRule="auto"/>
        <w:rPr>
          <w:sz w:val="20"/>
          <w:szCs w:val="20"/>
          <w:color w:val="auto"/>
        </w:rPr>
      </w:pPr>
      <w:r>
        <w:rPr>
          <w:rFonts w:ascii="Courier New" w:cs="Courier New" w:eastAsia="Courier New" w:hAnsi="Courier New"/>
          <w:sz w:val="14"/>
          <w:szCs w:val="14"/>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16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IX</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FF-15</w:t>
      </w:r>
    </w:p>
    <w:p>
      <w:pPr>
        <w:sectPr>
          <w:pgSz w:w="11900" w:h="16838" w:orient="portrait"/>
          <w:cols w:equalWidth="0" w:num="1">
            <w:col w:w="10219"/>
          </w:cols>
          <w:pgMar w:left="240" w:top="291"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5"/>
          <w:szCs w:val="15"/>
          <w:color w:val="auto"/>
        </w:rPr>
        <w:t>280</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X</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INDEMNIFICATION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19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 with respect to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9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10.4. Insurance. The</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Corporation may</w:t>
            </w:r>
          </w:p>
        </w:tc>
        <w:tc>
          <w:tcPr>
            <w:tcW w:w="2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purchase and maintain</w:t>
            </w:r>
          </w:p>
        </w:tc>
      </w:tr>
      <w:tr>
        <w:trPr>
          <w:trHeight w:val="173"/>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insurance on</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behalf of any person</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who is or was a</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director, officer,</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w w:val="96"/>
              </w:rPr>
              <w:t>employee or</w:t>
            </w:r>
          </w:p>
        </w:tc>
      </w:tr>
      <w:tr>
        <w:trPr>
          <w:trHeight w:val="173"/>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agent of the</w:t>
            </w:r>
          </w:p>
        </w:tc>
        <w:tc>
          <w:tcPr>
            <w:tcW w:w="3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Corporation, or is or was serving at</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the request of the</w:t>
            </w:r>
          </w:p>
        </w:tc>
        <w:tc>
          <w:tcPr>
            <w:tcW w:w="1040" w:type="dxa"/>
            <w:vAlign w:val="bottom"/>
          </w:tcPr>
          <w:p>
            <w:pPr>
              <w:spacing w:after="0"/>
              <w:rPr>
                <w:sz w:val="15"/>
                <w:szCs w:val="15"/>
                <w:color w:val="auto"/>
              </w:rPr>
            </w:pPr>
          </w:p>
        </w:tc>
      </w:tr>
      <w:tr>
        <w:trPr>
          <w:trHeight w:val="347"/>
        </w:trPr>
        <w:tc>
          <w:tcPr>
            <w:tcW w:w="1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FF-16</w:t>
            </w: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5"/>
          <w:szCs w:val="15"/>
          <w:color w:val="auto"/>
        </w:rPr>
        <w:t>281</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6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X.</w:t>
      </w:r>
    </w:p>
    <w:p>
      <w:pPr>
        <w:spacing w:after="0" w:line="181"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16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XI</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MISCELLANEOUS</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176" w:lineRule="exact"/>
        <w:rPr>
          <w:sz w:val="20"/>
          <w:szCs w:val="20"/>
          <w:color w:val="auto"/>
        </w:rPr>
      </w:pPr>
    </w:p>
    <w:p>
      <w:pPr>
        <w:jc w:val="both"/>
        <w:ind w:right="3019" w:firstLine="451"/>
        <w:spacing w:after="0" w:line="243" w:lineRule="auto"/>
        <w:rPr>
          <w:sz w:val="20"/>
          <w:szCs w:val="20"/>
          <w:color w:val="auto"/>
        </w:rPr>
      </w:pPr>
      <w:r>
        <w:rPr>
          <w:rFonts w:ascii="Courier New" w:cs="Courier New" w:eastAsia="Courier New" w:hAnsi="Courier New"/>
          <w:sz w:val="15"/>
          <w:szCs w:val="15"/>
          <w:color w:val="auto"/>
        </w:rPr>
        <w:t>SECTION 11.3. Fiscal Year. The fiscal year of the Corporation shall be such as established from time to time by the Board of Directors.</w:t>
      </w:r>
    </w:p>
    <w:p>
      <w:pPr>
        <w:spacing w:after="0" w:line="176"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SECTION 11.4. Resignations. Any director, member of a committee, or officer may resign at any time. Such resignation shall be made in writing and shall take effect at the time specified therein, or if no time be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FF-17</w:t>
      </w:r>
    </w:p>
    <w:p>
      <w:pPr>
        <w:sectPr>
          <w:pgSz w:w="11900" w:h="16838" w:orient="portrait"/>
          <w:cols w:equalWidth="0" w:num="1">
            <w:col w:w="10219"/>
          </w:cols>
          <w:pgMar w:left="240" w:top="291"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5"/>
          <w:szCs w:val="15"/>
          <w:color w:val="auto"/>
        </w:rPr>
        <w:t>282</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specified, at the time of its receipt by the President or Secretary. The acceptance of a resignation shall not be necessary to make it effective, unless expressly so provided in the resignation.</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XII</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AMENDMENT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FF-18</w:t>
      </w:r>
    </w:p>
    <w:p>
      <w:pPr>
        <w:sectPr>
          <w:pgSz w:w="11900" w:h="16838" w:orient="portrait"/>
          <w:cols w:equalWidth="0" w:num="1">
            <w:col w:w="10219"/>
          </w:cols>
          <w:pgMar w:left="240" w:top="291"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5"/>
          <w:szCs w:val="15"/>
          <w:color w:val="auto"/>
        </w:rPr>
        <w:t>283</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APPENDIX G</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PROPOSED AMENDMENTS TO THE CERTIFICATE OF INCORPORATION OF</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Twelfth: (A) Except as otherwise provided in this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79" w:lineRule="exact"/>
        <w:rPr>
          <w:sz w:val="20"/>
          <w:szCs w:val="20"/>
          <w:color w:val="auto"/>
        </w:rPr>
      </w:pPr>
    </w:p>
    <w:p>
      <w:pPr>
        <w:ind w:right="3019" w:firstLine="443"/>
        <w:spacing w:after="0" w:line="263" w:lineRule="auto"/>
        <w:tabs>
          <w:tab w:leader="none" w:pos="811"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39"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pursuant to the provisions of this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81"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77"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Certificate of Incorporation applicable thereto, and such directors so elected shall not be divided into classes pursuant to this Article Twelfth unless expressly provided by such terms.</w:t>
      </w:r>
    </w:p>
    <w:p>
      <w:pPr>
        <w:sectPr>
          <w:pgSz w:w="11900" w:h="16838" w:orient="portrait"/>
          <w:cols w:equalWidth="0" w:num="1">
            <w:col w:w="10219"/>
          </w:cols>
          <w:pgMar w:left="240" w:top="291"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5"/>
          <w:szCs w:val="15"/>
          <w:color w:val="auto"/>
        </w:rPr>
        <w:t>284</w:t>
      </w:r>
    </w:p>
    <w:p>
      <w:pPr>
        <w:spacing w:after="0" w:line="177" w:lineRule="exact"/>
        <w:rPr>
          <w:sz w:val="20"/>
          <w:szCs w:val="20"/>
          <w:color w:val="auto"/>
        </w:rPr>
      </w:pPr>
    </w:p>
    <w:p>
      <w:pPr>
        <w:ind w:left="800" w:hanging="357"/>
        <w:spacing w:after="0"/>
        <w:tabs>
          <w:tab w:leader="none" w:pos="8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Certificate of</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or the bylaws of the Corporation (and notwithstanding the fact that a lesser percentage may be specified by law, this Certificate of Incorporation or the bylaws of the Corporation), the affirmative vote, at any regular meeting or special meeting of the stockholders, of not less than two-thirds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Twelfth, but only if notice of the proposed alteration or amendment was contained in the notice of such meeting.</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GG-2</w:t>
      </w:r>
    </w:p>
    <w:p>
      <w:pPr>
        <w:sectPr>
          <w:pgSz w:w="11900" w:h="16838" w:orient="portrait"/>
          <w:cols w:equalWidth="0" w:num="1">
            <w:col w:w="10219"/>
          </w:cols>
          <w:pgMar w:left="240" w:top="291" w:right="1440" w:bottom="1440" w:gutter="0" w:footer="0" w:header="0"/>
        </w:sectPr>
      </w:pPr>
    </w:p>
    <w:bookmarkStart w:id="291" w:name="page292"/>
    <w:bookmarkEnd w:id="291"/>
    <w:p>
      <w:pPr>
        <w:ind w:left="260"/>
        <w:spacing w:after="0"/>
        <w:rPr>
          <w:sz w:val="20"/>
          <w:szCs w:val="20"/>
          <w:color w:val="auto"/>
        </w:rPr>
      </w:pPr>
      <w:r>
        <w:rPr>
          <w:rFonts w:ascii="Courier New" w:cs="Courier New" w:eastAsia="Courier New" w:hAnsi="Courier New"/>
          <w:sz w:val="15"/>
          <w:szCs w:val="15"/>
          <w:color w:val="auto"/>
        </w:rPr>
        <w:t>285</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1031 of the Oklahoma General Corporation act (the "OGCA")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its request in such capacity in another corporation or business association,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proceedings, had no reasonable cause to believe his conduct was unlawful. With respect to actions by or in the right of the corporation, a person may not be indemnified if he has been adjudged to be liable to the corporation, except where, besides meeting the requirements described in the preceding sentence, the court in which such action was brought determines upon application that, despite the adjudication of liability but in view of all the circumstances of the case, such person is fairly and reasonably entitled to indemnity for such expenses as the court deems proper. To the extent that a director, officer, employee or agent of a corporation has been successful on the merits or otherwise in defense of any action, suit or proceeding referred to above, he shall be indemnified against expenses, including attorneys' fees, actually and reasonably incurred by him in connection therewith. A corporation shall have the power to purchase insurance on behalf of the persons referred to above against any liability asserted against them and incurred by them in such capacities referred to whether or not the corporation would have the power to indemnify them against such liability.</w:t>
      </w:r>
    </w:p>
    <w:p>
      <w:pPr>
        <w:spacing w:after="0" w:line="33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1006 of the OGCA provides that the certificate of incorporation of a corporation may contain a provision eliminating or limiting the personal liability of a director to the corporation or its shareholders for monetary damages for breach of fiduciary duty as a director, provided that such provision shall not eliminate or limit the liability of a director for (i) any breach of the director's duty of loyalty to the corporation or its shareholders, (ii) acts or omissions not in good faith or which involved intentional misconduct or a knowing violation of law, (iii) dividend payment or stock purchase or redemption under Section 1053 of the OGCA, (iv) any transaction from which the director derived an improper personal benefit, or (v) any act or omission occurring prior to the date when such provision becomes effective.</w:t>
      </w:r>
    </w:p>
    <w:p>
      <w:pPr>
        <w:spacing w:after="0" w:line="16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Registrant's Certificate of Incorporation provides that (i) the Registrant shall indemnify, and advance litigation expenses to, its officers, directors, employees and agents to the fullest extent permitted by the OGCA and all other laws of the State of Oklahoma, (ii) to the fullest extent that the OGCA, as it existed on November 1, 1987, permits the limitation or elimination of the liability of directors, no director of the Registrant shall be liable to the Registrant or its shareholders for monetary damages for breach of fiduciary duty as a director, (iii) no amendment to or repeal of the provision of the Certificate of Incorporation described in clause (ii) shall apply to or have any effect on the liability or alleged liability of any director of the Registrant for or with respect to any acts or omission of such director occurring prior to the time of such amendment or repeal and (iv) any amendment to the OGCA which further limits or eliminates the liability of directors shall be fully applicable to the Registrant's directors, but any such amendment which expands such liability shall be applicable only to future acts or omissions by the Registrant's directors.</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USA Waste may enter into indemnification agreements with its directors.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1" w:right="1440"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5"/>
          <w:szCs w:val="15"/>
          <w:color w:val="auto"/>
        </w:rPr>
        <w:t>286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78" w:lineRule="exact"/>
        <w:rPr>
          <w:sz w:val="20"/>
          <w:szCs w:val="20"/>
          <w:color w:val="auto"/>
        </w:rPr>
      </w:pPr>
    </w:p>
    <w:p>
      <w:pPr>
        <w:ind w:right="3459" w:firstLine="443"/>
        <w:spacing w:after="0" w:line="243" w:lineRule="auto"/>
        <w:tabs>
          <w:tab w:leader="none" w:pos="81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complete list of Exhibits filed as part of this Registration Statement:</w:t>
      </w:r>
    </w:p>
    <w:p>
      <w:pPr>
        <w:spacing w:after="0" w:line="200" w:lineRule="exact"/>
        <w:rPr>
          <w:sz w:val="20"/>
          <w:szCs w:val="20"/>
          <w:color w:val="auto"/>
        </w:rPr>
      </w:pPr>
    </w:p>
    <w:p>
      <w:pPr>
        <w:spacing w:after="0" w:line="32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1880" w:right="19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 Amended and Restated Agreement and Plan of Merger dated as of November 28, 1994, among USA Waste Services, Inc. ("USA Waste"), Chambers Acquisition Corporation, a wholly owned subsidiary of USA Waste, and Chambers Development Company, Inc. ("Chambers") [included as Appendix A to the Joint Proxy Statement/Prospectus herein].</w:t>
      </w:r>
    </w:p>
    <w:p>
      <w:pPr>
        <w:spacing w:after="0" w:line="3" w:lineRule="exact"/>
        <w:rPr>
          <w:sz w:val="20"/>
          <w:szCs w:val="20"/>
          <w:color w:val="auto"/>
        </w:rPr>
      </w:pPr>
    </w:p>
    <w:p>
      <w:pPr>
        <w:ind w:left="1880" w:right="2019" w:hanging="1351"/>
        <w:spacing w:after="0" w:line="244" w:lineRule="auto"/>
        <w:tabs>
          <w:tab w:leader="none" w:pos="18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 Certificate of Incorporation, as amended [incorporated by reference to Exhibit 3.1 to the Registrant's Registration Statement on Form S-18, File No. 33-20237-FW].</w:t>
      </w:r>
    </w:p>
    <w:p>
      <w:pPr>
        <w:spacing w:after="0" w:line="2" w:lineRule="exact"/>
        <w:rPr>
          <w:sz w:val="20"/>
          <w:szCs w:val="20"/>
          <w:color w:val="auto"/>
        </w:rPr>
      </w:pPr>
    </w:p>
    <w:p>
      <w:pPr>
        <w:ind w:left="1880" w:right="2019" w:hanging="1351"/>
        <w:spacing w:after="0" w:line="243" w:lineRule="auto"/>
        <w:tabs>
          <w:tab w:leader="none" w:pos="18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 Bylaws, as amended [incorporated by reference to Exhibit 3.2 of the Registrant's Registration Statement on Form S-18, File No.</w:t>
      </w:r>
    </w:p>
    <w:p>
      <w:pPr>
        <w:spacing w:after="0" w:line="2"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33-20237-FW].</w:t>
      </w:r>
    </w:p>
    <w:p>
      <w:pPr>
        <w:spacing w:after="0" w:line="4" w:lineRule="exact"/>
        <w:rPr>
          <w:sz w:val="20"/>
          <w:szCs w:val="20"/>
          <w:color w:val="auto"/>
        </w:rPr>
      </w:pPr>
    </w:p>
    <w:p>
      <w:pPr>
        <w:ind w:left="1880" w:right="1939" w:hanging="1351"/>
        <w:spacing w:after="0" w:line="243" w:lineRule="auto"/>
        <w:tabs>
          <w:tab w:leader="none" w:pos="18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 Specimen Stock Certificate [incorporated by reference to Exhibit 3.2 of the Registrant's Registration Statement on Form 8-A, File No.</w:t>
      </w:r>
    </w:p>
    <w:p>
      <w:pPr>
        <w:spacing w:after="0" w:line="2"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0-17034, Reference No. 8-15-2847].</w:t>
      </w:r>
    </w:p>
    <w:p>
      <w:pPr>
        <w:spacing w:after="0" w:line="4" w:lineRule="exact"/>
        <w:rPr>
          <w:sz w:val="20"/>
          <w:szCs w:val="20"/>
          <w:color w:val="auto"/>
        </w:rPr>
      </w:pPr>
    </w:p>
    <w:p>
      <w:pPr>
        <w:ind w:left="1880" w:right="2019" w:hanging="1351"/>
        <w:spacing w:after="0" w:line="243" w:lineRule="auto"/>
        <w:tabs>
          <w:tab w:leader="none" w:pos="18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 Indenture dated September 25, 1992, between USA Waste and The First National Bank of Boston, as trustee, with respect to USA Waste's</w:t>
      </w:r>
    </w:p>
    <w:p>
      <w:pPr>
        <w:spacing w:after="0" w:line="3" w:lineRule="exact"/>
        <w:rPr>
          <w:sz w:val="20"/>
          <w:szCs w:val="20"/>
          <w:color w:val="auto"/>
        </w:rPr>
      </w:pPr>
    </w:p>
    <w:p>
      <w:pPr>
        <w:ind w:left="2160" w:right="1939"/>
        <w:spacing w:after="0" w:line="244" w:lineRule="auto"/>
        <w:rPr>
          <w:sz w:val="20"/>
          <w:szCs w:val="20"/>
          <w:color w:val="auto"/>
        </w:rPr>
      </w:pPr>
      <w:r>
        <w:rPr>
          <w:rFonts w:ascii="Courier New" w:cs="Courier New" w:eastAsia="Courier New" w:hAnsi="Courier New"/>
          <w:sz w:val="15"/>
          <w:szCs w:val="15"/>
          <w:color w:val="auto"/>
        </w:rPr>
        <w:t>8 1/2% Convertible Subordinated Debentures Due 2002 [incorporated by reference to Exhibit 4.1 of the Registrant's Registration Statement on Form S-1, file No. 33-50918.]</w:t>
      </w:r>
    </w:p>
    <w:p>
      <w:pPr>
        <w:spacing w:after="0" w:line="2" w:lineRule="exact"/>
        <w:rPr>
          <w:sz w:val="20"/>
          <w:szCs w:val="20"/>
          <w:color w:val="auto"/>
        </w:rPr>
      </w:pPr>
    </w:p>
    <w:p>
      <w:pPr>
        <w:ind w:left="1880" w:right="2019" w:hanging="1441"/>
        <w:spacing w:after="0" w:line="243" w:lineRule="auto"/>
        <w:tabs>
          <w:tab w:leader="none" w:pos="18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 Opinion of Snell &amp; Smith, P.C. as to the legality of the securities being registered.</w:t>
      </w:r>
    </w:p>
    <w:p>
      <w:pPr>
        <w:spacing w:after="0" w:line="3" w:lineRule="exact"/>
        <w:rPr>
          <w:sz w:val="20"/>
          <w:szCs w:val="20"/>
          <w:color w:val="auto"/>
        </w:rPr>
      </w:pPr>
    </w:p>
    <w:p>
      <w:pPr>
        <w:ind w:left="1880" w:right="2019" w:hanging="1441"/>
        <w:spacing w:after="0" w:line="243" w:lineRule="auto"/>
        <w:tabs>
          <w:tab w:leader="none" w:pos="186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 Opinion of Thorp, Reed &amp; Armstrong as to certain federal income tax matters.</w:t>
      </w:r>
    </w:p>
    <w:p>
      <w:pPr>
        <w:spacing w:after="0" w:line="3" w:lineRule="exact"/>
        <w:rPr>
          <w:sz w:val="20"/>
          <w:szCs w:val="20"/>
          <w:color w:val="auto"/>
        </w:rPr>
      </w:pPr>
    </w:p>
    <w:p>
      <w:pPr>
        <w:ind w:left="1880" w:right="19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-- 1990 Stock Option Plan [incorporated by reference to Exhibit 10.1 of the Registrant's Annual Report on Form 10-K for the year ended December 31, 1990].</w:t>
      </w:r>
    </w:p>
    <w:p>
      <w:pPr>
        <w:spacing w:after="0" w:line="2" w:lineRule="exact"/>
        <w:rPr>
          <w:sz w:val="20"/>
          <w:szCs w:val="20"/>
          <w:color w:val="auto"/>
        </w:rPr>
      </w:pPr>
    </w:p>
    <w:p>
      <w:pPr>
        <w:ind w:left="1880" w:right="19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-- 1993 Stock Incentive Plan [incorporated by reference to Exhibit 10.1 of the Registrant's Annual Report on Form 10-K for the year ended December 31, 1993].</w:t>
      </w:r>
    </w:p>
    <w:p>
      <w:pPr>
        <w:spacing w:after="0" w:line="2" w:lineRule="exact"/>
        <w:rPr>
          <w:sz w:val="20"/>
          <w:szCs w:val="20"/>
          <w:color w:val="auto"/>
        </w:rPr>
      </w:pPr>
    </w:p>
    <w:p>
      <w:pPr>
        <w:ind w:left="1880" w:right="18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 Envirofil, Inc. ("Envirofil") 1993 Stock Incentive Plan [incorporated by reference to Exhibit 10.3 of the Registrant's Annual Report on Form 10-K for the year ended December 31, 1994].</w:t>
      </w:r>
    </w:p>
    <w:p>
      <w:pPr>
        <w:spacing w:after="0" w:line="2" w:lineRule="exact"/>
        <w:rPr>
          <w:sz w:val="20"/>
          <w:szCs w:val="20"/>
          <w:color w:val="auto"/>
        </w:rPr>
      </w:pPr>
    </w:p>
    <w:p>
      <w:pPr>
        <w:ind w:left="1880" w:right="201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 Asset Purchase Agreement dated August 12, 1993, between Chambers of Indiana, Inc. and USA Waste of Indiana, Inc. [incorporated by reference to Exhibit 2.2 of the Registrant's Current Report on Form 8-K dated September 30, 1993].</w:t>
      </w:r>
    </w:p>
    <w:p>
      <w:pPr>
        <w:spacing w:after="0" w:line="3" w:lineRule="exact"/>
        <w:rPr>
          <w:sz w:val="20"/>
          <w:szCs w:val="20"/>
          <w:color w:val="auto"/>
        </w:rPr>
      </w:pPr>
    </w:p>
    <w:p>
      <w:pPr>
        <w:ind w:left="1880" w:right="1939" w:hanging="1441"/>
        <w:spacing w:after="0" w:line="245" w:lineRule="auto"/>
        <w:tabs>
          <w:tab w:leader="none" w:pos="18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 Stock Purchase Agreement dated August 12, 1993, between Chambers and USA Waste of Indiana, Inc. [incorporated by reference to Exhibit 2.1 of the Registrant's Current Report on Form 8-K dated September 30, 1993].</w:t>
      </w:r>
    </w:p>
    <w:p>
      <w:pPr>
        <w:spacing w:after="0" w:line="173" w:lineRule="exact"/>
        <w:rPr>
          <w:sz w:val="20"/>
          <w:szCs w:val="20"/>
          <w:color w:val="auto"/>
        </w:rPr>
      </w:pPr>
    </w:p>
    <w:p>
      <w:pPr>
        <w:ind w:left="1880" w:right="19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 Agreement of Merger dated as of September 29, 1993, among USA Waste, USA Acquisition Co., Soil Remediation of Philadelphia, Inc., and Louis D. Paolino, Jr. [incorporated by reference to Exhibit 2.3 of the Registrant's Current Report on Form 8-K dated September 30, 1993].</w:t>
      </w:r>
    </w:p>
    <w:p>
      <w:pPr>
        <w:spacing w:after="0" w:line="176" w:lineRule="exact"/>
        <w:rPr>
          <w:sz w:val="20"/>
          <w:szCs w:val="20"/>
          <w:color w:val="auto"/>
        </w:rPr>
      </w:pPr>
    </w:p>
    <w:p>
      <w:pPr>
        <w:ind w:left="1880" w:right="19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 Agreement and Plan of Reorganization dated as of March 17, 1993, as amended on March 25, 1993, March 31, 1993 and August 20, 1993, between Envirofil and Environmental Waste of America, Inc. [incorporated by reference to Exhibit (c)(i) of Envirofil's Current Report on Form 8-K filed on November 16, 1993, as amended by Current Report on Form 8-K/A filed on January 18, 1994].</w:t>
      </w:r>
    </w:p>
    <w:p>
      <w:pPr>
        <w:spacing w:after="0" w:line="4" w:lineRule="exact"/>
        <w:rPr>
          <w:sz w:val="20"/>
          <w:szCs w:val="20"/>
          <w:color w:val="auto"/>
        </w:rPr>
      </w:pPr>
    </w:p>
    <w:p>
      <w:pPr>
        <w:ind w:left="1880" w:right="18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 Stock Purchase Agreement dated March 15, 1993, between Environmental Waste of America, Inc. and Donald G. Lindgren, as amended and assigned to Envirofil as of November 5, 1993 [incorporated by reference to Exhibit (c)(i) to Envirofil's Current Report on Form 8-K filed on November 16, 1993, as amended by Current Report on Form 8-K/A filed on January 18, 1994].</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1"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5"/>
          <w:szCs w:val="15"/>
          <w:color w:val="auto"/>
        </w:rPr>
        <w:t>287</w:t>
      </w:r>
    </w:p>
    <w:p>
      <w:pPr>
        <w:spacing w:after="0" w:line="200" w:lineRule="exact"/>
        <w:rPr>
          <w:sz w:val="20"/>
          <w:szCs w:val="20"/>
          <w:color w:val="auto"/>
        </w:rPr>
      </w:pPr>
    </w:p>
    <w:p>
      <w:pPr>
        <w:spacing w:after="0" w:line="32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1880" w:right="19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 Stock Purchase Agreement dated March 19, 1993, among Envirofil, Meadowbrook Carting Co., Inc., and certain shareholders of Meadowbrook Carting Co., Inc. [incorporated by reference to Exhibit (c)(ii) of Envirofil's Current Report on Form 8-K filed February 28, 1994, as amended by Current Report on Form 8-K/A filed on May 11, 1994].</w:t>
      </w:r>
    </w:p>
    <w:p>
      <w:pPr>
        <w:spacing w:after="0" w:line="177" w:lineRule="exact"/>
        <w:rPr>
          <w:sz w:val="20"/>
          <w:szCs w:val="20"/>
          <w:color w:val="auto"/>
        </w:rPr>
      </w:pPr>
    </w:p>
    <w:p>
      <w:pPr>
        <w:ind w:left="1880" w:right="19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 Stock Purchase Agreement dated March 19, 1993, among Envirofil, Mid-Jersey Disposal, Co., Inc., and certain shareholders of Mid-Jersey Disposal Co., Inc. [incorporated by reference to Exhibit (c)(ii) of Envirofil's Current Report on Form 8-K filed February 28, 1994, as amended by Current Report on Form 8-K/A filed on May 11, 1994].</w:t>
      </w:r>
    </w:p>
    <w:p>
      <w:pPr>
        <w:spacing w:after="0" w:line="177" w:lineRule="exact"/>
        <w:rPr>
          <w:sz w:val="20"/>
          <w:szCs w:val="20"/>
          <w:color w:val="auto"/>
        </w:rPr>
      </w:pPr>
    </w:p>
    <w:p>
      <w:pPr>
        <w:ind w:left="1880" w:right="18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 Stock Purchase Agreement dated March 19, 1993, among Envirofil, Quality Recycling Co., Inc., and certain shareholders of Quality Recycling Co., Inc. [incorporated by reference to Exhibit (c)(iii) of Envirofil's Current Report on Form 8-K filed February 28, 1994, as amended by Current Report on Form 8-K/A filed on May 11, 1994].</w:t>
      </w:r>
    </w:p>
    <w:p>
      <w:pPr>
        <w:spacing w:after="0" w:line="3" w:lineRule="exact"/>
        <w:rPr>
          <w:sz w:val="20"/>
          <w:szCs w:val="20"/>
          <w:color w:val="auto"/>
        </w:rPr>
      </w:pPr>
    </w:p>
    <w:p>
      <w:pPr>
        <w:ind w:left="1880" w:right="19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 Stock Purchase Agreement dated March 19, 1993, among Envirofil, Forcees, Inc., and certain shareholders of Forcees, Inc. [incorporated by reference to Exhibit (c)(iv) of Envirofil's Current Report on Form 8-K filed February 28, 1994, as amended by Current Report on Form 8-K/A filed on May 11, 1994].</w:t>
      </w:r>
    </w:p>
    <w:p>
      <w:pPr>
        <w:spacing w:after="0" w:line="3" w:lineRule="exact"/>
        <w:rPr>
          <w:sz w:val="20"/>
          <w:szCs w:val="20"/>
          <w:color w:val="auto"/>
        </w:rPr>
      </w:pPr>
    </w:p>
    <w:p>
      <w:pPr>
        <w:ind w:left="1880" w:right="18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 Amended and Restated Plan and Agreement of Reorganization dated March 29, 1994, among USA Waste, Envirofil Acquisition Corporation, a wholly owned subsidiary of the Registrant, and Envirofil [incorporated by reference to Exhibit 2.1 to Registration Statement on Form S-4 (File No. 33-77110)].</w:t>
      </w:r>
    </w:p>
    <w:p>
      <w:pPr>
        <w:spacing w:after="0" w:line="3" w:lineRule="exact"/>
        <w:rPr>
          <w:sz w:val="20"/>
          <w:szCs w:val="20"/>
          <w:color w:val="auto"/>
        </w:rPr>
      </w:pPr>
    </w:p>
    <w:p>
      <w:pPr>
        <w:ind w:left="1880" w:right="183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 Amended and Restated Revolving Credit Agreement dated as of November 28, 1994, among USA Waste, its subsidiaries, The First National Bank of Boston, Bank of America Illinois, Bank One Texas, National Association, The Bank of Nova Scotia, National Westminster Bank USA, and Banque Paribas [incorporated by reference to Exhibit 10.17 of the Registrant's Annual Report on Form 10-K for the year ended December 31, 1994].</w:t>
      </w:r>
    </w:p>
    <w:p>
      <w:pPr>
        <w:spacing w:after="0" w:line="177" w:lineRule="exact"/>
        <w:rPr>
          <w:sz w:val="20"/>
          <w:szCs w:val="20"/>
          <w:color w:val="auto"/>
        </w:rPr>
      </w:pPr>
    </w:p>
    <w:p>
      <w:pPr>
        <w:ind w:left="1880" w:right="201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 Form of Employment Agreement between USA Waste and each of John E. Drury, Donald F. Moorehead, Jr., David Sutherland-Yoest and Charles A. Wilcox [incorporated by reference to Exhibit 10.18 of the Registrant's Annual Report on Form 10-K for the year ended December 31, 1994].</w:t>
      </w:r>
    </w:p>
    <w:p>
      <w:pPr>
        <w:spacing w:after="0" w:line="176" w:lineRule="exact"/>
        <w:rPr>
          <w:sz w:val="20"/>
          <w:szCs w:val="20"/>
          <w:color w:val="auto"/>
        </w:rPr>
      </w:pPr>
    </w:p>
    <w:p>
      <w:pPr>
        <w:ind w:left="1880" w:right="219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 Employment Agreement between USA Waste and Earl E. DeFrates [incorporated by reference to Exhibit 10.19 of the Registrant's Annual Report on Form 10-K for the year ended December 31, 1994].</w:t>
      </w:r>
    </w:p>
    <w:p>
      <w:pPr>
        <w:spacing w:after="0" w:line="1" w:lineRule="exact"/>
        <w:rPr>
          <w:sz w:val="20"/>
          <w:szCs w:val="20"/>
          <w:color w:val="auto"/>
        </w:rPr>
      </w:pPr>
    </w:p>
    <w:p>
      <w:pPr>
        <w:ind w:left="620"/>
        <w:spacing w:after="0"/>
        <w:tabs>
          <w:tab w:leader="none" w:pos="186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 Employment Agreement between USA Waste and Gregory T. Sangalis.</w:t>
      </w:r>
    </w:p>
    <w:p>
      <w:pPr>
        <w:spacing w:after="0" w:line="4" w:lineRule="exact"/>
        <w:rPr>
          <w:sz w:val="20"/>
          <w:szCs w:val="20"/>
          <w:color w:val="auto"/>
        </w:rPr>
      </w:pPr>
    </w:p>
    <w:p>
      <w:pPr>
        <w:ind w:left="1880" w:right="2019" w:hanging="1441"/>
        <w:spacing w:after="0" w:line="244" w:lineRule="auto"/>
        <w:tabs>
          <w:tab w:leader="none" w:pos="18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 USA Waste statement regarding computation of earnings per share [incorporated by reference to Exhibit 11 of the Registrant's Annual Report on Form 10-K for the year ended December 31, 1994].</w:t>
      </w:r>
    </w:p>
    <w:p>
      <w:pPr>
        <w:spacing w:after="0" w:line="2" w:lineRule="exact"/>
        <w:rPr>
          <w:sz w:val="20"/>
          <w:szCs w:val="20"/>
          <w:color w:val="auto"/>
        </w:rPr>
      </w:pPr>
    </w:p>
    <w:p>
      <w:pPr>
        <w:jc w:val="right"/>
        <w:ind w:left="2160" w:right="1939" w:hanging="1446"/>
        <w:spacing w:after="0" w:line="262" w:lineRule="auto"/>
        <w:tabs>
          <w:tab w:leader="none" w:pos="189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Subsidiaries of the Registrant [incorporated by reference to Exhibit 21 of the Registrant's Annual Report on Form 10-K for the year ended</w:t>
      </w:r>
    </w:p>
    <w:p>
      <w:pPr>
        <w:jc w:val="center"/>
        <w:ind w:right="4179"/>
        <w:spacing w:after="0"/>
        <w:rPr>
          <w:sz w:val="20"/>
          <w:szCs w:val="20"/>
          <w:color w:val="auto"/>
        </w:rPr>
      </w:pPr>
      <w:r>
        <w:rPr>
          <w:rFonts w:ascii="Courier New" w:cs="Courier New" w:eastAsia="Courier New" w:hAnsi="Courier New"/>
          <w:sz w:val="15"/>
          <w:szCs w:val="15"/>
          <w:color w:val="auto"/>
        </w:rPr>
        <w:t>December 31, 1994].</w:t>
      </w:r>
    </w:p>
    <w:p>
      <w:pPr>
        <w:spacing w:after="0" w:line="3" w:lineRule="exact"/>
        <w:rPr>
          <w:sz w:val="20"/>
          <w:szCs w:val="20"/>
          <w:color w:val="auto"/>
        </w:rPr>
      </w:pPr>
    </w:p>
    <w:p>
      <w:pPr>
        <w:ind w:left="620"/>
        <w:spacing w:after="0"/>
        <w:tabs>
          <w:tab w:leader="none" w:pos="18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 Consent of Coopers &amp; Lybrand L.L.P.</w:t>
      </w:r>
    </w:p>
    <w:p>
      <w:pPr>
        <w:spacing w:after="0" w:line="3" w:lineRule="exact"/>
        <w:rPr>
          <w:sz w:val="20"/>
          <w:szCs w:val="20"/>
          <w:color w:val="auto"/>
        </w:rPr>
      </w:pPr>
    </w:p>
    <w:p>
      <w:pPr>
        <w:ind w:left="620"/>
        <w:spacing w:after="0"/>
        <w:tabs>
          <w:tab w:leader="none" w:pos="18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 Consent of Deloitte &amp; Touche LLP.</w:t>
      </w:r>
    </w:p>
    <w:p>
      <w:pPr>
        <w:spacing w:after="0" w:line="3" w:lineRule="exact"/>
        <w:rPr>
          <w:sz w:val="20"/>
          <w:szCs w:val="20"/>
          <w:color w:val="auto"/>
        </w:rPr>
      </w:pPr>
    </w:p>
    <w:p>
      <w:pPr>
        <w:ind w:left="620"/>
        <w:spacing w:after="0"/>
        <w:tabs>
          <w:tab w:leader="none" w:pos="186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 Consent of Arthur Andersen LLP.</w:t>
      </w:r>
    </w:p>
    <w:p>
      <w:pPr>
        <w:spacing w:after="0" w:line="3" w:lineRule="exact"/>
        <w:rPr>
          <w:sz w:val="20"/>
          <w:szCs w:val="20"/>
          <w:color w:val="auto"/>
        </w:rPr>
      </w:pPr>
    </w:p>
    <w:p>
      <w:pPr>
        <w:ind w:left="620"/>
        <w:spacing w:after="0"/>
        <w:tabs>
          <w:tab w:leader="none" w:pos="186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 Consent of Snell &amp; Smith, P.C. [included in Exhibit 5.1].</w:t>
      </w:r>
    </w:p>
    <w:p>
      <w:pPr>
        <w:spacing w:after="0" w:line="3" w:lineRule="exact"/>
        <w:rPr>
          <w:sz w:val="20"/>
          <w:szCs w:val="20"/>
          <w:color w:val="auto"/>
        </w:rPr>
      </w:pPr>
    </w:p>
    <w:p>
      <w:pPr>
        <w:ind w:left="620"/>
        <w:spacing w:after="0"/>
        <w:tabs>
          <w:tab w:leader="none" w:pos="186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 Consent of Thorp, Reed &amp; Armstrong [included in Exhibit 8.1].</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1" w:right="1440" w:bottom="1440" w:gutter="0" w:footer="0" w:header="0"/>
        </w:sectPr>
      </w:pPr>
    </w:p>
    <w:bookmarkStart w:id="294" w:name="page295"/>
    <w:bookmarkEnd w:id="294"/>
    <w:p>
      <w:pPr>
        <w:ind w:left="268"/>
        <w:spacing w:after="0"/>
        <w:rPr>
          <w:sz w:val="20"/>
          <w:szCs w:val="20"/>
          <w:color w:val="auto"/>
        </w:rPr>
      </w:pPr>
      <w:r>
        <w:rPr>
          <w:rFonts w:ascii="Courier New" w:cs="Courier New" w:eastAsia="Courier New" w:hAnsi="Courier New"/>
          <w:sz w:val="15"/>
          <w:szCs w:val="15"/>
          <w:color w:val="auto"/>
        </w:rPr>
        <w:t>288</w:t>
      </w:r>
    </w:p>
    <w:p>
      <w:pPr>
        <w:spacing w:after="0" w:line="200" w:lineRule="exact"/>
        <w:rPr>
          <w:sz w:val="20"/>
          <w:szCs w:val="20"/>
          <w:color w:val="auto"/>
        </w:rPr>
      </w:pPr>
    </w:p>
    <w:p>
      <w:pPr>
        <w:spacing w:after="0" w:line="324"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1888" w:right="2479" w:hanging="1532"/>
        <w:spacing w:after="0" w:line="243" w:lineRule="auto"/>
        <w:tabs>
          <w:tab w:leader="none" w:pos="1867"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5"/>
          <w:szCs w:val="15"/>
          <w:color w:val="auto"/>
        </w:rPr>
        <w:t>-- Consent of Donaldson, Lufkin &amp; Jenrette Securities Corporation [included in Exhibit 99.1].</w:t>
      </w:r>
    </w:p>
    <w:p>
      <w:pPr>
        <w:spacing w:after="0" w:line="2" w:lineRule="exact"/>
        <w:rPr>
          <w:sz w:val="20"/>
          <w:szCs w:val="20"/>
          <w:color w:val="auto"/>
        </w:rPr>
      </w:pPr>
    </w:p>
    <w:p>
      <w:pPr>
        <w:ind w:left="628"/>
        <w:spacing w:after="0"/>
        <w:tabs>
          <w:tab w:leader="none" w:pos="1867"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5"/>
          <w:szCs w:val="15"/>
          <w:color w:val="auto"/>
        </w:rPr>
        <w:t>-- Consent of J.P. Morgan Securities Inc. [included in Exhibit 99.2].</w:t>
      </w:r>
    </w:p>
    <w:p>
      <w:pPr>
        <w:spacing w:after="0" w:line="4" w:lineRule="exact"/>
        <w:rPr>
          <w:sz w:val="20"/>
          <w:szCs w:val="20"/>
          <w:color w:val="auto"/>
        </w:rPr>
      </w:pPr>
    </w:p>
    <w:p>
      <w:pPr>
        <w:ind w:left="1888" w:right="2199" w:hanging="1532"/>
        <w:spacing w:after="0" w:line="243" w:lineRule="auto"/>
        <w:tabs>
          <w:tab w:leader="none" w:pos="1867"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 Powers of Attorney [included on the signature pages in Part II of this Registration Statement].</w:t>
      </w:r>
    </w:p>
    <w:p>
      <w:pPr>
        <w:spacing w:after="0" w:line="3" w:lineRule="exact"/>
        <w:rPr>
          <w:sz w:val="20"/>
          <w:szCs w:val="20"/>
          <w:color w:val="auto"/>
        </w:rPr>
      </w:pPr>
    </w:p>
    <w:p>
      <w:pPr>
        <w:ind w:left="1888" w:right="2379" w:hanging="1532"/>
        <w:spacing w:after="0" w:line="244" w:lineRule="auto"/>
        <w:tabs>
          <w:tab w:leader="none" w:pos="1867"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 Opinion of Donaldson, Lufkin &amp; Jenrette Securities Corporation [included as Appendix B to the Joint Proxy Statement/Prospectus herein].</w:t>
      </w:r>
    </w:p>
    <w:p>
      <w:pPr>
        <w:spacing w:after="0" w:line="2" w:lineRule="exact"/>
        <w:rPr>
          <w:sz w:val="20"/>
          <w:szCs w:val="20"/>
          <w:color w:val="auto"/>
        </w:rPr>
      </w:pPr>
    </w:p>
    <w:p>
      <w:pPr>
        <w:ind w:left="1888" w:right="1839" w:hanging="1532"/>
        <w:spacing w:after="0" w:line="243" w:lineRule="auto"/>
        <w:tabs>
          <w:tab w:leader="none" w:pos="1867"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 Opinion of J.P. Morgan Securities Inc. [included as Appendix C to the Joint Proxy Statement/Prospectus herein].</w:t>
      </w:r>
    </w:p>
    <w:p>
      <w:pPr>
        <w:spacing w:after="0" w:line="349" w:lineRule="exact"/>
        <w:rPr>
          <w:sz w:val="20"/>
          <w:szCs w:val="20"/>
          <w:color w:val="auto"/>
        </w:rPr>
      </w:pPr>
    </w:p>
    <w:p>
      <w:pPr>
        <w:ind w:left="188" w:hanging="188"/>
        <w:spacing w:after="0"/>
        <w:tabs>
          <w:tab w:leader="none" w:pos="18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22. UNDERTAKINGS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8" w:lineRule="exact"/>
        <w:rPr>
          <w:sz w:val="20"/>
          <w:szCs w:val="20"/>
          <w:color w:val="auto"/>
        </w:rPr>
      </w:pPr>
    </w:p>
    <w:p>
      <w:pPr>
        <w:ind w:left="448" w:right="3019" w:firstLine="454"/>
        <w:spacing w:after="0" w:line="244" w:lineRule="auto"/>
        <w:tabs>
          <w:tab w:leader="none" w:pos="1259"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448" w:right="3199" w:firstLine="3"/>
        <w:spacing w:after="0" w:line="243" w:lineRule="auto"/>
        <w:tabs>
          <w:tab w:leader="none" w:pos="80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be deemed to be part of this registration statement as of the time it was declared effective.</w:t>
      </w:r>
    </w:p>
    <w:p>
      <w:pPr>
        <w:spacing w:after="0" w:line="176"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ind w:left="448" w:right="3379" w:firstLine="454"/>
        <w:spacing w:after="0" w:line="244" w:lineRule="auto"/>
        <w:tabs>
          <w:tab w:leader="none" w:pos="125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a part of this registration</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291" w:right="1440"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5"/>
          <w:szCs w:val="15"/>
          <w:color w:val="auto"/>
        </w:rPr>
        <w:t>289</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7" w:lineRule="exact"/>
        <w:rPr>
          <w:sz w:val="20"/>
          <w:szCs w:val="20"/>
          <w:color w:val="auto"/>
        </w:rPr>
      </w:pPr>
    </w:p>
    <w:p>
      <w:pPr>
        <w:ind w:left="440" w:right="3019" w:firstLine="454"/>
        <w:spacing w:after="0" w:line="244" w:lineRule="auto"/>
        <w:tabs>
          <w:tab w:leader="none" w:pos="1251"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hereby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8"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91" w:right="1440" w:bottom="1440" w:gutter="0" w:footer="0" w:header="0"/>
        </w:sectPr>
      </w:pPr>
    </w:p>
    <w:bookmarkStart w:id="296" w:name="page297"/>
    <w:bookmarkEnd w:id="296"/>
    <w:p>
      <w:pPr>
        <w:ind w:left="260"/>
        <w:spacing w:after="0"/>
        <w:rPr>
          <w:sz w:val="20"/>
          <w:szCs w:val="20"/>
          <w:color w:val="auto"/>
        </w:rPr>
      </w:pPr>
      <w:r>
        <w:rPr>
          <w:rFonts w:ascii="Courier New" w:cs="Courier New" w:eastAsia="Courier New" w:hAnsi="Courier New"/>
          <w:sz w:val="15"/>
          <w:szCs w:val="15"/>
          <w:color w:val="auto"/>
        </w:rPr>
        <w:t>290</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Registration Statement to be signed on its behalf by the undersigned, thereunto duly authorized, in the City of Dallas, State of Texas, on the 16th day of May, 1995.</w:t>
      </w:r>
    </w:p>
    <w:p>
      <w:pPr>
        <w:spacing w:after="0" w:line="34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3960"/>
        <w:spacing w:after="0"/>
        <w:tabs>
          <w:tab w:leader="none" w:pos="4580" w:val="left"/>
          <w:tab w:leader="none" w:pos="50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tab/>
        <w:t>JOHN E. DRURY</w:t>
      </w:r>
    </w:p>
    <w:p>
      <w:pPr>
        <w:spacing w:after="0" w:line="3"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5"/>
          <w:szCs w:val="15"/>
          <w:color w:val="auto"/>
        </w:rPr>
        <w:t>John E. Drury</w:t>
      </w:r>
    </w:p>
    <w:p>
      <w:pPr>
        <w:spacing w:after="0" w:line="3"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5"/>
          <w:szCs w:val="15"/>
          <w:color w:val="auto"/>
        </w:rPr>
        <w:t>Chief Executive Officer</w:t>
      </w:r>
    </w:p>
    <w:p>
      <w:pPr>
        <w:spacing w:after="0" w:line="351"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INDICATED BELOW ON MAY 16,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3020" w:type="dxa"/>
            <w:vAlign w:val="bottom"/>
            <w:gridSpan w:val="2"/>
          </w:tcPr>
          <w:p>
            <w:pPr>
              <w:jc w:val="center"/>
              <w:ind w:right="1425"/>
              <w:spacing w:after="0"/>
              <w:rPr>
                <w:sz w:val="20"/>
                <w:szCs w:val="20"/>
                <w:color w:val="auto"/>
              </w:rPr>
            </w:pPr>
            <w:r>
              <w:rPr>
                <w:rFonts w:ascii="Courier New" w:cs="Courier New" w:eastAsia="Courier New" w:hAnsi="Courier New"/>
                <w:sz w:val="15"/>
                <w:szCs w:val="15"/>
                <w:color w:val="auto"/>
                <w:w w:val="98"/>
              </w:rPr>
              <w:t>SIGNATURE</w:t>
            </w:r>
          </w:p>
        </w:tc>
        <w:tc>
          <w:tcPr>
            <w:tcW w:w="4360" w:type="dxa"/>
            <w:vAlign w:val="bottom"/>
          </w:tcPr>
          <w:p>
            <w:pPr>
              <w:ind w:left="1940"/>
              <w:spacing w:after="0"/>
              <w:rPr>
                <w:sz w:val="20"/>
                <w:szCs w:val="20"/>
                <w:color w:val="auto"/>
              </w:rPr>
            </w:pPr>
            <w:r>
              <w:rPr>
                <w:rFonts w:ascii="Courier New" w:cs="Courier New" w:eastAsia="Courier New" w:hAnsi="Courier New"/>
                <w:sz w:val="15"/>
                <w:szCs w:val="15"/>
                <w:color w:val="auto"/>
              </w:rPr>
              <w:t>TITLE</w:t>
            </w:r>
          </w:p>
        </w:tc>
      </w:tr>
      <w:tr>
        <w:trPr>
          <w:trHeight w:val="173"/>
        </w:trPr>
        <w:tc>
          <w:tcPr>
            <w:tcW w:w="4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436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  JOHN</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E. DRURY</w:t>
            </w:r>
          </w:p>
        </w:tc>
        <w:tc>
          <w:tcPr>
            <w:tcW w:w="4360" w:type="dxa"/>
            <w:vAlign w:val="bottom"/>
          </w:tcPr>
          <w:p>
            <w:pPr>
              <w:ind w:left="140"/>
              <w:spacing w:after="0"/>
              <w:rPr>
                <w:sz w:val="20"/>
                <w:szCs w:val="20"/>
                <w:color w:val="auto"/>
              </w:rPr>
            </w:pPr>
            <w:r>
              <w:rPr>
                <w:rFonts w:ascii="Courier New" w:cs="Courier New" w:eastAsia="Courier New" w:hAnsi="Courier New"/>
                <w:sz w:val="15"/>
                <w:szCs w:val="15"/>
                <w:color w:val="auto"/>
              </w:rPr>
              <w:t>Chief Executive Officer; Director</w:t>
            </w:r>
          </w:p>
        </w:tc>
      </w:tr>
      <w:tr>
        <w:trPr>
          <w:trHeight w:val="173"/>
        </w:trPr>
        <w:tc>
          <w:tcPr>
            <w:tcW w:w="1260" w:type="dxa"/>
            <w:vAlign w:val="bottom"/>
          </w:tcPr>
          <w:p>
            <w:pPr>
              <w:spacing w:after="0"/>
              <w:rPr>
                <w:sz w:val="15"/>
                <w:szCs w:val="15"/>
                <w:color w:val="auto"/>
              </w:rPr>
            </w:pPr>
          </w:p>
        </w:tc>
        <w:tc>
          <w:tcPr>
            <w:tcW w:w="3020" w:type="dxa"/>
            <w:vAlign w:val="bottom"/>
            <w:gridSpan w:val="2"/>
          </w:tcPr>
          <w:p>
            <w:pPr>
              <w:jc w:val="center"/>
              <w:ind w:right="1425"/>
              <w:spacing w:after="0"/>
              <w:rPr>
                <w:sz w:val="20"/>
                <w:szCs w:val="20"/>
                <w:color w:val="auto"/>
              </w:rPr>
            </w:pPr>
            <w:r>
              <w:rPr>
                <w:rFonts w:ascii="Courier New" w:cs="Courier New" w:eastAsia="Courier New" w:hAnsi="Courier New"/>
                <w:sz w:val="15"/>
                <w:szCs w:val="15"/>
                <w:color w:val="auto"/>
                <w:w w:val="99"/>
              </w:rPr>
              <w:t>John E. Drury</w:t>
            </w:r>
          </w:p>
        </w:tc>
        <w:tc>
          <w:tcPr>
            <w:tcW w:w="4360" w:type="dxa"/>
            <w:vAlign w:val="bottom"/>
          </w:tcPr>
          <w:p>
            <w:pPr>
              <w:spacing w:after="0"/>
              <w:rPr>
                <w:sz w:val="15"/>
                <w:szCs w:val="15"/>
                <w:color w:val="auto"/>
              </w:rPr>
            </w:pPr>
          </w:p>
        </w:tc>
      </w:tr>
      <w:tr>
        <w:trPr>
          <w:trHeight w:val="347"/>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2105"/>
              <w:spacing w:after="0"/>
              <w:rPr>
                <w:sz w:val="20"/>
                <w:szCs w:val="20"/>
                <w:color w:val="auto"/>
              </w:rPr>
            </w:pPr>
            <w:r>
              <w:rPr>
                <w:rFonts w:ascii="Courier New" w:cs="Courier New" w:eastAsia="Courier New" w:hAnsi="Courier New"/>
                <w:sz w:val="15"/>
                <w:szCs w:val="15"/>
                <w:color w:val="auto"/>
                <w:w w:val="88"/>
              </w:rPr>
              <w:t>*</w:t>
            </w:r>
          </w:p>
        </w:tc>
        <w:tc>
          <w:tcPr>
            <w:tcW w:w="43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Chief Development</w:t>
            </w:r>
          </w:p>
        </w:tc>
      </w:tr>
      <w:tr>
        <w:trPr>
          <w:trHeight w:val="173"/>
        </w:trPr>
        <w:tc>
          <w:tcPr>
            <w:tcW w:w="4280" w:type="dxa"/>
            <w:vAlign w:val="bottom"/>
            <w:gridSpan w:val="3"/>
          </w:tcPr>
          <w:p>
            <w:pPr>
              <w:jc w:val="center"/>
              <w:ind w:right="245"/>
              <w:spacing w:after="0"/>
              <w:rPr>
                <w:sz w:val="20"/>
                <w:szCs w:val="20"/>
                <w:color w:val="auto"/>
              </w:rPr>
            </w:pPr>
            <w:r>
              <w:rPr>
                <w:rFonts w:ascii="Courier New" w:cs="Courier New" w:eastAsia="Courier New" w:hAnsi="Courier New"/>
                <w:sz w:val="15"/>
                <w:szCs w:val="15"/>
                <w:color w:val="auto"/>
                <w:w w:val="99"/>
              </w:rPr>
              <w:t>Donald F. Moorehead, Jr.</w:t>
            </w:r>
          </w:p>
        </w:tc>
        <w:tc>
          <w:tcPr>
            <w:tcW w:w="4360" w:type="dxa"/>
            <w:vAlign w:val="bottom"/>
          </w:tcPr>
          <w:p>
            <w:pPr>
              <w:ind w:left="320"/>
              <w:spacing w:after="0"/>
              <w:rPr>
                <w:sz w:val="20"/>
                <w:szCs w:val="20"/>
                <w:color w:val="auto"/>
              </w:rPr>
            </w:pPr>
            <w:r>
              <w:rPr>
                <w:rFonts w:ascii="Courier New" w:cs="Courier New" w:eastAsia="Courier New" w:hAnsi="Courier New"/>
                <w:sz w:val="15"/>
                <w:szCs w:val="15"/>
                <w:color w:val="auto"/>
              </w:rPr>
              <w:t>Officer; Director</w:t>
            </w:r>
          </w:p>
        </w:tc>
      </w:tr>
      <w:tr>
        <w:trPr>
          <w:trHeight w:val="347"/>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2105"/>
              <w:spacing w:after="0"/>
              <w:rPr>
                <w:sz w:val="20"/>
                <w:szCs w:val="20"/>
                <w:color w:val="auto"/>
              </w:rPr>
            </w:pPr>
            <w:r>
              <w:rPr>
                <w:rFonts w:ascii="Courier New" w:cs="Courier New" w:eastAsia="Courier New" w:hAnsi="Courier New"/>
                <w:sz w:val="15"/>
                <w:szCs w:val="15"/>
                <w:color w:val="auto"/>
                <w:w w:val="88"/>
              </w:rPr>
              <w:t>*</w:t>
            </w:r>
          </w:p>
        </w:tc>
        <w:tc>
          <w:tcPr>
            <w:tcW w:w="436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Operating Officer; Director</w:t>
            </w:r>
          </w:p>
        </w:tc>
      </w:tr>
      <w:tr>
        <w:trPr>
          <w:trHeight w:val="173"/>
        </w:trPr>
        <w:tc>
          <w:tcPr>
            <w:tcW w:w="4280" w:type="dxa"/>
            <w:vAlign w:val="bottom"/>
            <w:gridSpan w:val="3"/>
          </w:tcPr>
          <w:p>
            <w:pPr>
              <w:jc w:val="center"/>
              <w:ind w:right="265"/>
              <w:spacing w:after="0"/>
              <w:rPr>
                <w:sz w:val="20"/>
                <w:szCs w:val="20"/>
                <w:color w:val="auto"/>
              </w:rPr>
            </w:pPr>
            <w:r>
              <w:rPr>
                <w:rFonts w:ascii="Courier New" w:cs="Courier New" w:eastAsia="Courier New" w:hAnsi="Courier New"/>
                <w:sz w:val="15"/>
                <w:szCs w:val="15"/>
                <w:color w:val="auto"/>
                <w:w w:val="99"/>
              </w:rPr>
              <w:t>David Sutherland-Yoest</w:t>
            </w:r>
          </w:p>
        </w:tc>
        <w:tc>
          <w:tcPr>
            <w:tcW w:w="4360" w:type="dxa"/>
            <w:vAlign w:val="bottom"/>
          </w:tcPr>
          <w:p>
            <w:pPr>
              <w:spacing w:after="0"/>
              <w:rPr>
                <w:sz w:val="15"/>
                <w:szCs w:val="15"/>
                <w:color w:val="auto"/>
              </w:rPr>
            </w:pPr>
          </w:p>
        </w:tc>
      </w:tr>
      <w:tr>
        <w:trPr>
          <w:trHeight w:val="347"/>
        </w:trPr>
        <w:tc>
          <w:tcPr>
            <w:tcW w:w="1260" w:type="dxa"/>
            <w:vAlign w:val="bottom"/>
          </w:tcPr>
          <w:p>
            <w:pPr>
              <w:ind w:left="800"/>
              <w:spacing w:after="0"/>
              <w:rPr>
                <w:sz w:val="20"/>
                <w:szCs w:val="20"/>
                <w:color w:val="auto"/>
              </w:rPr>
            </w:pPr>
            <w:r>
              <w:rPr>
                <w:rFonts w:ascii="Courier New" w:cs="Courier New" w:eastAsia="Courier New" w:hAnsi="Courier New"/>
                <w:sz w:val="15"/>
                <w:szCs w:val="15"/>
                <w:color w:val="auto"/>
              </w:rPr>
              <w:t>/s/</w:t>
            </w:r>
          </w:p>
        </w:tc>
        <w:tc>
          <w:tcPr>
            <w:tcW w:w="3020" w:type="dxa"/>
            <w:vAlign w:val="bottom"/>
            <w:gridSpan w:val="2"/>
          </w:tcPr>
          <w:p>
            <w:pPr>
              <w:jc w:val="center"/>
              <w:ind w:right="1505"/>
              <w:spacing w:after="0"/>
              <w:rPr>
                <w:sz w:val="20"/>
                <w:szCs w:val="20"/>
                <w:color w:val="auto"/>
              </w:rPr>
            </w:pPr>
            <w:r>
              <w:rPr>
                <w:rFonts w:ascii="Courier New" w:cs="Courier New" w:eastAsia="Courier New" w:hAnsi="Courier New"/>
                <w:sz w:val="15"/>
                <w:szCs w:val="15"/>
                <w:color w:val="auto"/>
                <w:w w:val="99"/>
              </w:rPr>
              <w:t>EARL E. DEFRATES</w:t>
            </w:r>
          </w:p>
        </w:tc>
        <w:tc>
          <w:tcPr>
            <w:tcW w:w="436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Chief Financial</w:t>
            </w:r>
          </w:p>
        </w:tc>
      </w:tr>
      <w:tr>
        <w:trPr>
          <w:trHeight w:val="173"/>
        </w:trPr>
        <w:tc>
          <w:tcPr>
            <w:tcW w:w="1260" w:type="dxa"/>
            <w:vAlign w:val="bottom"/>
          </w:tcPr>
          <w:p>
            <w:pPr>
              <w:spacing w:after="0"/>
              <w:rPr>
                <w:sz w:val="15"/>
                <w:szCs w:val="15"/>
                <w:color w:val="auto"/>
              </w:rPr>
            </w:pPr>
          </w:p>
        </w:tc>
        <w:tc>
          <w:tcPr>
            <w:tcW w:w="3020" w:type="dxa"/>
            <w:vAlign w:val="bottom"/>
            <w:gridSpan w:val="2"/>
          </w:tcPr>
          <w:p>
            <w:pPr>
              <w:jc w:val="center"/>
              <w:ind w:right="1505"/>
              <w:spacing w:after="0"/>
              <w:rPr>
                <w:sz w:val="20"/>
                <w:szCs w:val="20"/>
                <w:color w:val="auto"/>
              </w:rPr>
            </w:pPr>
            <w:r>
              <w:rPr>
                <w:rFonts w:ascii="Courier New" w:cs="Courier New" w:eastAsia="Courier New" w:hAnsi="Courier New"/>
                <w:sz w:val="15"/>
                <w:szCs w:val="15"/>
                <w:color w:val="auto"/>
                <w:w w:val="99"/>
              </w:rPr>
              <w:t>Earl E. DeFrates</w:t>
            </w:r>
          </w:p>
        </w:tc>
        <w:tc>
          <w:tcPr>
            <w:tcW w:w="4360" w:type="dxa"/>
            <w:vAlign w:val="bottom"/>
          </w:tcPr>
          <w:p>
            <w:pPr>
              <w:ind w:left="320"/>
              <w:spacing w:after="0"/>
              <w:rPr>
                <w:sz w:val="20"/>
                <w:szCs w:val="20"/>
                <w:color w:val="auto"/>
              </w:rPr>
            </w:pPr>
            <w:r>
              <w:rPr>
                <w:rFonts w:ascii="Courier New" w:cs="Courier New" w:eastAsia="Courier New" w:hAnsi="Courier New"/>
                <w:sz w:val="15"/>
                <w:szCs w:val="15"/>
                <w:color w:val="auto"/>
              </w:rPr>
              <w:t>Officer; Secretary; Treasurer; Director</w:t>
            </w:r>
          </w:p>
        </w:tc>
      </w:tr>
      <w:tr>
        <w:trPr>
          <w:trHeight w:val="347"/>
        </w:trPr>
        <w:tc>
          <w:tcPr>
            <w:tcW w:w="1260" w:type="dxa"/>
            <w:vAlign w:val="bottom"/>
          </w:tcPr>
          <w:p>
            <w:pPr>
              <w:ind w:left="900"/>
              <w:spacing w:after="0"/>
              <w:rPr>
                <w:sz w:val="20"/>
                <w:szCs w:val="20"/>
                <w:color w:val="auto"/>
              </w:rPr>
            </w:pPr>
            <w:r>
              <w:rPr>
                <w:rFonts w:ascii="Courier New" w:cs="Courier New" w:eastAsia="Courier New" w:hAnsi="Courier New"/>
                <w:sz w:val="15"/>
                <w:szCs w:val="15"/>
                <w:color w:val="auto"/>
              </w:rPr>
              <w:t>/s/</w:t>
            </w:r>
          </w:p>
        </w:tc>
        <w:tc>
          <w:tcPr>
            <w:tcW w:w="3020" w:type="dxa"/>
            <w:vAlign w:val="bottom"/>
            <w:gridSpan w:val="2"/>
          </w:tcPr>
          <w:p>
            <w:pPr>
              <w:jc w:val="center"/>
              <w:ind w:right="1425"/>
              <w:spacing w:after="0"/>
              <w:rPr>
                <w:sz w:val="20"/>
                <w:szCs w:val="20"/>
                <w:color w:val="auto"/>
              </w:rPr>
            </w:pPr>
            <w:r>
              <w:rPr>
                <w:rFonts w:ascii="Courier New" w:cs="Courier New" w:eastAsia="Courier New" w:hAnsi="Courier New"/>
                <w:sz w:val="15"/>
                <w:szCs w:val="15"/>
                <w:color w:val="auto"/>
              </w:rPr>
              <w:t>BRUCE E. SNYDER</w:t>
            </w: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Corporate Controller; Chief</w:t>
            </w:r>
          </w:p>
        </w:tc>
      </w:tr>
      <w:tr>
        <w:trPr>
          <w:trHeight w:val="173"/>
        </w:trPr>
        <w:tc>
          <w:tcPr>
            <w:tcW w:w="1260" w:type="dxa"/>
            <w:vAlign w:val="bottom"/>
          </w:tcPr>
          <w:p>
            <w:pPr>
              <w:spacing w:after="0"/>
              <w:rPr>
                <w:sz w:val="15"/>
                <w:szCs w:val="15"/>
                <w:color w:val="auto"/>
              </w:rPr>
            </w:pPr>
          </w:p>
        </w:tc>
        <w:tc>
          <w:tcPr>
            <w:tcW w:w="3020" w:type="dxa"/>
            <w:vAlign w:val="bottom"/>
            <w:gridSpan w:val="2"/>
          </w:tcPr>
          <w:p>
            <w:pPr>
              <w:jc w:val="center"/>
              <w:ind w:right="1425"/>
              <w:spacing w:after="0"/>
              <w:rPr>
                <w:sz w:val="20"/>
                <w:szCs w:val="20"/>
                <w:color w:val="auto"/>
              </w:rPr>
            </w:pPr>
            <w:r>
              <w:rPr>
                <w:rFonts w:ascii="Courier New" w:cs="Courier New" w:eastAsia="Courier New" w:hAnsi="Courier New"/>
                <w:sz w:val="15"/>
                <w:szCs w:val="15"/>
                <w:color w:val="auto"/>
              </w:rPr>
              <w:t>Bruce E. Snyder</w:t>
            </w:r>
          </w:p>
        </w:tc>
        <w:tc>
          <w:tcPr>
            <w:tcW w:w="4360" w:type="dxa"/>
            <w:vAlign w:val="bottom"/>
          </w:tcPr>
          <w:p>
            <w:pPr>
              <w:ind w:left="320"/>
              <w:spacing w:after="0"/>
              <w:rPr>
                <w:sz w:val="20"/>
                <w:szCs w:val="20"/>
                <w:color w:val="auto"/>
              </w:rPr>
            </w:pPr>
            <w:r>
              <w:rPr>
                <w:rFonts w:ascii="Courier New" w:cs="Courier New" w:eastAsia="Courier New" w:hAnsi="Courier New"/>
                <w:sz w:val="15"/>
                <w:szCs w:val="15"/>
                <w:color w:val="auto"/>
              </w:rPr>
              <w:t>Accounting Officer</w:t>
            </w:r>
          </w:p>
        </w:tc>
      </w:tr>
      <w:tr>
        <w:trPr>
          <w:trHeight w:val="347"/>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2105"/>
              <w:spacing w:after="0"/>
              <w:rPr>
                <w:sz w:val="20"/>
                <w:szCs w:val="20"/>
                <w:color w:val="auto"/>
              </w:rPr>
            </w:pPr>
            <w:r>
              <w:rPr>
                <w:rFonts w:ascii="Courier New" w:cs="Courier New" w:eastAsia="Courier New" w:hAnsi="Courier New"/>
                <w:sz w:val="15"/>
                <w:szCs w:val="15"/>
                <w:color w:val="auto"/>
                <w:w w:val="88"/>
              </w:rPr>
              <w:t>*</w:t>
            </w:r>
          </w:p>
        </w:tc>
        <w:tc>
          <w:tcPr>
            <w:tcW w:w="43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George</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L. Ball</w:t>
            </w:r>
          </w:p>
        </w:tc>
        <w:tc>
          <w:tcPr>
            <w:tcW w:w="4360" w:type="dxa"/>
            <w:vAlign w:val="bottom"/>
          </w:tcPr>
          <w:p>
            <w:pPr>
              <w:spacing w:after="0"/>
              <w:rPr>
                <w:sz w:val="15"/>
                <w:szCs w:val="15"/>
                <w:color w:val="auto"/>
              </w:rPr>
            </w:pPr>
          </w:p>
        </w:tc>
      </w:tr>
      <w:tr>
        <w:trPr>
          <w:trHeight w:val="347"/>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2105"/>
              <w:spacing w:after="0"/>
              <w:rPr>
                <w:sz w:val="20"/>
                <w:szCs w:val="20"/>
                <w:color w:val="auto"/>
              </w:rPr>
            </w:pPr>
            <w:r>
              <w:rPr>
                <w:rFonts w:ascii="Courier New" w:cs="Courier New" w:eastAsia="Courier New" w:hAnsi="Courier New"/>
                <w:sz w:val="15"/>
                <w:szCs w:val="15"/>
                <w:color w:val="auto"/>
                <w:w w:val="88"/>
              </w:rPr>
              <w:t>*</w:t>
            </w:r>
          </w:p>
        </w:tc>
        <w:tc>
          <w:tcPr>
            <w:tcW w:w="43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260" w:type="dxa"/>
            <w:vAlign w:val="bottom"/>
          </w:tcPr>
          <w:p>
            <w:pPr>
              <w:spacing w:after="0"/>
              <w:rPr>
                <w:sz w:val="15"/>
                <w:szCs w:val="15"/>
                <w:color w:val="auto"/>
              </w:rPr>
            </w:pPr>
          </w:p>
        </w:tc>
        <w:tc>
          <w:tcPr>
            <w:tcW w:w="3020" w:type="dxa"/>
            <w:vAlign w:val="bottom"/>
            <w:gridSpan w:val="2"/>
          </w:tcPr>
          <w:p>
            <w:pPr>
              <w:jc w:val="center"/>
              <w:ind w:right="1505"/>
              <w:spacing w:after="0"/>
              <w:rPr>
                <w:sz w:val="20"/>
                <w:szCs w:val="20"/>
                <w:color w:val="auto"/>
              </w:rPr>
            </w:pPr>
            <w:r>
              <w:rPr>
                <w:rFonts w:ascii="Courier New" w:cs="Courier New" w:eastAsia="Courier New" w:hAnsi="Courier New"/>
                <w:sz w:val="15"/>
                <w:szCs w:val="15"/>
                <w:color w:val="auto"/>
                <w:w w:val="99"/>
              </w:rPr>
              <w:t>Robert A. Mosley</w:t>
            </w:r>
          </w:p>
        </w:tc>
        <w:tc>
          <w:tcPr>
            <w:tcW w:w="4360" w:type="dxa"/>
            <w:vAlign w:val="bottom"/>
          </w:tcPr>
          <w:p>
            <w:pPr>
              <w:spacing w:after="0"/>
              <w:rPr>
                <w:sz w:val="15"/>
                <w:szCs w:val="15"/>
                <w:color w:val="auto"/>
              </w:rPr>
            </w:pPr>
          </w:p>
        </w:tc>
      </w:tr>
      <w:tr>
        <w:trPr>
          <w:trHeight w:val="347"/>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2105"/>
              <w:spacing w:after="0"/>
              <w:rPr>
                <w:sz w:val="20"/>
                <w:szCs w:val="20"/>
                <w:color w:val="auto"/>
              </w:rPr>
            </w:pPr>
            <w:r>
              <w:rPr>
                <w:rFonts w:ascii="Courier New" w:cs="Courier New" w:eastAsia="Courier New" w:hAnsi="Courier New"/>
                <w:sz w:val="15"/>
                <w:szCs w:val="15"/>
                <w:color w:val="auto"/>
                <w:w w:val="88"/>
              </w:rPr>
              <w:t>*</w:t>
            </w:r>
          </w:p>
        </w:tc>
        <w:tc>
          <w:tcPr>
            <w:tcW w:w="43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260" w:type="dxa"/>
            <w:vAlign w:val="bottom"/>
          </w:tcPr>
          <w:p>
            <w:pPr>
              <w:spacing w:after="0"/>
              <w:rPr>
                <w:sz w:val="15"/>
                <w:szCs w:val="15"/>
                <w:color w:val="auto"/>
              </w:rPr>
            </w:pPr>
          </w:p>
        </w:tc>
        <w:tc>
          <w:tcPr>
            <w:tcW w:w="3020" w:type="dxa"/>
            <w:vAlign w:val="bottom"/>
            <w:gridSpan w:val="2"/>
          </w:tcPr>
          <w:p>
            <w:pPr>
              <w:jc w:val="center"/>
              <w:ind w:right="1505"/>
              <w:spacing w:after="0"/>
              <w:rPr>
                <w:sz w:val="20"/>
                <w:szCs w:val="20"/>
                <w:color w:val="auto"/>
              </w:rPr>
            </w:pPr>
            <w:r>
              <w:rPr>
                <w:rFonts w:ascii="Courier New" w:cs="Courier New" w:eastAsia="Courier New" w:hAnsi="Courier New"/>
                <w:sz w:val="15"/>
                <w:szCs w:val="15"/>
                <w:color w:val="auto"/>
                <w:w w:val="99"/>
              </w:rPr>
              <w:t>John D. Spellman</w:t>
            </w:r>
          </w:p>
        </w:tc>
        <w:tc>
          <w:tcPr>
            <w:tcW w:w="4360" w:type="dxa"/>
            <w:vAlign w:val="bottom"/>
          </w:tcPr>
          <w:p>
            <w:pPr>
              <w:spacing w:after="0"/>
              <w:rPr>
                <w:sz w:val="15"/>
                <w:szCs w:val="15"/>
                <w:color w:val="auto"/>
              </w:rPr>
            </w:pPr>
          </w:p>
        </w:tc>
      </w:tr>
      <w:tr>
        <w:trPr>
          <w:trHeight w:val="347"/>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2105"/>
              <w:spacing w:after="0"/>
              <w:rPr>
                <w:sz w:val="20"/>
                <w:szCs w:val="20"/>
                <w:color w:val="auto"/>
              </w:rPr>
            </w:pPr>
            <w:r>
              <w:rPr>
                <w:rFonts w:ascii="Courier New" w:cs="Courier New" w:eastAsia="Courier New" w:hAnsi="Courier New"/>
                <w:sz w:val="15"/>
                <w:szCs w:val="15"/>
                <w:color w:val="auto"/>
                <w:w w:val="88"/>
              </w:rPr>
              <w:t>*</w:t>
            </w:r>
          </w:p>
        </w:tc>
        <w:tc>
          <w:tcPr>
            <w:tcW w:w="43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1260" w:type="dxa"/>
            <w:vAlign w:val="bottom"/>
          </w:tcPr>
          <w:p>
            <w:pPr>
              <w:spacing w:after="0"/>
              <w:rPr>
                <w:sz w:val="15"/>
                <w:szCs w:val="15"/>
                <w:color w:val="auto"/>
              </w:rPr>
            </w:pPr>
          </w:p>
        </w:tc>
        <w:tc>
          <w:tcPr>
            <w:tcW w:w="3020" w:type="dxa"/>
            <w:vAlign w:val="bottom"/>
            <w:gridSpan w:val="2"/>
          </w:tcPr>
          <w:p>
            <w:pPr>
              <w:jc w:val="center"/>
              <w:ind w:right="1505"/>
              <w:spacing w:after="0"/>
              <w:rPr>
                <w:sz w:val="20"/>
                <w:szCs w:val="20"/>
                <w:color w:val="auto"/>
              </w:rPr>
            </w:pPr>
            <w:r>
              <w:rPr>
                <w:rFonts w:ascii="Courier New" w:cs="Courier New" w:eastAsia="Courier New" w:hAnsi="Courier New"/>
                <w:sz w:val="15"/>
                <w:szCs w:val="15"/>
                <w:color w:val="auto"/>
                <w:w w:val="99"/>
              </w:rPr>
              <w:t>Gene A. Meredith</w:t>
            </w:r>
          </w:p>
        </w:tc>
        <w:tc>
          <w:tcPr>
            <w:tcW w:w="4360" w:type="dxa"/>
            <w:vAlign w:val="bottom"/>
          </w:tcPr>
          <w:p>
            <w:pPr>
              <w:spacing w:after="0"/>
              <w:rPr>
                <w:sz w:val="15"/>
                <w:szCs w:val="15"/>
                <w:color w:val="auto"/>
              </w:rPr>
            </w:pPr>
          </w:p>
        </w:tc>
      </w:tr>
      <w:tr>
        <w:trPr>
          <w:trHeight w:val="347"/>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jc w:val="center"/>
              <w:ind w:right="2105"/>
              <w:spacing w:after="0"/>
              <w:rPr>
                <w:sz w:val="20"/>
                <w:szCs w:val="20"/>
                <w:color w:val="auto"/>
              </w:rPr>
            </w:pPr>
            <w:r>
              <w:rPr>
                <w:rFonts w:ascii="Courier New" w:cs="Courier New" w:eastAsia="Courier New" w:hAnsi="Courier New"/>
                <w:sz w:val="15"/>
                <w:szCs w:val="15"/>
                <w:color w:val="auto"/>
                <w:w w:val="88"/>
              </w:rPr>
              <w:t>*</w:t>
            </w:r>
          </w:p>
        </w:tc>
        <w:tc>
          <w:tcPr>
            <w:tcW w:w="43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4280" w:type="dxa"/>
            <w:vAlign w:val="bottom"/>
            <w:gridSpan w:val="3"/>
          </w:tcPr>
          <w:p>
            <w:pPr>
              <w:jc w:val="center"/>
              <w:ind w:right="165"/>
              <w:spacing w:after="0"/>
              <w:rPr>
                <w:sz w:val="20"/>
                <w:szCs w:val="20"/>
                <w:color w:val="auto"/>
              </w:rPr>
            </w:pPr>
            <w:r>
              <w:rPr>
                <w:rFonts w:ascii="Courier New" w:cs="Courier New" w:eastAsia="Courier New" w:hAnsi="Courier New"/>
                <w:sz w:val="15"/>
                <w:szCs w:val="15"/>
                <w:color w:val="auto"/>
              </w:rPr>
              <w:t>Richard J. Heckmann</w:t>
            </w:r>
          </w:p>
        </w:tc>
        <w:tc>
          <w:tcPr>
            <w:tcW w:w="4360" w:type="dxa"/>
            <w:vAlign w:val="bottom"/>
          </w:tcPr>
          <w:p>
            <w:pPr>
              <w:spacing w:after="0"/>
              <w:rPr>
                <w:sz w:val="15"/>
                <w:szCs w:val="15"/>
                <w:color w:val="auto"/>
              </w:rPr>
            </w:pPr>
          </w:p>
        </w:tc>
      </w:tr>
      <w:tr>
        <w:trPr>
          <w:trHeight w:val="347"/>
        </w:trPr>
        <w:tc>
          <w:tcPr>
            <w:tcW w:w="1260" w:type="dxa"/>
            <w:vAlign w:val="bottom"/>
          </w:tcPr>
          <w:p>
            <w:pPr>
              <w:ind w:left="720"/>
              <w:spacing w:after="0"/>
              <w:rPr>
                <w:sz w:val="20"/>
                <w:szCs w:val="20"/>
                <w:color w:val="auto"/>
              </w:rPr>
            </w:pPr>
            <w:r>
              <w:rPr>
                <w:rFonts w:ascii="Courier New" w:cs="Courier New" w:eastAsia="Courier New" w:hAnsi="Courier New"/>
                <w:sz w:val="15"/>
                <w:szCs w:val="15"/>
                <w:color w:val="auto"/>
                <w:w w:val="96"/>
              </w:rPr>
              <w:t>*  /s/</w:t>
            </w:r>
          </w:p>
        </w:tc>
        <w:tc>
          <w:tcPr>
            <w:tcW w:w="3020" w:type="dxa"/>
            <w:vAlign w:val="bottom"/>
            <w:gridSpan w:val="2"/>
          </w:tcPr>
          <w:p>
            <w:pPr>
              <w:jc w:val="center"/>
              <w:ind w:right="1425"/>
              <w:spacing w:after="0"/>
              <w:rPr>
                <w:sz w:val="20"/>
                <w:szCs w:val="20"/>
                <w:color w:val="auto"/>
              </w:rPr>
            </w:pPr>
            <w:r>
              <w:rPr>
                <w:rFonts w:ascii="Courier New" w:cs="Courier New" w:eastAsia="Courier New" w:hAnsi="Courier New"/>
                <w:sz w:val="15"/>
                <w:szCs w:val="15"/>
                <w:color w:val="auto"/>
                <w:w w:val="99"/>
              </w:rPr>
              <w:t>JOHN E. DRURY</w:t>
            </w:r>
          </w:p>
        </w:tc>
        <w:tc>
          <w:tcPr>
            <w:tcW w:w="4360" w:type="dxa"/>
            <w:vAlign w:val="bottom"/>
          </w:tcPr>
          <w:p>
            <w:pPr>
              <w:spacing w:after="0"/>
              <w:rPr>
                <w:sz w:val="24"/>
                <w:szCs w:val="24"/>
                <w:color w:val="auto"/>
              </w:rPr>
            </w:pPr>
          </w:p>
        </w:tc>
      </w:tr>
      <w:tr>
        <w:trPr>
          <w:trHeight w:val="173"/>
        </w:trPr>
        <w:tc>
          <w:tcPr>
            <w:tcW w:w="4280" w:type="dxa"/>
            <w:vAlign w:val="bottom"/>
            <w:gridSpan w:val="3"/>
          </w:tcPr>
          <w:p>
            <w:pPr>
              <w:jc w:val="center"/>
              <w:ind w:right="165"/>
              <w:spacing w:after="0"/>
              <w:rPr>
                <w:sz w:val="20"/>
                <w:szCs w:val="20"/>
                <w:color w:val="auto"/>
              </w:rPr>
            </w:pPr>
            <w:r>
              <w:rPr>
                <w:rFonts w:ascii="Courier New" w:cs="Courier New" w:eastAsia="Courier New" w:hAnsi="Courier New"/>
                <w:sz w:val="15"/>
                <w:szCs w:val="15"/>
                <w:color w:val="auto"/>
              </w:rPr>
              <w:t>As Attorney-in-fact</w:t>
            </w:r>
          </w:p>
        </w:tc>
        <w:tc>
          <w:tcPr>
            <w:tcW w:w="436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291" w:right="1440" w:bottom="1440" w:gutter="0" w:footer="0" w:header="0"/>
        </w:sectPr>
      </w:pPr>
    </w:p>
    <w:bookmarkStart w:id="297" w:name="page298"/>
    <w:bookmarkEnd w:id="297"/>
    <w:p>
      <w:pPr>
        <w:ind w:left="268"/>
        <w:spacing w:after="0"/>
        <w:rPr>
          <w:sz w:val="20"/>
          <w:szCs w:val="20"/>
          <w:color w:val="auto"/>
        </w:rPr>
      </w:pPr>
      <w:r>
        <w:rPr>
          <w:rFonts w:ascii="Courier New" w:cs="Courier New" w:eastAsia="Courier New" w:hAnsi="Courier New"/>
          <w:sz w:val="15"/>
          <w:szCs w:val="15"/>
          <w:color w:val="auto"/>
        </w:rPr>
        <w:t>291</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THIS PROXY IS SOLICITED ON BEHALF OF THE BOARD OF DIRECTORS OF USA WASTE</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SERVICES, INC.</w:t>
      </w:r>
    </w:p>
    <w:p>
      <w:pPr>
        <w:spacing w:after="0" w:line="351" w:lineRule="exact"/>
        <w:rPr>
          <w:sz w:val="20"/>
          <w:szCs w:val="20"/>
          <w:color w:val="auto"/>
        </w:rPr>
      </w:pPr>
    </w:p>
    <w:p>
      <w:pPr>
        <w:ind w:left="8" w:right="3019" w:firstLine="271"/>
        <w:spacing w:after="0" w:line="244" w:lineRule="auto"/>
        <w:rPr>
          <w:sz w:val="20"/>
          <w:szCs w:val="20"/>
          <w:color w:val="auto"/>
        </w:rPr>
      </w:pPr>
      <w:r>
        <w:rPr>
          <w:rFonts w:ascii="Courier New" w:cs="Courier New" w:eastAsia="Courier New" w:hAnsi="Courier New"/>
          <w:sz w:val="15"/>
          <w:szCs w:val="15"/>
          <w:color w:val="auto"/>
        </w:rPr>
        <w:t>The undersigned, having received the Notice of Annual Meeting of Shareholders and Joint Proxy Statement and Prospectus, hereby appoints Donald F. Moorehead, Jr., John E. Drury, and David Sutherland-Yoest, and each or any of them as proxies, with full power of substitution and revocation to each, for and in the name and on behalf of the undersigned, to vote all shares of Common Stock, $.01 par value, of USA Waste Services, Inc. owned of record by the undersigned, which the undersigned is entitled to vote at the 1995 Annual Meeting of Shareholders of USA Waste Services, Inc. to be held on June 27, 1995, at 2:00 p.m., Dallas, Texas time, at the Grand Kempinski -- Dallas Hotel, 15201 Dallas Parkway, Dallas, Texas 75248, and any adjournments thereof, upon the matters listed below and, in their discretion, upon such other matters as may properly come before the meeting.</w:t>
      </w:r>
    </w:p>
    <w:p>
      <w:pPr>
        <w:spacing w:after="0" w:line="35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George L. Ball, Earl E. DeFrates, John E. Drury, Richard D. Heckmann,</w:t>
      </w:r>
    </w:p>
    <w:p>
      <w:pPr>
        <w:spacing w:after="0" w:line="3"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Gene A. Meredith, Donald P. Moorehead, Jr.,</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Robert A. Mosley, John D. Spellman, David Sutherland-Yoest</w:t>
      </w:r>
    </w:p>
    <w:p>
      <w:pPr>
        <w:spacing w:after="0" w:line="178" w:lineRule="exact"/>
        <w:rPr>
          <w:sz w:val="20"/>
          <w:szCs w:val="20"/>
          <w:color w:val="auto"/>
        </w:rPr>
      </w:pPr>
    </w:p>
    <w:p>
      <w:pPr>
        <w:ind w:left="8" w:right="3459" w:firstLine="271"/>
        <w:spacing w:after="0" w:line="244" w:lineRule="auto"/>
        <w:rPr>
          <w:sz w:val="20"/>
          <w:szCs w:val="20"/>
          <w:color w:val="auto"/>
        </w:rPr>
      </w:pPr>
      <w:r>
        <w:rPr>
          <w:rFonts w:ascii="Courier New" w:cs="Courier New" w:eastAsia="Courier New" w:hAnsi="Courier New"/>
          <w:sz w:val="15"/>
          <w:szCs w:val="15"/>
          <w:color w:val="auto"/>
        </w:rPr>
        <w:t>You are encouraged to specify your choices by marking the appropriate boxes (SEE BELOW), but you need not mark any boxes if you wish to vote in accordance with the Board of Directors' recommendations. The proxies cannot vote your shares unless you sign and return this card.</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/X/ Please mark your votes as in this example.</w:t>
      </w:r>
    </w:p>
    <w:p>
      <w:pPr>
        <w:spacing w:after="0" w:line="178" w:lineRule="exact"/>
        <w:rPr>
          <w:sz w:val="20"/>
          <w:szCs w:val="20"/>
          <w:color w:val="auto"/>
        </w:rPr>
      </w:pPr>
    </w:p>
    <w:p>
      <w:pPr>
        <w:ind w:left="8" w:right="3559" w:firstLine="271"/>
        <w:spacing w:after="0" w:line="267" w:lineRule="auto"/>
        <w:rPr>
          <w:sz w:val="20"/>
          <w:szCs w:val="20"/>
          <w:color w:val="auto"/>
        </w:rPr>
      </w:pPr>
      <w:r>
        <w:rPr>
          <w:rFonts w:ascii="Courier New" w:cs="Courier New" w:eastAsia="Courier New" w:hAnsi="Courier New"/>
          <w:sz w:val="14"/>
          <w:szCs w:val="14"/>
          <w:color w:val="auto"/>
        </w:rPr>
        <w:t>The Board of Directors recommends a vote FOR Proposals 1, 2, 3, 4, 5, 6 and 7. This proxy when properly executed will be voted in the manner directed herein. If no direction is made, this proxy will be voted FOR all of the Board of Directors' nominees and FOR Proposals 1, 3, 4, 5, 6 and 7.</w:t>
      </w:r>
    </w:p>
    <w:p>
      <w:pPr>
        <w:spacing w:after="0" w:line="161" w:lineRule="exact"/>
        <w:rPr>
          <w:sz w:val="20"/>
          <w:szCs w:val="20"/>
          <w:color w:val="auto"/>
        </w:rPr>
      </w:pPr>
    </w:p>
    <w:p>
      <w:pPr>
        <w:ind w:left="268" w:right="3559" w:hanging="268"/>
        <w:spacing w:after="0" w:line="244" w:lineRule="auto"/>
        <w:tabs>
          <w:tab w:leader="none" w:pos="26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the Amended and Restated Agreement and Plan of Merger dated as of November 28, 1994, among USA Waste Services, Inc. (the "Company"), Chambers Acquisition Corporation, and Chambers Development Company, Inc.</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w w:val="97"/>
              </w:rPr>
              <w:t>/ /  For</w:t>
            </w:r>
          </w:p>
        </w:tc>
        <w:tc>
          <w:tcPr>
            <w:tcW w:w="1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Against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Abstain</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2. Election</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of Directors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For</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Withheld</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For, except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vote withheld from</w:t>
            </w:r>
          </w:p>
        </w:tc>
        <w:tc>
          <w:tcPr>
            <w:tcW w:w="2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following nominee(s):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(Continued on Reverse Side)</w:t>
      </w:r>
    </w:p>
    <w:p>
      <w:pPr>
        <w:spacing w:after="0" w:line="178" w:lineRule="exact"/>
        <w:rPr>
          <w:sz w:val="20"/>
          <w:szCs w:val="20"/>
          <w:color w:val="auto"/>
        </w:rPr>
      </w:pPr>
    </w:p>
    <w:p>
      <w:pPr>
        <w:ind w:left="268" w:right="4279" w:hanging="268"/>
        <w:spacing w:after="0" w:line="243" w:lineRule="auto"/>
        <w:tabs>
          <w:tab w:leader="none" w:pos="268"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change the domicile of the Company from Oklahoma to Delaware.</w:t>
      </w:r>
    </w:p>
    <w:p>
      <w:pPr>
        <w:spacing w:after="0" w:line="175" w:lineRule="exact"/>
        <w:rPr>
          <w:sz w:val="20"/>
          <w:szCs w:val="20"/>
          <w:color w:val="auto"/>
        </w:rPr>
      </w:pPr>
    </w:p>
    <w:p>
      <w:pPr>
        <w:ind w:left="368"/>
        <w:spacing w:after="0"/>
        <w:tabs>
          <w:tab w:leader="none" w:pos="787" w:val="left"/>
          <w:tab w:leader="none" w:pos="2587" w:val="left"/>
          <w:tab w:leader="none" w:pos="3047" w:val="left"/>
          <w:tab w:leader="none" w:pos="5207" w:val="left"/>
          <w:tab w:leader="none" w:pos="566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268" w:right="3559" w:hanging="268"/>
        <w:spacing w:after="0" w:line="244" w:lineRule="auto"/>
        <w:tabs>
          <w:tab w:leader="none" w:pos="26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amend the Certificate of Incorporation of the Company to provide for classification of the Board of Directors into three classes and certain related matters.</w:t>
      </w:r>
    </w:p>
    <w:p>
      <w:pPr>
        <w:spacing w:after="0" w:line="175" w:lineRule="exact"/>
        <w:rPr>
          <w:sz w:val="20"/>
          <w:szCs w:val="20"/>
          <w:color w:val="auto"/>
        </w:rPr>
      </w:pPr>
    </w:p>
    <w:p>
      <w:pPr>
        <w:ind w:left="368"/>
        <w:spacing w:after="0"/>
        <w:tabs>
          <w:tab w:leader="none" w:pos="787" w:val="left"/>
          <w:tab w:leader="none" w:pos="2587" w:val="left"/>
          <w:tab w:leader="none" w:pos="3047" w:val="left"/>
          <w:tab w:leader="none" w:pos="5207" w:val="left"/>
          <w:tab w:leader="none" w:pos="566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268" w:right="3819" w:hanging="268"/>
        <w:spacing w:after="0" w:line="244" w:lineRule="auto"/>
        <w:tabs>
          <w:tab w:leader="none" w:pos="268"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amend the Certificate of Incorporation of the Company to increase the authorized shares of Common Stock, par value $.01 per share, from 50,000,000 to 150,000,000.</w:t>
      </w:r>
    </w:p>
    <w:p>
      <w:pPr>
        <w:spacing w:after="0" w:line="175" w:lineRule="exact"/>
        <w:rPr>
          <w:sz w:val="20"/>
          <w:szCs w:val="20"/>
          <w:color w:val="auto"/>
        </w:rPr>
      </w:pPr>
    </w:p>
    <w:p>
      <w:pPr>
        <w:ind w:left="368"/>
        <w:spacing w:after="0"/>
        <w:tabs>
          <w:tab w:leader="none" w:pos="787" w:val="left"/>
          <w:tab w:leader="none" w:pos="2587" w:val="left"/>
          <w:tab w:leader="none" w:pos="3047" w:val="left"/>
          <w:tab w:leader="none" w:pos="5207" w:val="left"/>
          <w:tab w:leader="none" w:pos="566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268" w:right="3739" w:hanging="268"/>
        <w:spacing w:after="0" w:line="244" w:lineRule="auto"/>
        <w:tabs>
          <w:tab w:leader="none" w:pos="26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amend the 1993 Stock Incentive Plan of the Company to increase the aggregate number of shares of the Company's Common Stock that may be issued under such Plan from 1,000,000 to 4,000,000.</w:t>
      </w:r>
    </w:p>
    <w:p>
      <w:pPr>
        <w:spacing w:after="0" w:line="175" w:lineRule="exact"/>
        <w:rPr>
          <w:sz w:val="20"/>
          <w:szCs w:val="20"/>
          <w:color w:val="auto"/>
        </w:rPr>
      </w:pPr>
    </w:p>
    <w:p>
      <w:pPr>
        <w:ind w:left="368"/>
        <w:spacing w:after="0"/>
        <w:tabs>
          <w:tab w:leader="none" w:pos="787" w:val="left"/>
          <w:tab w:leader="none" w:pos="2587" w:val="left"/>
          <w:tab w:leader="none" w:pos="3047" w:val="left"/>
          <w:tab w:leader="none" w:pos="5207" w:val="left"/>
          <w:tab w:leader="none" w:pos="566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7"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The undersigned hereby revokes</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all proxies heretofore given</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by the undersigned to vote at</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said meeting or any</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adjournment thereof.</w:t>
      </w:r>
    </w:p>
    <w:p>
      <w:pPr>
        <w:spacing w:after="0" w:line="177"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Please sign your name exactly</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as it appears hereon. Joint</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owners must each sign. When</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signing as attorney, executor,</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administrator, trustee, or</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guardian, please give your</w:t>
      </w:r>
    </w:p>
    <w:p>
      <w:pPr>
        <w:spacing w:after="0" w:line="3" w:lineRule="exact"/>
        <w:rPr>
          <w:sz w:val="20"/>
          <w:szCs w:val="20"/>
          <w:color w:val="auto"/>
        </w:rPr>
      </w:pPr>
    </w:p>
    <w:p>
      <w:pPr>
        <w:ind w:left="4048"/>
        <w:spacing w:after="0"/>
        <w:rPr>
          <w:sz w:val="20"/>
          <w:szCs w:val="20"/>
          <w:color w:val="auto"/>
        </w:rPr>
      </w:pPr>
      <w:r>
        <w:rPr>
          <w:rFonts w:ascii="Courier New" w:cs="Courier New" w:eastAsia="Courier New" w:hAnsi="Courier New"/>
          <w:sz w:val="15"/>
          <w:szCs w:val="15"/>
          <w:color w:val="auto"/>
        </w:rPr>
        <w:t>full title as such.</w:t>
      </w:r>
    </w:p>
    <w:p>
      <w:pPr>
        <w:spacing w:after="0" w:line="177" w:lineRule="exact"/>
        <w:rPr>
          <w:sz w:val="20"/>
          <w:szCs w:val="20"/>
          <w:color w:val="auto"/>
        </w:rPr>
      </w:pPr>
    </w:p>
    <w:p>
      <w:pPr>
        <w:ind w:left="4328"/>
        <w:spacing w:after="0"/>
        <w:tabs>
          <w:tab w:leader="none" w:pos="6107"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Date</w:t>
      </w:r>
    </w:p>
    <w:p>
      <w:pPr>
        <w:sectPr>
          <w:pgSz w:w="11900" w:h="16838" w:orient="portrait"/>
          <w:cols w:equalWidth="0" w:num="1">
            <w:col w:w="10227"/>
          </w:cols>
          <w:pgMar w:left="232" w:top="291" w:right="1440" w:bottom="555" w:gutter="0" w:footer="0" w:header="0"/>
        </w:sectPr>
      </w:pPr>
    </w:p>
    <w:bookmarkStart w:id="298" w:name="page299"/>
    <w:bookmarkEnd w:id="298"/>
    <w:p>
      <w:pPr>
        <w:ind w:left="260"/>
        <w:spacing w:after="0"/>
        <w:rPr>
          <w:sz w:val="20"/>
          <w:szCs w:val="20"/>
          <w:color w:val="auto"/>
        </w:rPr>
      </w:pPr>
      <w:r>
        <w:rPr>
          <w:rFonts w:ascii="Courier New" w:cs="Courier New" w:eastAsia="Courier New" w:hAnsi="Courier New"/>
          <w:sz w:val="15"/>
          <w:szCs w:val="15"/>
          <w:color w:val="auto"/>
        </w:rPr>
        <w:t>292</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THIS PROXY IS SOLICITED ON BEHALF OF THE BOARD OF DIRECTORS OF CHAMBERS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DEVELOPMENT COMPANY, INC.</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undersigned, having received the Notice of Special Meeting of Stockholders and Joint Proxy Statement and Prospectus, hereby appoints John G. Rangos, Sr, John G. Rangos, Jr. and Alexander W. Rangos, and each or any of them as proxies, with full power of substitution and revocation to each, for and in the name and on behalf of the undersigned, to vote all shares of Common Stock, $.50 par value, of Chambers Development Company, Inc. owned of record by the undersigned, which the undersigned is entitled to vote at the Special Meeting of Stockholders of Chambers Development Company, Inc. to be held on June 27, 1995, at 10:00 a.m., Dallas, Texas time, at The Grand Kempinski-Dallas Hotel, 15201 Dallas Parkway, Dallas, Texas 75248, and any adjournments thereof, upon the matter listed on the reverse side hereof.</w:t>
      </w:r>
    </w:p>
    <w:p>
      <w:pPr>
        <w:spacing w:after="0" w:line="35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You are encouraged to specify your choice by marking the appropriate box (SEE REVERSE SIDE), but you need not mark any box if you wish to vote in accordance with the Board of Directors' recommendation. The proxies cannot vote your shares unless you sign and return this card.</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Board of Directors recommends a vote FOR the Proposal. This proxy when properly executed will be voted in the manner directed herein. If no direction is made, this proxy will be voted FOR the Proposal.</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See Reverse Side</w:t>
      </w:r>
    </w:p>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PLEASE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MARK YOUR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VOTE AS IN</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THIS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EXAMPLE</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Proposal to approve and adopt the Amended and Restated Agreement and Plan of Merger dated as of November 28, 1994, among USA Waste Services, Inc., Chambers Acquisition Corporation and Chambers Development Company, Inc.</w:t>
      </w:r>
    </w:p>
    <w:p>
      <w:pPr>
        <w:spacing w:after="0" w:line="175" w:lineRule="exact"/>
        <w:rPr>
          <w:sz w:val="20"/>
          <w:szCs w:val="20"/>
          <w:color w:val="auto"/>
        </w:rPr>
      </w:pPr>
    </w:p>
    <w:p>
      <w:pPr>
        <w:ind w:left="1160"/>
        <w:spacing w:after="0"/>
        <w:tabs>
          <w:tab w:leader="none" w:pos="2860" w:val="left"/>
          <w:tab w:leader="none" w:pos="4940"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The undersigned hereby revokes all</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proxies heretofore given by the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undersigned to vote at said meeting</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or any adjournments thereof.</w:t>
      </w: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Please sign your name exactly as it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appears hereon. Joint owners must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each sign. When signing as</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attorney, executor, administrator,</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trustee, or guardian, please give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your full title as such.</w:t>
      </w: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20"/>
        <w:spacing w:after="0"/>
        <w:tabs>
          <w:tab w:leader="none" w:pos="646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Date</w:t>
      </w:r>
    </w:p>
    <w:p>
      <w:pPr>
        <w:sectPr>
          <w:pgSz w:w="11900" w:h="16838" w:orient="portrait"/>
          <w:cols w:equalWidth="0" w:num="1">
            <w:col w:w="10219"/>
          </w:cols>
          <w:pgMar w:left="240" w:top="291" w:right="1440" w:bottom="1440" w:gutter="0" w:footer="0" w:header="0"/>
        </w:sectPr>
      </w:pPr>
    </w:p>
    <w:bookmarkStart w:id="299" w:name="page300"/>
    <w:bookmarkEnd w:id="299"/>
    <w:p>
      <w:pPr>
        <w:ind w:left="260"/>
        <w:spacing w:after="0"/>
        <w:rPr>
          <w:sz w:val="20"/>
          <w:szCs w:val="20"/>
          <w:color w:val="auto"/>
        </w:rPr>
      </w:pPr>
      <w:r>
        <w:rPr>
          <w:rFonts w:ascii="Courier New" w:cs="Courier New" w:eastAsia="Courier New" w:hAnsi="Courier New"/>
          <w:sz w:val="15"/>
          <w:szCs w:val="15"/>
          <w:color w:val="auto"/>
        </w:rPr>
        <w:t>293</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THIS PROXY IS SOLICITED ON BEHALF OF THE BOARD OF DIRECTORS OF CHAMBERS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DEVELOPMENT COMPANY, INC.</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undersigned, having received the Notice of Special Meeting of Stockholders and Joint Proxy Statement and Prospectus, hereby appoints John G. Rangos, Sr, John G. Rangos, Jr. and Alexander W. Rangos, and each or any of them as proxies, with full power of substitution and revocation to each, for and in the name and on behalf of the undersigned, to vote all shares of Class A Common Stock, $.50 par value, of Chambers Development Company, Inc. owned of record by the undersigned, which the undersigned is entitled to vote at the Special Meeting of Stockholders of Chambers Development Company, Inc. to be held on June 27, 1995, at 10:00 a.m., Dallas, Texas time, at The Grand Kempinski-Dallas Hotel, 15201 Dallas Parkway, Dallas, Texas 75248, and any adjournments thereof, upon the matter listed on the reverse side hereof.</w:t>
      </w:r>
    </w:p>
    <w:p>
      <w:pPr>
        <w:spacing w:after="0" w:line="35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You are encouraged to specify your choice by marking the appropriate box (SEE REVERSE SIDE), but you need not mark any box if you wish to vote in accordance with the Board of Directors' recommendation. The proxies cannot vote your shares unless you sign and return this card.</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Board of Directors recommends a vote FOR the Proposal. This proxy when properly executed will be voted in the manner directed herein. If no direction is made, this proxy will be voted FOR the Proposal.</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See Reverse Side</w:t>
      </w:r>
    </w:p>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PLEASE</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MARK YOUR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VOTE AS IN</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THIS</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EXAMPLE</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Proposal to approve and adopt the Amended and Restated Agreement and Plan of Merger dated as of November 28, 1994, among USA Waste Services, Inc., Chambers Acquisition Corporation and Chambers Development Company, Inc.</w:t>
      </w:r>
    </w:p>
    <w:p>
      <w:pPr>
        <w:spacing w:after="0" w:line="175" w:lineRule="exact"/>
        <w:rPr>
          <w:sz w:val="20"/>
          <w:szCs w:val="20"/>
          <w:color w:val="auto"/>
        </w:rPr>
      </w:pPr>
    </w:p>
    <w:p>
      <w:pPr>
        <w:ind w:left="1160"/>
        <w:spacing w:after="0"/>
        <w:tabs>
          <w:tab w:leader="none" w:pos="2860" w:val="left"/>
          <w:tab w:leader="none" w:pos="4940"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The undersigned hereby revokes all</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proxies heretofore given by the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undersigned to vote at said meeting</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or any adjournments thereof.</w:t>
      </w: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Please sign your name exactly as it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appears hereon. Joint owners must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each sign. When signing as</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attorney, executor, administrator,</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trustee, or guardian, please give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your full title as such.</w:t>
      </w: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20"/>
        <w:spacing w:after="0"/>
        <w:tabs>
          <w:tab w:leader="none" w:pos="646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Date</w:t>
      </w:r>
    </w:p>
    <w:p>
      <w:pPr>
        <w:sectPr>
          <w:pgSz w:w="11900" w:h="16838" w:orient="portrait"/>
          <w:cols w:equalWidth="0" w:num="1">
            <w:col w:w="10219"/>
          </w:cols>
          <w:pgMar w:left="240" w:top="291" w:right="1440" w:bottom="1440" w:gutter="0" w:footer="0" w:header="0"/>
        </w:sectPr>
      </w:pPr>
    </w:p>
    <w:bookmarkStart w:id="300" w:name="page301"/>
    <w:bookmarkEnd w:id="300"/>
    <w:p>
      <w:pPr>
        <w:ind w:left="260"/>
        <w:spacing w:after="0"/>
        <w:rPr>
          <w:sz w:val="20"/>
          <w:szCs w:val="20"/>
          <w:color w:val="auto"/>
        </w:rPr>
      </w:pPr>
      <w:r>
        <w:rPr>
          <w:rFonts w:ascii="Courier New" w:cs="Courier New" w:eastAsia="Courier New" w:hAnsi="Courier New"/>
          <w:sz w:val="15"/>
          <w:szCs w:val="15"/>
          <w:color w:val="auto"/>
        </w:rPr>
        <w:t>294</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24" w:lineRule="exact"/>
        <w:rPr>
          <w:sz w:val="20"/>
          <w:szCs w:val="20"/>
          <w:color w:val="auto"/>
        </w:rPr>
      </w:pPr>
    </w:p>
    <w:p>
      <w:pPr>
        <w:ind w:left="80"/>
        <w:spacing w:after="0"/>
        <w:tabs>
          <w:tab w:leader="none" w:pos="7460"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5"/>
          <w:szCs w:val="15"/>
          <w:color w:val="auto"/>
        </w:rPr>
        <w:t>SEQUENTIAL</w:t>
      </w:r>
    </w:p>
    <w:p>
      <w:pPr>
        <w:spacing w:after="0" w:line="3" w:lineRule="exact"/>
        <w:rPr>
          <w:sz w:val="20"/>
          <w:szCs w:val="20"/>
          <w:color w:val="auto"/>
        </w:rPr>
      </w:pPr>
    </w:p>
    <w:p>
      <w:pPr>
        <w:ind w:left="260"/>
        <w:spacing w:after="0"/>
        <w:tabs>
          <w:tab w:leader="none" w:pos="3660" w:val="left"/>
          <w:tab w:leader="none" w:pos="74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4"/>
          <w:szCs w:val="14"/>
          <w:color w:val="auto"/>
        </w:rPr>
        <w:t>PAGE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88" w:lineRule="exact"/>
        <w:rPr>
          <w:sz w:val="20"/>
          <w:szCs w:val="20"/>
          <w:color w:val="auto"/>
        </w:rPr>
      </w:pPr>
    </w:p>
    <w:p>
      <w:pPr>
        <w:ind w:left="980" w:right="28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 Amended and Restated Agreement and Plan of Merger dated as of November 28, 1994, among USA Waste Services, Inc. ("USA Waste"), Chambers Acquisition Corporation, a wholly owned subsidiary of USA Waste, and Chambers Development Company, Inc. ("Chambers") [included as Appendix A to the Joint Proxy Statement/Prospectus herein].</w:t>
      </w:r>
    </w:p>
    <w:p>
      <w:pPr>
        <w:spacing w:after="0" w:line="3" w:lineRule="exact"/>
        <w:rPr>
          <w:sz w:val="20"/>
          <w:szCs w:val="20"/>
          <w:color w:val="auto"/>
        </w:rPr>
      </w:pPr>
    </w:p>
    <w:p>
      <w:pPr>
        <w:ind w:left="980" w:right="2919" w:hanging="901"/>
        <w:spacing w:after="0" w:line="244" w:lineRule="auto"/>
        <w:tabs>
          <w:tab w:leader="none" w:pos="9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 Certificate of Incorporation, as amended [incorporated by reference to Exhibit 3.1 to the Registrant's Registration Statement on Form S-18, File No. 33-20237-FW].</w:t>
      </w:r>
    </w:p>
    <w:p>
      <w:pPr>
        <w:spacing w:after="0" w:line="2" w:lineRule="exact"/>
        <w:rPr>
          <w:sz w:val="20"/>
          <w:szCs w:val="20"/>
          <w:color w:val="auto"/>
        </w:rPr>
      </w:pPr>
    </w:p>
    <w:p>
      <w:pPr>
        <w:ind w:left="980" w:right="2919" w:hanging="901"/>
        <w:spacing w:after="0" w:line="243" w:lineRule="auto"/>
        <w:tabs>
          <w:tab w:leader="none" w:pos="9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 Bylaws, as amended [incorporated by reference to Exhibit 3.2 of the Registrant's Registration Statement on Form S-18, File No.</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33-20237-FW].</w:t>
      </w:r>
    </w:p>
    <w:p>
      <w:pPr>
        <w:spacing w:after="0" w:line="4" w:lineRule="exact"/>
        <w:rPr>
          <w:sz w:val="20"/>
          <w:szCs w:val="20"/>
          <w:color w:val="auto"/>
        </w:rPr>
      </w:pPr>
    </w:p>
    <w:p>
      <w:pPr>
        <w:ind w:left="980" w:right="2839" w:hanging="901"/>
        <w:spacing w:after="0" w:line="243" w:lineRule="auto"/>
        <w:tabs>
          <w:tab w:leader="none" w:pos="9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 Specimen Stock Certificate [incorporated by reference to Exhibit 3.2 of the Registrant's Registration Statement on Form 8-A, File No.</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0-17034, Reference No. 8-15-2847].</w:t>
      </w:r>
    </w:p>
    <w:p>
      <w:pPr>
        <w:spacing w:after="0" w:line="4" w:lineRule="exact"/>
        <w:rPr>
          <w:sz w:val="20"/>
          <w:szCs w:val="20"/>
          <w:color w:val="auto"/>
        </w:rPr>
      </w:pPr>
    </w:p>
    <w:p>
      <w:pPr>
        <w:ind w:left="980" w:right="2919" w:hanging="901"/>
        <w:spacing w:after="0" w:line="243" w:lineRule="auto"/>
        <w:tabs>
          <w:tab w:leader="none" w:pos="9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 Indenture dated September 25, 1992, between USA Waste and The First National Bank of Boston, as trustee, with respect to USA Waste's</w:t>
      </w:r>
    </w:p>
    <w:p>
      <w:pPr>
        <w:spacing w:after="0" w:line="3" w:lineRule="exact"/>
        <w:rPr>
          <w:sz w:val="20"/>
          <w:szCs w:val="20"/>
          <w:color w:val="auto"/>
        </w:rPr>
      </w:pPr>
    </w:p>
    <w:p>
      <w:pPr>
        <w:ind w:left="1260" w:right="2839"/>
        <w:spacing w:after="0" w:line="244" w:lineRule="auto"/>
        <w:rPr>
          <w:sz w:val="20"/>
          <w:szCs w:val="20"/>
          <w:color w:val="auto"/>
        </w:rPr>
      </w:pPr>
      <w:r>
        <w:rPr>
          <w:rFonts w:ascii="Courier New" w:cs="Courier New" w:eastAsia="Courier New" w:hAnsi="Courier New"/>
          <w:sz w:val="15"/>
          <w:szCs w:val="15"/>
          <w:color w:val="auto"/>
        </w:rPr>
        <w:t>8 1/2% Convertible Subordinated Debentures Due 2002 [incorporated by reference to Exhibit 4.1 of the Registrant's Registration Statement on Form S-1, file No. 33-50918.]</w:t>
      </w:r>
    </w:p>
    <w:p>
      <w:pPr>
        <w:spacing w:after="0" w:line="2" w:lineRule="exact"/>
        <w:rPr>
          <w:sz w:val="20"/>
          <w:szCs w:val="20"/>
          <w:color w:val="auto"/>
        </w:rPr>
      </w:pPr>
    </w:p>
    <w:p>
      <w:pPr>
        <w:ind w:left="980" w:right="2919" w:hanging="901"/>
        <w:spacing w:after="0" w:line="243" w:lineRule="auto"/>
        <w:tabs>
          <w:tab w:leader="none" w:pos="9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 Opinion of Snell &amp; Smith, P.C. as to the legality of the securities being registered.</w:t>
      </w:r>
    </w:p>
    <w:p>
      <w:pPr>
        <w:spacing w:after="0" w:line="3" w:lineRule="exact"/>
        <w:rPr>
          <w:sz w:val="20"/>
          <w:szCs w:val="20"/>
          <w:color w:val="auto"/>
        </w:rPr>
      </w:pPr>
    </w:p>
    <w:p>
      <w:pPr>
        <w:ind w:left="980" w:right="2919" w:hanging="901"/>
        <w:spacing w:after="0" w:line="243" w:lineRule="auto"/>
        <w:tabs>
          <w:tab w:leader="none" w:pos="96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 Opinion of Thorp, Reed &amp; Armstrong as to certain federal income tax matters.</w:t>
      </w:r>
    </w:p>
    <w:p>
      <w:pPr>
        <w:spacing w:after="0" w:line="3" w:lineRule="exact"/>
        <w:rPr>
          <w:sz w:val="20"/>
          <w:szCs w:val="20"/>
          <w:color w:val="auto"/>
        </w:rPr>
      </w:pPr>
    </w:p>
    <w:p>
      <w:pPr>
        <w:ind w:left="980" w:right="28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-- 1990 Stock Option Plan [incorporated by reference to Exhibit 10.1 of the Registrant's Annual Report on Form 10-K for the year ended December 31, 1990].</w:t>
      </w:r>
    </w:p>
    <w:p>
      <w:pPr>
        <w:spacing w:after="0" w:line="2" w:lineRule="exact"/>
        <w:rPr>
          <w:sz w:val="20"/>
          <w:szCs w:val="20"/>
          <w:color w:val="auto"/>
        </w:rPr>
      </w:pPr>
    </w:p>
    <w:p>
      <w:pPr>
        <w:ind w:left="980" w:right="28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-- 1993 Stock Incentive Plan [incorporated by reference to Exhibit 10.1 of the Registrant's Annual Report on Form 10-K for the year ended December 31, 1993].</w:t>
      </w:r>
    </w:p>
    <w:p>
      <w:pPr>
        <w:spacing w:after="0" w:line="2" w:lineRule="exact"/>
        <w:rPr>
          <w:sz w:val="20"/>
          <w:szCs w:val="20"/>
          <w:color w:val="auto"/>
        </w:rPr>
      </w:pPr>
    </w:p>
    <w:p>
      <w:pPr>
        <w:ind w:left="980" w:right="27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 Envirofil, Inc. ("Envirofil") 1993 Stock Incentive Plan [incorporated by reference to Exhibit 10.3 of the Registrant's Annual Report on Form 10-K for the year ended December 31, 1994].</w:t>
      </w:r>
    </w:p>
    <w:p>
      <w:pPr>
        <w:spacing w:after="0" w:line="2" w:lineRule="exact"/>
        <w:rPr>
          <w:sz w:val="20"/>
          <w:szCs w:val="20"/>
          <w:color w:val="auto"/>
        </w:rPr>
      </w:pPr>
    </w:p>
    <w:p>
      <w:pPr>
        <w:ind w:left="980" w:right="291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 Asset Purchase Agreement dated August 12, 1993, between Chambers of Indiana, Inc. and USA Waste of Indiana, Inc. [incorporated by reference to Exhibit 2.2 of the Registrant's Current Report on Form 8-K dated September 30, 1993].</w:t>
      </w:r>
    </w:p>
    <w:p>
      <w:pPr>
        <w:spacing w:after="0" w:line="3" w:lineRule="exact"/>
        <w:rPr>
          <w:sz w:val="20"/>
          <w:szCs w:val="20"/>
          <w:color w:val="auto"/>
        </w:rPr>
      </w:pPr>
    </w:p>
    <w:p>
      <w:pPr>
        <w:ind w:left="980" w:right="2839" w:hanging="991"/>
        <w:spacing w:after="0" w:line="245" w:lineRule="auto"/>
        <w:tabs>
          <w:tab w:leader="none" w:pos="9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 Stock Purchase Agreement dated August 12, 1993, between Chambers and USA Waste of Indiana, Inc. [incorporated by reference to Exhibit 2.1 of the Registrant's Current Report on Form 8-K dated September 30, 1993].</w:t>
      </w:r>
    </w:p>
    <w:p>
      <w:pPr>
        <w:spacing w:after="0" w:line="173" w:lineRule="exact"/>
        <w:rPr>
          <w:sz w:val="20"/>
          <w:szCs w:val="20"/>
          <w:color w:val="auto"/>
        </w:rPr>
      </w:pPr>
    </w:p>
    <w:p>
      <w:pPr>
        <w:ind w:left="980" w:right="28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 Agreement of Merger dated as of September 29, 1993, among USA Waste, USA Acquisition Co., Soil Remediation of Philadelphia, Inc., and Louis D. Paolino, Jr. [incorporated by reference to Exhibit 2.3 of the Registrant's Current Report on Form 8-K dated September 30, 1993].</w:t>
      </w:r>
    </w:p>
    <w:p>
      <w:pPr>
        <w:spacing w:after="0" w:line="176" w:lineRule="exact"/>
        <w:rPr>
          <w:sz w:val="20"/>
          <w:szCs w:val="20"/>
          <w:color w:val="auto"/>
        </w:rPr>
      </w:pPr>
    </w:p>
    <w:p>
      <w:pPr>
        <w:ind w:left="980" w:right="28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 Agreement and Plan of Reorganization dated as of March 17, 1993, as amended on March 25, 1993, March 31, 1993 and August 20, 1993, between Envirofil and Environmental Waste of America, Inc. [incorporated by reference to Exhibit (c)(i) of Envirofil's Current Report on Form 8-K filed on November 16, 1993, as amended by Current Report on Form 8-K/A filed on January 18, 1994].</w:t>
      </w:r>
    </w:p>
    <w:p>
      <w:pPr>
        <w:spacing w:after="0" w:line="4" w:lineRule="exact"/>
        <w:rPr>
          <w:sz w:val="20"/>
          <w:szCs w:val="20"/>
          <w:color w:val="auto"/>
        </w:rPr>
      </w:pPr>
    </w:p>
    <w:p>
      <w:pPr>
        <w:ind w:left="980" w:right="27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 Stock Purchase Agreement dated March 15, 1993, between Environmental Waste of America, Inc. and Donald G. Lindgren, as amended and assigned to Envirofil as of November 5, 1993 [incorporated by reference to Exhibit (c)(i) to Envirofil's Current Report on Form 8-K filed on November 16, 1993, as amended by Current Report on Form 8-K/A filed on January 18, 1994].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w:t>
      </w:r>
    </w:p>
    <w:p>
      <w:pPr>
        <w:sectPr>
          <w:pgSz w:w="11900" w:h="16838" w:orient="portrait"/>
          <w:cols w:equalWidth="0" w:num="1">
            <w:col w:w="10219"/>
          </w:cols>
          <w:pgMar w:left="240" w:top="291" w:right="1440" w:bottom="1440" w:gutter="0" w:footer="0" w:header="0"/>
        </w:sectPr>
      </w:pPr>
    </w:p>
    <w:bookmarkStart w:id="301" w:name="page302"/>
    <w:bookmarkEnd w:id="301"/>
    <w:p>
      <w:pPr>
        <w:ind w:left="260"/>
        <w:spacing w:after="0"/>
        <w:rPr>
          <w:sz w:val="20"/>
          <w:szCs w:val="20"/>
          <w:color w:val="auto"/>
        </w:rPr>
      </w:pPr>
      <w:r>
        <w:rPr>
          <w:rFonts w:ascii="Courier New" w:cs="Courier New" w:eastAsia="Courier New" w:hAnsi="Courier New"/>
          <w:sz w:val="15"/>
          <w:szCs w:val="15"/>
          <w:color w:val="auto"/>
        </w:rPr>
        <w:t>295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tabs>
          <w:tab w:leader="none" w:pos="7460"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5"/>
          <w:szCs w:val="15"/>
          <w:color w:val="auto"/>
        </w:rPr>
        <w:t>SEQUENTIAL</w:t>
      </w:r>
    </w:p>
    <w:p>
      <w:pPr>
        <w:spacing w:after="0" w:line="3" w:lineRule="exact"/>
        <w:rPr>
          <w:sz w:val="20"/>
          <w:szCs w:val="20"/>
          <w:color w:val="auto"/>
        </w:rPr>
      </w:pPr>
    </w:p>
    <w:p>
      <w:pPr>
        <w:ind w:left="260"/>
        <w:spacing w:after="0"/>
        <w:tabs>
          <w:tab w:leader="none" w:pos="3660" w:val="left"/>
          <w:tab w:leader="none" w:pos="74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4"/>
          <w:szCs w:val="14"/>
          <w:color w:val="auto"/>
        </w:rPr>
        <w:t>PAGE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88" w:lineRule="exact"/>
        <w:rPr>
          <w:sz w:val="20"/>
          <w:szCs w:val="20"/>
          <w:color w:val="auto"/>
        </w:rPr>
      </w:pPr>
    </w:p>
    <w:p>
      <w:pPr>
        <w:ind w:left="980" w:right="28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 Stock Purchase Agreement dated March 19, 1993, among Envirofil, Meadowbrook Carting Co., Inc., and certain shareholders of Meadowbrook Carting Co., Inc. [incorporated by reference to Exhibit (c)(ii) of Envirofil's Current Report on Form 8-K filed February 28, 1994, as amended by Current Report on Form 8-K/A filed on May 11, 1994].</w:t>
      </w:r>
    </w:p>
    <w:p>
      <w:pPr>
        <w:spacing w:after="0" w:line="177" w:lineRule="exact"/>
        <w:rPr>
          <w:sz w:val="20"/>
          <w:szCs w:val="20"/>
          <w:color w:val="auto"/>
        </w:rPr>
      </w:pPr>
    </w:p>
    <w:p>
      <w:pPr>
        <w:ind w:left="980" w:right="28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10.10</w:t>
        <w:tab/>
        <w:t>-- Stock Purchase Agreement dated March 19, 1993, among Envirofil, Mid-Jersey Disposal, Co., Inc., and certain shareholders of Mid-Jersey Disposal Co., Inc. [incorporated by reference to Exhibit (c)(ii) of Envirofil's Current Report on Form 8-K filed February 28, 1994, as amended by Current Report on Form 8-K/A filed on May 11, 1994].</w:t>
      </w:r>
    </w:p>
    <w:p>
      <w:pPr>
        <w:spacing w:after="0" w:line="177" w:lineRule="exact"/>
        <w:rPr>
          <w:sz w:val="20"/>
          <w:szCs w:val="20"/>
          <w:color w:val="auto"/>
        </w:rPr>
      </w:pPr>
    </w:p>
    <w:p>
      <w:pPr>
        <w:ind w:left="980" w:right="27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10.11</w:t>
        <w:tab/>
        <w:t>-- Stock Purchase Agreement dated March 19, 1993, among Envirofil, Quality Recycling Co., Inc., and certain shareholders of Quality Recycling Co., Inc. [incorporated by reference to Exhibit (c)(iii) of Envirofil's Current Report on Form 8-K filed February 28, 1994, as amended by Current Report on Form 8-K/A filed on May 11, 1994].</w:t>
      </w:r>
    </w:p>
    <w:p>
      <w:pPr>
        <w:spacing w:after="0" w:line="3" w:lineRule="exact"/>
        <w:rPr>
          <w:sz w:val="20"/>
          <w:szCs w:val="20"/>
          <w:color w:val="auto"/>
        </w:rPr>
      </w:pPr>
    </w:p>
    <w:p>
      <w:pPr>
        <w:ind w:left="980" w:right="28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10.12</w:t>
        <w:tab/>
        <w:t>-- Stock Purchase Agreement dated March 19, 1993, among Envirofil, Forcees, Inc., and certain shareholders of Forcees, Inc. [incorporated by reference to Exhibit (c)(iv) of Envirofil's Current Report on Form 8-K filed February 28, 1994, as amended by Current Report on Form 8-K/A filed on May 11, 1994].</w:t>
      </w:r>
    </w:p>
    <w:p>
      <w:pPr>
        <w:spacing w:after="0" w:line="3" w:lineRule="exact"/>
        <w:rPr>
          <w:sz w:val="20"/>
          <w:szCs w:val="20"/>
          <w:color w:val="auto"/>
        </w:rPr>
      </w:pPr>
    </w:p>
    <w:p>
      <w:pPr>
        <w:ind w:left="980" w:right="27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10.13</w:t>
        <w:tab/>
        <w:t>-- Amended and Restated Plan and Agreement of Reorganization dated March 29, 1994, among USA Waste, Envirofil Acquisition Corporation, a wholly owned subsidiary of the Registrant, and Envirofil [incorporated by reference to Exhibit 2.1 to Registration Statement on Form S-4 (File No. 33-77110)].</w:t>
      </w:r>
    </w:p>
    <w:p>
      <w:pPr>
        <w:spacing w:after="0" w:line="3" w:lineRule="exact"/>
        <w:rPr>
          <w:sz w:val="20"/>
          <w:szCs w:val="20"/>
          <w:color w:val="auto"/>
        </w:rPr>
      </w:pPr>
    </w:p>
    <w:p>
      <w:pPr>
        <w:ind w:left="980" w:right="273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10.14</w:t>
        <w:tab/>
        <w:t>-- Amended and Restated Revolving Credit Agreement dated as of November 28, 1994, among USA Waste, its subsidiaries, The First National Bank of Boston, Bank of America Illinois, Bank One Texas, National Association, The Bank of Nova Scotia, National Westminster Bank USA, and Banque Paribas [incorporated by reference to Exhibit 10.17 of the Registrant's Annual Report on Form 10-K for the year ended December 31, 1994].</w:t>
      </w:r>
    </w:p>
    <w:p>
      <w:pPr>
        <w:spacing w:after="0" w:line="177" w:lineRule="exact"/>
        <w:rPr>
          <w:sz w:val="20"/>
          <w:szCs w:val="20"/>
          <w:color w:val="auto"/>
        </w:rPr>
      </w:pPr>
    </w:p>
    <w:p>
      <w:pPr>
        <w:ind w:left="980" w:right="291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10.15</w:t>
        <w:tab/>
        <w:t>-- Form of Employment Agreement between USA Waste and each of John E. Drury, Donald F. Moorehead, Jr., David Sutherland-Yoest and Charles A. Wilcox [incorporated by reference to Exhibit 10.18 of the Registrant's Annual Report on Form 10-K for the year ended December 31, 1994].</w:t>
      </w:r>
    </w:p>
    <w:p>
      <w:pPr>
        <w:spacing w:after="0" w:line="176" w:lineRule="exact"/>
        <w:rPr>
          <w:sz w:val="20"/>
          <w:szCs w:val="20"/>
          <w:color w:val="auto"/>
        </w:rPr>
      </w:pPr>
    </w:p>
    <w:p>
      <w:pPr>
        <w:ind w:left="980" w:right="309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10.16</w:t>
        <w:tab/>
        <w:t>-- Employment Agreement between USA Waste and Earl E. DeFrates [incorporated by reference to Exhibit 10.19 of the Registrant's Annual Report on Form 10-K for the year ended December 31, 1994].</w:t>
      </w:r>
    </w:p>
    <w:p>
      <w:pPr>
        <w:spacing w:after="0" w:line="1" w:lineRule="exact"/>
        <w:rPr>
          <w:sz w:val="20"/>
          <w:szCs w:val="20"/>
          <w:color w:val="auto"/>
        </w:rPr>
      </w:pPr>
    </w:p>
    <w:p>
      <w:pPr>
        <w:ind w:left="260"/>
        <w:spacing w:after="0"/>
        <w:tabs>
          <w:tab w:leader="none" w:pos="960" w:val="left"/>
        </w:tabs>
        <w:rPr>
          <w:sz w:val="20"/>
          <w:szCs w:val="20"/>
          <w:color w:val="auto"/>
        </w:rPr>
      </w:pPr>
      <w:r>
        <w:rPr>
          <w:rFonts w:ascii="Courier New" w:cs="Courier New" w:eastAsia="Courier New" w:hAnsi="Courier New"/>
          <w:sz w:val="15"/>
          <w:szCs w:val="15"/>
          <w:color w:val="auto"/>
        </w:rPr>
        <w:t>10.17</w:t>
        <w:tab/>
        <w:t>-- Employment Agreement between USA Waste and Gregory T. Sangalis.</w:t>
      </w:r>
    </w:p>
    <w:p>
      <w:pPr>
        <w:spacing w:after="0" w:line="4" w:lineRule="exact"/>
        <w:rPr>
          <w:sz w:val="20"/>
          <w:szCs w:val="20"/>
          <w:color w:val="auto"/>
        </w:rPr>
      </w:pPr>
    </w:p>
    <w:p>
      <w:pPr>
        <w:ind w:left="980" w:right="2919" w:hanging="991"/>
        <w:spacing w:after="0" w:line="244" w:lineRule="auto"/>
        <w:tabs>
          <w:tab w:leader="none" w:pos="96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 USA Waste statement regarding computation of earnings per share [incorporated by reference to Exhibit 11 of the Registrant's Annual Report on Form 10-K for the year ended December 31, 1994].</w:t>
      </w:r>
    </w:p>
    <w:p>
      <w:pPr>
        <w:spacing w:after="0" w:line="2" w:lineRule="exact"/>
        <w:rPr>
          <w:sz w:val="20"/>
          <w:szCs w:val="20"/>
          <w:color w:val="auto"/>
        </w:rPr>
      </w:pPr>
    </w:p>
    <w:p>
      <w:pPr>
        <w:jc w:val="right"/>
        <w:ind w:left="1260" w:right="2839" w:hanging="997"/>
        <w:spacing w:after="0" w:line="262" w:lineRule="auto"/>
        <w:tabs>
          <w:tab w:leader="none" w:pos="99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Subsidiaries of the Registrant [incorporated by reference to Exhibit 21 of the Registrant's Annual Report on Form 10-K for the year ended</w:t>
      </w:r>
    </w:p>
    <w:p>
      <w:pPr>
        <w:ind w:left="1260"/>
        <w:spacing w:after="0"/>
        <w:rPr>
          <w:sz w:val="20"/>
          <w:szCs w:val="20"/>
          <w:color w:val="auto"/>
        </w:rPr>
      </w:pPr>
      <w:r>
        <w:rPr>
          <w:rFonts w:ascii="Courier New" w:cs="Courier New" w:eastAsia="Courier New" w:hAnsi="Courier New"/>
          <w:sz w:val="15"/>
          <w:szCs w:val="15"/>
          <w:color w:val="auto"/>
        </w:rPr>
        <w:t>December 31, 1994].</w:t>
      </w:r>
    </w:p>
    <w:p>
      <w:pPr>
        <w:spacing w:after="0" w:line="3" w:lineRule="exact"/>
        <w:rPr>
          <w:sz w:val="20"/>
          <w:szCs w:val="20"/>
          <w:color w:val="auto"/>
        </w:rPr>
      </w:pPr>
    </w:p>
    <w:p>
      <w:pPr>
        <w:ind w:left="180"/>
        <w:spacing w:after="0"/>
        <w:tabs>
          <w:tab w:leader="none" w:pos="9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 Consent of Coopers &amp; Lybrand L.L.P.</w:t>
      </w:r>
    </w:p>
    <w:p>
      <w:pPr>
        <w:spacing w:after="0" w:line="3" w:lineRule="exact"/>
        <w:rPr>
          <w:sz w:val="20"/>
          <w:szCs w:val="20"/>
          <w:color w:val="auto"/>
        </w:rPr>
      </w:pPr>
    </w:p>
    <w:p>
      <w:pPr>
        <w:ind w:left="180"/>
        <w:spacing w:after="0"/>
        <w:tabs>
          <w:tab w:leader="none" w:pos="9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 Consent of Deloitte &amp; Touche LLP.</w:t>
      </w:r>
    </w:p>
    <w:p>
      <w:pPr>
        <w:spacing w:after="0" w:line="3" w:lineRule="exact"/>
        <w:rPr>
          <w:sz w:val="20"/>
          <w:szCs w:val="20"/>
          <w:color w:val="auto"/>
        </w:rPr>
      </w:pPr>
    </w:p>
    <w:p>
      <w:pPr>
        <w:ind w:left="180"/>
        <w:spacing w:after="0"/>
        <w:tabs>
          <w:tab w:leader="none" w:pos="96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 Consent of Arthur Andersen LLP.</w:t>
      </w:r>
    </w:p>
    <w:p>
      <w:pPr>
        <w:spacing w:after="0" w:line="3" w:lineRule="exact"/>
        <w:rPr>
          <w:sz w:val="20"/>
          <w:szCs w:val="20"/>
          <w:color w:val="auto"/>
        </w:rPr>
      </w:pPr>
    </w:p>
    <w:p>
      <w:pPr>
        <w:ind w:left="260"/>
        <w:spacing w:after="0"/>
        <w:tabs>
          <w:tab w:leader="none" w:pos="96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 Consent of Snell &amp; Smith, P.C. [included in Exhibit 5.1].</w:t>
      </w:r>
    </w:p>
    <w:p>
      <w:pPr>
        <w:spacing w:after="0" w:line="3" w:lineRule="exact"/>
        <w:rPr>
          <w:sz w:val="20"/>
          <w:szCs w:val="20"/>
          <w:color w:val="auto"/>
        </w:rPr>
      </w:pPr>
    </w:p>
    <w:p>
      <w:pPr>
        <w:ind w:left="260"/>
        <w:spacing w:after="0"/>
        <w:tabs>
          <w:tab w:leader="none" w:pos="96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 Consent of Thorp, Reed &amp; Armstrong [included in Exhibit 8.1].</w:t>
      </w:r>
    </w:p>
    <w:p>
      <w:pPr>
        <w:sectPr>
          <w:pgSz w:w="11900" w:h="16838" w:orient="portrait"/>
          <w:cols w:equalWidth="0" w:num="1">
            <w:col w:w="10219"/>
          </w:cols>
          <w:pgMar w:left="240" w:top="291" w:right="1440" w:bottom="1440" w:gutter="0" w:footer="0" w:header="0"/>
        </w:sectPr>
      </w:pPr>
    </w:p>
    <w:bookmarkStart w:id="302" w:name="page303"/>
    <w:bookmarkEnd w:id="302"/>
    <w:p>
      <w:pPr>
        <w:ind w:left="268"/>
        <w:spacing w:after="0"/>
        <w:rPr>
          <w:sz w:val="20"/>
          <w:szCs w:val="20"/>
          <w:color w:val="auto"/>
        </w:rPr>
      </w:pPr>
      <w:r>
        <w:rPr>
          <w:rFonts w:ascii="Courier New" w:cs="Courier New" w:eastAsia="Courier New" w:hAnsi="Courier New"/>
          <w:sz w:val="15"/>
          <w:szCs w:val="15"/>
          <w:color w:val="auto"/>
        </w:rPr>
        <w:t>296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8"/>
        <w:spacing w:after="0"/>
        <w:tabs>
          <w:tab w:leader="none" w:pos="7467"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5"/>
          <w:szCs w:val="15"/>
          <w:color w:val="auto"/>
        </w:rPr>
        <w:t>SEQUENTIAL</w:t>
      </w:r>
    </w:p>
    <w:p>
      <w:pPr>
        <w:spacing w:after="0" w:line="3" w:lineRule="exact"/>
        <w:rPr>
          <w:sz w:val="20"/>
          <w:szCs w:val="20"/>
          <w:color w:val="auto"/>
        </w:rPr>
      </w:pPr>
    </w:p>
    <w:p>
      <w:pPr>
        <w:ind w:left="268"/>
        <w:spacing w:after="0"/>
        <w:tabs>
          <w:tab w:leader="none" w:pos="3667" w:val="left"/>
          <w:tab w:leader="none" w:pos="7467"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4"/>
          <w:szCs w:val="14"/>
          <w:color w:val="auto"/>
        </w:rPr>
        <w:t>PAGE NUMBER</w:t>
      </w:r>
    </w:p>
    <w:p>
      <w:pPr>
        <w:spacing w:after="0" w:line="4" w:lineRule="exact"/>
        <w:rPr>
          <w:sz w:val="20"/>
          <w:szCs w:val="20"/>
          <w:color w:val="auto"/>
        </w:rPr>
      </w:pPr>
    </w:p>
    <w:p>
      <w:pPr>
        <w:ind w:left="188" w:hanging="188"/>
        <w:spacing w:after="0"/>
        <w:tabs>
          <w:tab w:leader="none" w:pos="188"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8" w:lineRule="exact"/>
        <w:rPr>
          <w:rFonts w:ascii="Courier New" w:cs="Courier New" w:eastAsia="Courier New" w:hAnsi="Courier New"/>
          <w:sz w:val="14"/>
          <w:szCs w:val="14"/>
          <w:color w:val="auto"/>
        </w:rPr>
      </w:pPr>
    </w:p>
    <w:p>
      <w:pPr>
        <w:ind w:left="988" w:right="3379" w:hanging="1082"/>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*23.6-- Consent of Donaldson, Lufkin &amp; Jenrette Securities Corporation [included in Exhibit 99.1].</w:t>
      </w:r>
    </w:p>
    <w:p>
      <w:pPr>
        <w:spacing w:after="0" w:line="1" w:lineRule="exact"/>
        <w:rPr>
          <w:rFonts w:ascii="Courier New" w:cs="Courier New" w:eastAsia="Courier New" w:hAnsi="Courier New"/>
          <w:sz w:val="14"/>
          <w:szCs w:val="14"/>
          <w:color w:val="auto"/>
        </w:rPr>
      </w:pPr>
    </w:p>
    <w:p>
      <w:pPr>
        <w:ind w:left="1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*23.7-- Consent of J.P. Morgan Securities Inc. [included in Exhibit 99.2].</w:t>
      </w:r>
    </w:p>
    <w:p>
      <w:pPr>
        <w:spacing w:after="0" w:line="4" w:lineRule="exact"/>
        <w:rPr>
          <w:rFonts w:ascii="Courier New" w:cs="Courier New" w:eastAsia="Courier New" w:hAnsi="Courier New"/>
          <w:sz w:val="14"/>
          <w:szCs w:val="14"/>
          <w:color w:val="auto"/>
        </w:rPr>
      </w:pPr>
    </w:p>
    <w:p>
      <w:pPr>
        <w:ind w:left="988" w:right="3099" w:hanging="992"/>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24.1-- Powers of Attorney [included on the signature pages in Part II of this Registration Statement].</w:t>
      </w:r>
    </w:p>
    <w:p>
      <w:pPr>
        <w:spacing w:after="0" w:line="2" w:lineRule="exact"/>
        <w:rPr>
          <w:rFonts w:ascii="Courier New" w:cs="Courier New" w:eastAsia="Courier New" w:hAnsi="Courier New"/>
          <w:sz w:val="14"/>
          <w:szCs w:val="14"/>
          <w:color w:val="auto"/>
        </w:rPr>
      </w:pPr>
    </w:p>
    <w:p>
      <w:pPr>
        <w:ind w:left="988" w:right="3279" w:hanging="1082"/>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*99.1-- Opinion of Donaldson, Lufkin &amp; Jenrette Securities Corporation [included as Appendix B to the Joint Proxy Statement/Prospectus herein].</w:t>
      </w:r>
    </w:p>
    <w:p>
      <w:pPr>
        <w:spacing w:after="0" w:line="1" w:lineRule="exact"/>
        <w:rPr>
          <w:rFonts w:ascii="Courier New" w:cs="Courier New" w:eastAsia="Courier New" w:hAnsi="Courier New"/>
          <w:sz w:val="14"/>
          <w:szCs w:val="14"/>
          <w:color w:val="auto"/>
        </w:rPr>
      </w:pPr>
    </w:p>
    <w:p>
      <w:pPr>
        <w:ind w:left="988" w:right="2739" w:hanging="1082"/>
        <w:spacing w:after="0" w:line="24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*99.2-- Opinion of J.P. Morgan Securities Inc. [included as Appendix C to the Joint Proxy Statement/Prospectus herein].</w:t>
      </w:r>
    </w:p>
    <w:p>
      <w:pPr>
        <w:spacing w:after="0" w:line="200" w:lineRule="exact"/>
        <w:rPr>
          <w:rFonts w:ascii="Courier New" w:cs="Courier New" w:eastAsia="Courier New" w:hAnsi="Courier New"/>
          <w:sz w:val="14"/>
          <w:szCs w:val="14"/>
          <w:color w:val="auto"/>
        </w:rPr>
      </w:pPr>
    </w:p>
    <w:p>
      <w:pPr>
        <w:spacing w:after="0" w:line="322"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*Filed herewith.</w:t>
      </w:r>
    </w:p>
    <w:p>
      <w:pPr>
        <w:sectPr>
          <w:pgSz w:w="11900" w:h="16838" w:orient="portrait"/>
          <w:cols w:equalWidth="0" w:num="1">
            <w:col w:w="10227"/>
          </w:cols>
          <w:pgMar w:left="232" w:top="291" w:right="1440" w:bottom="1440" w:gutter="0" w:footer="0" w:header="0"/>
        </w:sectPr>
      </w:pPr>
    </w:p>
    <w:bookmarkStart w:id="303" w:name="page304"/>
    <w:bookmarkEnd w:id="303"/>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USA Waste Services, Inc.:</w:t>
      </w:r>
    </w:p>
    <w:p>
      <w:pPr>
        <w:spacing w:after="0" w:line="351"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We consent to the inclusion in and incorporation by reference into this registration statement of USA Waste Services, Inc. on Amendment No. 1 to Form S-4 of our report dated March 10, 1995, on our audits of the consolidated financial statements of USA Waste Services, Inc. included in this registration statement and incorporated by reference in the Annual Report on Form 10-K for the year ended December 31, 1994, as amended on Form 10-K/A (Amendment No. 1). We also consent to the reference to our firm under the caption "Experts."</w:t>
      </w:r>
    </w:p>
    <w:p>
      <w:pPr>
        <w:spacing w:after="0" w:line="33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COOPERS &amp; LYBRAND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16, 1995</w:t>
      </w:r>
    </w:p>
    <w:p>
      <w:pPr>
        <w:sectPr>
          <w:pgSz w:w="11900" w:h="16838" w:orient="portrait"/>
          <w:cols w:equalWidth="0" w:num="1">
            <w:col w:w="10219"/>
          </w:cols>
          <w:pgMar w:left="240" w:top="141" w:right="1440" w:bottom="1440" w:gutter="0" w:footer="0" w:header="0"/>
        </w:sectPr>
      </w:pPr>
    </w:p>
    <w:bookmarkStart w:id="304" w:name="page305"/>
    <w:bookmarkEnd w:id="304"/>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INDEPENDENT AUDITORS' CONSENT</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consent to the use in this Amendment No. 1 to Registration Statement No. 33-59259 of USA Waste Services, Inc. on Form S-4 of our report dated March 30, 1995 on the consolidated financial statements of Chambers Development Company, Inc. and subsidiaries, appearing in the Joint Proxy Statement and Prospectus, which is part of such Registration Statement, and to the incorporation by reference into such Registration Statement of our report dated March 30, 1995 on the consolidated financial statements of Chambers Development Company, Inc. and subsidiaries, appearing in the Annual Report on Form 10-K of Chambers Development Company, Inc. for the year ended December 31, 1994. We also consent to the incorporation by reference of our report dated March 30, 1995 on the consolidated financial statements of Chambers Development Company, Inc. and subsidiaries, appearing in the Joint Proxy Statement and Prospectus, into the Registration Statements on Form S-3 (File Nos. 33-42988, 33-43809, 33-76226 and 33-85018) and on Form S-8 (File Nos. 33-43619, 33-72436, 33-84990 and 33-84988) of USA Waste Services, Inc. In addition, we consent to the reference to us under the heading "Experts" in the Joint Proxy Statement and Prospectus.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17, 1995</w:t>
      </w:r>
    </w:p>
    <w:p>
      <w:pPr>
        <w:sectPr>
          <w:pgSz w:w="11900" w:h="16838" w:orient="portrait"/>
          <w:cols w:equalWidth="0" w:num="1">
            <w:col w:w="10219"/>
          </w:cols>
          <w:pgMar w:left="240" w:top="140" w:right="1440" w:bottom="1440" w:gutter="0" w:footer="0" w:header="0"/>
        </w:sectPr>
      </w:pPr>
    </w:p>
    <w:bookmarkStart w:id="305" w:name="page306"/>
    <w:bookmarkEnd w:id="305"/>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23.3</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USA Waste Services, Inc.:</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Amendment No. 1 to the Registration Statement on Form S-4 of our report dated March 25, 1994 on the Acquired New Jersey Solid Waste Companies included in the Envirofil, Inc.'s previously filed Form 8-K/A filed as of May 11, 1994. In addition, we hereby consent to the incorporation of our report dated September 22, 1993 on Envirofil, Inc. included in this Amendment No. 1 to the Registration Statement on Form S-4 and our report dated March 25, 1994 on the Acquired New Jersey Solid Waste Companies incorporated by reference in this Amendment No. 1 to the Registration Statement on Form S-4 into the USA Waste Services, Inc.'s previously filed Registration Statements on Form S-3 (File Nos. 33-42988, 33-43809, 33-76226 and 33-85018) and Registration Statements on Form S-8 (File Nos. 33-43619, 33-72436, 33-84990 and 33-84988) and to all references to our Firm included in this Amendment No. 1 to the Registration Statement on Form S-4.</w:t>
      </w:r>
    </w:p>
    <w:p>
      <w:pPr>
        <w:spacing w:after="0" w:line="200" w:lineRule="exact"/>
        <w:rPr>
          <w:sz w:val="20"/>
          <w:szCs w:val="20"/>
          <w:color w:val="auto"/>
        </w:rPr>
      </w:pPr>
    </w:p>
    <w:p>
      <w:pPr>
        <w:spacing w:after="0" w:line="32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ARTHUR ANDERSEN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17, 1995</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amp;"/>
      <w:numFmt w:val="bullet"/>
      <w:start w:val="1"/>
    </w:lvl>
  </w:abstractNum>
  <w:abstractNum w:abstractNumId="4">
    <w:nsid w:val="1EBA5D23"/>
    <w:multiLevelType w:val="hybridMultilevel"/>
    <w:lvl w:ilvl="0">
      <w:lvlJc w:val="left"/>
      <w:lvlText w:val="%1."/>
      <w:numFmt w:val="decimal"/>
      <w:start w:val="1"/>
    </w:lvl>
  </w:abstractNum>
  <w:abstractNum w:abstractNumId="5">
    <w:nsid w:val="661E3F1E"/>
    <w:multiLevelType w:val="hybridMultilevel"/>
    <w:lvl w:ilvl="0">
      <w:lvlJc w:val="left"/>
      <w:lvlText w:val="(%1)"/>
      <w:numFmt w:val="decimal"/>
      <w:start w:val="214"/>
    </w:lvl>
  </w:abstractNum>
  <w:abstractNum w:abstractNumId="6">
    <w:nsid w:val="5DC79EA8"/>
    <w:multiLevelType w:val="hybridMultilevel"/>
    <w:lvl w:ilvl="0">
      <w:lvlJc w:val="left"/>
      <w:lvlText w:val="(%1)"/>
      <w:numFmt w:val="lowerRoman"/>
      <w:start w:val="3"/>
    </w:lvl>
  </w:abstractNum>
  <w:abstractNum w:abstractNumId="7">
    <w:nsid w:val="540A471C"/>
    <w:multiLevelType w:val="hybridMultilevel"/>
    <w:lvl w:ilvl="0">
      <w:lvlJc w:val="left"/>
      <w:lvlText w:val="(%1)"/>
      <w:numFmt w:val="lowerRoman"/>
      <w:start w:val="1"/>
    </w:lvl>
  </w:abstractNum>
  <w:abstractNum w:abstractNumId="8">
    <w:nsid w:val="7BD3EE7B"/>
    <w:multiLevelType w:val="hybridMultilevel"/>
    <w:lvl w:ilvl="0">
      <w:lvlJc w:val="left"/>
      <w:lvlText w:val="(%1)"/>
      <w:numFmt w:val="lowerRoman"/>
      <w:start w:val="3"/>
    </w:lvl>
  </w:abstractNum>
  <w:abstractNum w:abstractNumId="9">
    <w:nsid w:val="51D9C564"/>
    <w:multiLevelType w:val="hybridMultilevel"/>
    <w:lvl w:ilvl="0">
      <w:lvlJc w:val="left"/>
      <w:lvlText w:val="(%1)"/>
      <w:numFmt w:val="lowerLetter"/>
      <w:start w:val="35"/>
    </w:lvl>
  </w:abstractNum>
  <w:abstractNum w:abstractNumId="10">
    <w:nsid w:val="613EFDC5"/>
    <w:multiLevelType w:val="hybridMultilevel"/>
    <w:lvl w:ilvl="0">
      <w:lvlJc w:val="left"/>
      <w:lvlText w:val="(%1)"/>
      <w:numFmt w:val="lowerLetter"/>
      <w:start w:val="25"/>
    </w:lvl>
  </w:abstractNum>
  <w:abstractNum w:abstractNumId="11">
    <w:nsid w:val="BF72B14"/>
    <w:multiLevelType w:val="hybridMultilevel"/>
    <w:lvl w:ilvl="0">
      <w:lvlJc w:val="left"/>
      <w:lvlText w:val="(%1)"/>
      <w:numFmt w:val="decimal"/>
      <w:start w:val="1"/>
    </w:lvl>
  </w:abstractNum>
  <w:abstractNum w:abstractNumId="12">
    <w:nsid w:val="11447B73"/>
    <w:multiLevelType w:val="hybridMultilevel"/>
    <w:lvl w:ilvl="0">
      <w:lvlJc w:val="left"/>
      <w:lvlText w:val="(%1)"/>
      <w:numFmt w:val="decimal"/>
      <w:start w:val="1"/>
    </w:lvl>
  </w:abstractNum>
  <w:abstractNum w:abstractNumId="13">
    <w:nsid w:val="42963E5A"/>
    <w:multiLevelType w:val="hybridMultilevel"/>
    <w:lvl w:ilvl="0">
      <w:lvlJc w:val="left"/>
      <w:lvlText w:val="-"/>
      <w:numFmt w:val="bullet"/>
      <w:start w:val="1"/>
    </w:lvl>
    <w:lvl w:ilvl="1">
      <w:lvlJc w:val="left"/>
      <w:lvlText w:val="(%2)"/>
      <w:numFmt w:val="lowerRoman"/>
      <w:start w:val="2"/>
    </w:lvl>
  </w:abstractNum>
  <w:abstractNum w:abstractNumId="14">
    <w:nsid w:val="A0382C5"/>
    <w:multiLevelType w:val="hybridMultilevel"/>
    <w:lvl w:ilvl="0">
      <w:lvlJc w:val="left"/>
      <w:lvlText w:val="(%1)"/>
      <w:numFmt w:val="decimal"/>
      <w:start w:val="1"/>
    </w:lvl>
  </w:abstractNum>
  <w:abstractNum w:abstractNumId="15">
    <w:nsid w:val="8F2B15E"/>
    <w:multiLevelType w:val="hybridMultilevel"/>
    <w:lvl w:ilvl="0">
      <w:lvlJc w:val="left"/>
      <w:lvlText w:val="(%1)"/>
      <w:numFmt w:val="lowerRoman"/>
      <w:start w:val="6"/>
    </w:lvl>
  </w:abstractNum>
  <w:abstractNum w:abstractNumId="16">
    <w:nsid w:val="1A32234B"/>
    <w:multiLevelType w:val="hybridMultilevel"/>
    <w:lvl w:ilvl="0">
      <w:lvlJc w:val="left"/>
      <w:lvlText w:val="(%1)"/>
      <w:numFmt w:val="lowerRoman"/>
      <w:start w:val="4"/>
    </w:lvl>
  </w:abstractNum>
  <w:abstractNum w:abstractNumId="17">
    <w:nsid w:val="3B0FD379"/>
    <w:multiLevelType w:val="hybridMultilevel"/>
    <w:lvl w:ilvl="0">
      <w:lvlJc w:val="left"/>
      <w:lvlText w:val="(%1)"/>
      <w:numFmt w:val="lowerRoman"/>
      <w:start w:val="4"/>
    </w:lvl>
  </w:abstractNum>
  <w:abstractNum w:abstractNumId="18">
    <w:nsid w:val="68EB2F63"/>
    <w:multiLevelType w:val="hybridMultilevel"/>
    <w:lvl w:ilvl="0">
      <w:lvlJc w:val="left"/>
      <w:lvlText w:val="(%1)"/>
      <w:numFmt w:val="lowerRoman"/>
      <w:start w:val="7"/>
    </w:lvl>
  </w:abstractNum>
  <w:abstractNum w:abstractNumId="19">
    <w:nsid w:val="4962813B"/>
    <w:multiLevelType w:val="hybridMultilevel"/>
    <w:lvl w:ilvl="0">
      <w:lvlJc w:val="left"/>
      <w:lvlText w:val="(%1)"/>
      <w:numFmt w:val="upperLetter"/>
      <w:start w:val="3"/>
    </w:lvl>
  </w:abstractNum>
  <w:abstractNum w:abstractNumId="20">
    <w:nsid w:val="60B6DF70"/>
    <w:multiLevelType w:val="hybridMultilevel"/>
    <w:lvl w:ilvl="0">
      <w:lvlJc w:val="left"/>
      <w:lvlText w:val="(%1)"/>
      <w:numFmt w:val="lowerLetter"/>
      <w:start w:val="1"/>
    </w:lvl>
  </w:abstractNum>
  <w:abstractNum w:abstractNumId="21">
    <w:nsid w:val="6A5EE64"/>
    <w:multiLevelType w:val="hybridMultilevel"/>
    <w:lvl w:ilvl="0">
      <w:lvlJc w:val="left"/>
      <w:lvlText w:val="(%1)"/>
      <w:numFmt w:val="lowerRoman"/>
      <w:start w:val="2"/>
    </w:lvl>
  </w:abstractNum>
  <w:abstractNum w:abstractNumId="22">
    <w:nsid w:val="14330624"/>
    <w:multiLevelType w:val="hybridMultilevel"/>
    <w:lvl w:ilvl="0">
      <w:lvlJc w:val="left"/>
      <w:lvlText w:val="(%1)"/>
      <w:numFmt w:val="decimal"/>
      <w:start w:val="1"/>
    </w:lvl>
  </w:abstractNum>
  <w:abstractNum w:abstractNumId="23">
    <w:nsid w:val="7FFFCA11"/>
    <w:multiLevelType w:val="hybridMultilevel"/>
    <w:lvl w:ilvl="0">
      <w:lvlJc w:val="left"/>
      <w:lvlText w:val="(%1)"/>
      <w:numFmt w:val="decimal"/>
      <w:start w:val="6"/>
    </w:lvl>
  </w:abstractNum>
  <w:abstractNum w:abstractNumId="24">
    <w:nsid w:val="1A27709E"/>
    <w:multiLevelType w:val="hybridMultilevel"/>
    <w:lvl w:ilvl="0">
      <w:lvlJc w:val="left"/>
      <w:lvlText w:val="(%1)"/>
      <w:numFmt w:val="decimal"/>
      <w:start w:val="1"/>
    </w:lvl>
  </w:abstractNum>
  <w:abstractNum w:abstractNumId="25">
    <w:nsid w:val="71EA1109"/>
    <w:multiLevelType w:val="hybridMultilevel"/>
    <w:lvl w:ilvl="0">
      <w:lvlJc w:val="left"/>
      <w:lvlText w:val="-"/>
      <w:numFmt w:val="bullet"/>
      <w:start w:val="1"/>
    </w:lvl>
    <w:lvl w:ilvl="1">
      <w:lvlJc w:val="left"/>
      <w:lvlText w:val="(%2)"/>
      <w:numFmt w:val="decimal"/>
      <w:start w:val="1"/>
    </w:lvl>
  </w:abstractNum>
  <w:abstractNum w:abstractNumId="26">
    <w:nsid w:val="100F59DC"/>
    <w:multiLevelType w:val="hybridMultilevel"/>
    <w:lvl w:ilvl="0">
      <w:lvlJc w:val="left"/>
      <w:lvlText w:val="(%1)"/>
      <w:numFmt w:val="decimal"/>
      <w:start w:val="1"/>
    </w:lvl>
  </w:abstractNum>
  <w:abstractNum w:abstractNumId="27">
    <w:nsid w:val="7FB7E0AA"/>
    <w:multiLevelType w:val="hybridMultilevel"/>
    <w:lvl w:ilvl="0">
      <w:lvlJc w:val="left"/>
      <w:lvlText w:val="(%1)"/>
      <w:numFmt w:val="decimal"/>
      <w:start w:val="2"/>
    </w:lvl>
  </w:abstractNum>
  <w:abstractNum w:abstractNumId="28">
    <w:nsid w:val="6EB5BD4"/>
    <w:multiLevelType w:val="hybridMultilevel"/>
    <w:lvl w:ilvl="0">
      <w:lvlJc w:val="left"/>
      <w:lvlText w:val="(%1)"/>
      <w:numFmt w:val="decimal"/>
      <w:start w:val="1"/>
    </w:lvl>
  </w:abstractNum>
  <w:abstractNum w:abstractNumId="29">
    <w:nsid w:val="6F6DD9AC"/>
    <w:multiLevelType w:val="hybridMultilevel"/>
    <w:lvl w:ilvl="0">
      <w:lvlJc w:val="left"/>
      <w:lvlText w:val="(%1)"/>
      <w:numFmt w:val="decimal"/>
      <w:start w:val="4"/>
    </w:lvl>
  </w:abstractNum>
  <w:abstractNum w:abstractNumId="30">
    <w:nsid w:val="94211F2"/>
    <w:multiLevelType w:val="hybridMultilevel"/>
    <w:lvl w:ilvl="0">
      <w:lvlJc w:val="left"/>
      <w:lvlText w:val="(%1)"/>
      <w:numFmt w:val="lowerRoman"/>
      <w:start w:val="2"/>
    </w:lvl>
  </w:abstractNum>
  <w:abstractNum w:abstractNumId="31">
    <w:nsid w:val="885E1B"/>
    <w:multiLevelType w:val="hybridMultilevel"/>
    <w:lvl w:ilvl="0">
      <w:lvlJc w:val="left"/>
      <w:lvlText w:val="(%1)"/>
      <w:numFmt w:val="lowerRoman"/>
      <w:start w:val="4"/>
    </w:lvl>
  </w:abstractNum>
  <w:abstractNum w:abstractNumId="32">
    <w:nsid w:val="76272110"/>
    <w:multiLevelType w:val="hybridMultilevel"/>
    <w:lvl w:ilvl="0">
      <w:lvlJc w:val="left"/>
      <w:lvlText w:val="&amp;"/>
      <w:numFmt w:val="bullet"/>
      <w:start w:val="1"/>
    </w:lvl>
  </w:abstractNum>
  <w:abstractNum w:abstractNumId="33">
    <w:nsid w:val="4C04A8AF"/>
    <w:multiLevelType w:val="hybridMultilevel"/>
    <w:lvl w:ilvl="0">
      <w:lvlJc w:val="left"/>
      <w:lvlText w:val="(%1)"/>
      <w:numFmt w:val="lowerLetter"/>
      <w:start w:val="5"/>
    </w:lvl>
  </w:abstractNum>
  <w:abstractNum w:abstractNumId="34">
    <w:nsid w:val="1716703B"/>
    <w:multiLevelType w:val="hybridMultilevel"/>
    <w:lvl w:ilvl="0">
      <w:lvlJc w:val="left"/>
      <w:lvlText w:val="(%1)"/>
      <w:numFmt w:val="lowerRoman"/>
      <w:start w:val="3"/>
    </w:lvl>
  </w:abstractNum>
  <w:abstractNum w:abstractNumId="35">
    <w:nsid w:val="14E17E33"/>
    <w:multiLevelType w:val="hybridMultilevel"/>
    <w:lvl w:ilvl="0">
      <w:lvlJc w:val="left"/>
      <w:lvlText w:val="(%1)"/>
      <w:numFmt w:val="lowerRoman"/>
      <w:start w:val="6"/>
    </w:lvl>
  </w:abstractNum>
  <w:abstractNum w:abstractNumId="36">
    <w:nsid w:val="3222E7CD"/>
    <w:multiLevelType w:val="hybridMultilevel"/>
    <w:lvl w:ilvl="0">
      <w:lvlJc w:val="left"/>
      <w:lvlText w:val="(%1)"/>
      <w:numFmt w:val="lowerRoman"/>
      <w:start w:val="1"/>
    </w:lvl>
  </w:abstractNum>
  <w:abstractNum w:abstractNumId="37">
    <w:nsid w:val="74DE0EE3"/>
    <w:multiLevelType w:val="hybridMultilevel"/>
    <w:lvl w:ilvl="0">
      <w:lvlJc w:val="left"/>
      <w:lvlText w:val="(%1)"/>
      <w:numFmt w:val="lowerRoman"/>
      <w:start w:val="8"/>
    </w:lvl>
  </w:abstractNum>
  <w:abstractNum w:abstractNumId="38">
    <w:nsid w:val="68EBC550"/>
    <w:multiLevelType w:val="hybridMultilevel"/>
    <w:lvl w:ilvl="0">
      <w:lvlJc w:val="left"/>
      <w:lvlText w:val="(%1)"/>
      <w:numFmt w:val="lowerLetter"/>
      <w:start w:val="1"/>
    </w:lvl>
  </w:abstractNum>
  <w:abstractNum w:abstractNumId="39">
    <w:nsid w:val="2DF6D648"/>
    <w:multiLevelType w:val="hybridMultilevel"/>
    <w:lvl w:ilvl="0">
      <w:lvlJc w:val="left"/>
      <w:lvlText w:val="(%1)"/>
      <w:numFmt w:val="lowerLetter"/>
      <w:start w:val="4"/>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1)"/>
      <w:numFmt w:val="decimal"/>
      <w:start w:val="1"/>
    </w:lvl>
  </w:abstractNum>
  <w:abstractNum w:abstractNumId="42">
    <w:nsid w:val="39EE015C"/>
    <w:multiLevelType w:val="hybridMultilevel"/>
    <w:lvl w:ilvl="0">
      <w:lvlJc w:val="left"/>
      <w:lvlText w:val="(%1)"/>
      <w:numFmt w:val="decimal"/>
      <w:start w:val="1"/>
    </w:lvl>
  </w:abstractNum>
  <w:abstractNum w:abstractNumId="43">
    <w:nsid w:val="57FC4FBB"/>
    <w:multiLevelType w:val="hybridMultilevel"/>
    <w:lvl w:ilvl="0">
      <w:lvlJc w:val="left"/>
      <w:lvlText w:val="(%1)"/>
      <w:numFmt w:val="decimal"/>
      <w:start w:val="2"/>
    </w:lvl>
  </w:abstractNum>
  <w:abstractNum w:abstractNumId="44">
    <w:nsid w:val="CC1016F"/>
    <w:multiLevelType w:val="hybridMultilevel"/>
    <w:lvl w:ilvl="0">
      <w:lvlJc w:val="left"/>
      <w:lvlText w:val="(%1)"/>
      <w:numFmt w:val="decimal"/>
      <w:start w:val="1"/>
    </w:lvl>
  </w:abstractNum>
  <w:abstractNum w:abstractNumId="45">
    <w:nsid w:val="43F18422"/>
    <w:multiLevelType w:val="hybridMultilevel"/>
    <w:lvl w:ilvl="0">
      <w:lvlJc w:val="left"/>
      <w:lvlText w:val="(%1)"/>
      <w:numFmt w:val="decimal"/>
      <w:start w:val="1"/>
    </w:lvl>
  </w:abstractNum>
  <w:abstractNum w:abstractNumId="46">
    <w:nsid w:val="60EF0119"/>
    <w:multiLevelType w:val="hybridMultilevel"/>
    <w:lvl w:ilvl="0">
      <w:lvlJc w:val="left"/>
      <w:lvlText w:val="%1."/>
      <w:numFmt w:val="decimal"/>
      <w:start w:val="6"/>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1."/>
      <w:numFmt w:val="decimal"/>
      <w:start w:val="14"/>
    </w:lvl>
  </w:abstractNum>
  <w:abstractNum w:abstractNumId="49">
    <w:nsid w:val="49DA307D"/>
    <w:multiLevelType w:val="hybridMultilevel"/>
    <w:lvl w:ilvl="0">
      <w:lvlJc w:val="left"/>
      <w:lvlText w:val="(%1)"/>
      <w:numFmt w:val="lowerRoman"/>
      <w:start w:val="7"/>
    </w:lvl>
  </w:abstractNum>
  <w:abstractNum w:abstractNumId="50">
    <w:nsid w:val="7055A5F5"/>
    <w:multiLevelType w:val="hybridMultilevel"/>
    <w:lvl w:ilvl="0">
      <w:lvlJc w:val="left"/>
      <w:lvlText w:val="(%1)"/>
      <w:numFmt w:val="lowerRoman"/>
      <w:start w:val="1"/>
    </w:lvl>
  </w:abstractNum>
  <w:abstractNum w:abstractNumId="51">
    <w:nsid w:val="5FB8370B"/>
    <w:multiLevelType w:val="hybridMultilevel"/>
    <w:lvl w:ilvl="0">
      <w:lvlJc w:val="left"/>
      <w:lvlText w:val="(%1)"/>
      <w:numFmt w:val="lowerLetter"/>
      <w:start w:val="1"/>
    </w:lvl>
  </w:abstractNum>
  <w:abstractNum w:abstractNumId="52">
    <w:nsid w:val="50801EE1"/>
    <w:multiLevelType w:val="hybridMultilevel"/>
    <w:lvl w:ilvl="0">
      <w:lvlJc w:val="left"/>
      <w:lvlText w:val="(%1)"/>
      <w:numFmt w:val="lowerLetter"/>
      <w:start w:val="1"/>
    </w:lvl>
  </w:abstractNum>
  <w:abstractNum w:abstractNumId="53">
    <w:nsid w:val="488AC1A"/>
    <w:multiLevelType w:val="hybridMultilevel"/>
    <w:lvl w:ilvl="0">
      <w:lvlJc w:val="left"/>
      <w:lvlText w:val="(%1)"/>
      <w:numFmt w:val="lowerLetter"/>
      <w:start w:val="2"/>
    </w:lvl>
  </w:abstractNum>
  <w:abstractNum w:abstractNumId="54">
    <w:nsid w:val="5FB8011C"/>
    <w:multiLevelType w:val="hybridMultilevel"/>
    <w:lvl w:ilvl="0">
      <w:lvlJc w:val="left"/>
      <w:lvlText w:val="(%1)"/>
      <w:numFmt w:val="lowerLetter"/>
      <w:start w:val="1"/>
    </w:lvl>
  </w:abstractNum>
  <w:abstractNum w:abstractNumId="55">
    <w:nsid w:val="6AA78F7F"/>
    <w:multiLevelType w:val="hybridMultilevel"/>
    <w:lvl w:ilvl="0">
      <w:lvlJc w:val="left"/>
      <w:lvlText w:val="(%1)"/>
      <w:numFmt w:val="lowerLetter"/>
      <w:start w:val="2"/>
    </w:lvl>
  </w:abstractNum>
  <w:abstractNum w:abstractNumId="56">
    <w:nsid w:val="7672BD23"/>
    <w:multiLevelType w:val="hybridMultilevel"/>
    <w:lvl w:ilvl="0">
      <w:lvlJc w:val="left"/>
      <w:lvlText w:val="(%1)"/>
      <w:numFmt w:val="lowerLetter"/>
      <w:start w:val="1"/>
    </w:lvl>
  </w:abstractNum>
  <w:abstractNum w:abstractNumId="57">
    <w:nsid w:val="6FC75AF8"/>
    <w:multiLevelType w:val="hybridMultilevel"/>
    <w:lvl w:ilvl="0">
      <w:lvlJc w:val="left"/>
      <w:lvlText w:val="(%1)"/>
      <w:numFmt w:val="lowerLetter"/>
      <w:start w:val="2"/>
    </w:lvl>
  </w:abstractNum>
  <w:abstractNum w:abstractNumId="58">
    <w:nsid w:val="6A5F7029"/>
    <w:multiLevelType w:val="hybridMultilevel"/>
    <w:lvl w:ilvl="0">
      <w:lvlJc w:val="left"/>
      <w:lvlText w:val="(%1)"/>
      <w:numFmt w:val="lowerRoman"/>
      <w:start w:val="1"/>
    </w:lvl>
  </w:abstractNum>
  <w:abstractNum w:abstractNumId="59">
    <w:nsid w:val="7D5E18F8"/>
    <w:multiLevelType w:val="hybridMultilevel"/>
    <w:lvl w:ilvl="0">
      <w:lvlJc w:val="left"/>
      <w:lvlText w:val="(%1)"/>
      <w:numFmt w:val="lowerLetter"/>
      <w:start w:val="1"/>
    </w:lvl>
  </w:abstractNum>
  <w:abstractNum w:abstractNumId="60">
    <w:nsid w:val="5F3534A4"/>
    <w:multiLevelType w:val="hybridMultilevel"/>
    <w:lvl w:ilvl="0">
      <w:lvlJc w:val="left"/>
      <w:lvlText w:val="(%1)"/>
      <w:numFmt w:val="lowerLetter"/>
      <w:start w:val="2"/>
    </w:lvl>
  </w:abstractNum>
  <w:abstractNum w:abstractNumId="61">
    <w:nsid w:val="73A1821B"/>
    <w:multiLevelType w:val="hybridMultilevel"/>
    <w:lvl w:ilvl="0">
      <w:lvlJc w:val="left"/>
      <w:lvlText w:val="%1"/>
      <w:numFmt w:val="lowerLetter"/>
      <w:start w:val="1"/>
    </w:lvl>
    <w:lvl w:ilvl="1">
      <w:lvlJc w:val="left"/>
      <w:lvlText w:val="(%2)"/>
      <w:numFmt w:val="lowerLetter"/>
      <w:start w:val="2"/>
    </w:lvl>
  </w:abstractNum>
  <w:abstractNum w:abstractNumId="62">
    <w:nsid w:val="7DE67713"/>
    <w:multiLevelType w:val="hybridMultilevel"/>
    <w:lvl w:ilvl="0">
      <w:lvlJc w:val="left"/>
      <w:lvlText w:val="(%1)"/>
      <w:numFmt w:val="lowerLetter"/>
      <w:start w:val="61"/>
    </w:lvl>
    <w:lvl w:ilvl="1">
      <w:lvlJc w:val="left"/>
      <w:lvlText w:val="%2"/>
      <w:numFmt w:val="lowerLetter"/>
      <w:start w:val="1"/>
    </w:lvl>
  </w:abstractNum>
  <w:abstractNum w:abstractNumId="63">
    <w:nsid w:val="555C55B5"/>
    <w:multiLevelType w:val="hybridMultilevel"/>
    <w:lvl w:ilvl="0">
      <w:lvlJc w:val="left"/>
      <w:lvlText w:val="(%1)"/>
      <w:numFmt w:val="lowerRoman"/>
      <w:start w:val="8"/>
    </w:lvl>
    <w:lvl w:ilvl="1">
      <w:lvlJc w:val="left"/>
      <w:lvlText w:val="(%2)"/>
      <w:numFmt w:val="lowerLetter"/>
      <w:start w:val="3"/>
    </w:lvl>
  </w:abstractNum>
  <w:abstractNum w:abstractNumId="64">
    <w:nsid w:val="3FA62ACA"/>
    <w:multiLevelType w:val="hybridMultilevel"/>
    <w:lvl w:ilvl="0">
      <w:lvlJc w:val="left"/>
      <w:lvlText w:val="%1"/>
      <w:numFmt w:val="lowerLetter"/>
      <w:start w:val="1"/>
    </w:lvl>
    <w:lvl w:ilvl="1">
      <w:lvlJc w:val="left"/>
      <w:lvlText w:val="(%2)"/>
      <w:numFmt w:val="lowerLetter"/>
      <w:start w:val="2"/>
    </w:lvl>
  </w:abstractNum>
  <w:abstractNum w:abstractNumId="65">
    <w:nsid w:val="14FCE74E"/>
    <w:multiLevelType w:val="hybridMultilevel"/>
    <w:lvl w:ilvl="0">
      <w:lvlJc w:val="left"/>
      <w:lvlText w:val="(%1)"/>
      <w:numFmt w:val="lowerLetter"/>
      <w:start w:val="24"/>
    </w:lvl>
    <w:lvl w:ilvl="1">
      <w:lvlJc w:val="left"/>
      <w:lvlText w:val="(%2)"/>
      <w:numFmt w:val="lowerLetter"/>
      <w:start w:val="3"/>
    </w:lvl>
  </w:abstractNum>
  <w:abstractNum w:abstractNumId="66">
    <w:nsid w:val="6A3DD3E8"/>
    <w:multiLevelType w:val="hybridMultilevel"/>
    <w:lvl w:ilvl="0">
      <w:lvlJc w:val="left"/>
      <w:lvlText w:val="(%1)"/>
      <w:numFmt w:val="lowerLetter"/>
      <w:start w:val="1"/>
    </w:lvl>
  </w:abstractNum>
  <w:abstractNum w:abstractNumId="67">
    <w:nsid w:val="71C91298"/>
    <w:multiLevelType w:val="hybridMultilevel"/>
    <w:lvl w:ilvl="0">
      <w:lvlJc w:val="left"/>
      <w:lvlText w:val="(%1)"/>
      <w:numFmt w:val="lowerLetter"/>
      <w:start w:val="1"/>
    </w:lvl>
  </w:abstractNum>
  <w:abstractNum w:abstractNumId="68">
    <w:nsid w:val="9DAF632"/>
    <w:multiLevelType w:val="hybridMultilevel"/>
    <w:lvl w:ilvl="0">
      <w:lvlJc w:val="left"/>
      <w:lvlText w:val="(%1)"/>
      <w:numFmt w:val="lowerLetter"/>
      <w:start w:val="1"/>
    </w:lvl>
  </w:abstractNum>
  <w:abstractNum w:abstractNumId="69">
    <w:nsid w:val="53299938"/>
    <w:multiLevelType w:val="hybridMultilevel"/>
    <w:lvl w:ilvl="0">
      <w:lvlJc w:val="left"/>
      <w:lvlText w:val="(%1)"/>
      <w:numFmt w:val="lowerLetter"/>
      <w:start w:val="25"/>
    </w:lvl>
    <w:lvl w:ilvl="1">
      <w:lvlJc w:val="left"/>
      <w:lvlText w:val="(%2)"/>
      <w:numFmt w:val="lowerLetter"/>
      <w:start w:val="3"/>
    </w:lvl>
  </w:abstractNum>
  <w:abstractNum w:abstractNumId="70">
    <w:nsid w:val="1FBFE8E0"/>
    <w:multiLevelType w:val="hybridMultilevel"/>
    <w:lvl w:ilvl="0">
      <w:lvlJc w:val="left"/>
      <w:lvlText w:val="(%1)"/>
      <w:numFmt w:val="lowerLetter"/>
      <w:start w:val="1"/>
    </w:lvl>
  </w:abstractNum>
  <w:abstractNum w:abstractNumId="71">
    <w:nsid w:val="5092CA79"/>
    <w:multiLevelType w:val="hybridMultilevel"/>
    <w:lvl w:ilvl="0">
      <w:lvlJc w:val="left"/>
      <w:lvlText w:val="(%1)"/>
      <w:numFmt w:val="lowerLetter"/>
      <w:start w:val="1"/>
    </w:lvl>
  </w:abstractNum>
  <w:abstractNum w:abstractNumId="72">
    <w:nsid w:val="1D545C4D"/>
    <w:multiLevelType w:val="hybridMultilevel"/>
    <w:lvl w:ilvl="0">
      <w:lvlJc w:val="left"/>
      <w:lvlText w:val="%1"/>
      <w:numFmt w:val="lowerRoman"/>
      <w:start w:val="1"/>
    </w:lvl>
    <w:lvl w:ilvl="1">
      <w:lvlJc w:val="left"/>
      <w:lvlText w:val="(%2)"/>
      <w:numFmt w:val="lowerLetter"/>
      <w:start w:val="2"/>
    </w:lvl>
  </w:abstractNum>
  <w:abstractNum w:abstractNumId="73">
    <w:nsid w:val="59ADEA3D"/>
    <w:multiLevelType w:val="hybridMultilevel"/>
    <w:lvl w:ilvl="0">
      <w:lvlJc w:val="left"/>
      <w:lvlText w:val="(%1)"/>
      <w:numFmt w:val="lowerRoman"/>
      <w:start w:val="3"/>
    </w:lvl>
    <w:lvl w:ilvl="1">
      <w:lvlJc w:val="left"/>
      <w:lvlText w:val="%2"/>
      <w:numFmt w:val="lowerLetter"/>
      <w:start w:val="1"/>
    </w:lvl>
  </w:abstractNum>
  <w:abstractNum w:abstractNumId="74">
    <w:nsid w:val="288F1A34"/>
    <w:multiLevelType w:val="hybridMultilevel"/>
    <w:lvl w:ilvl="0">
      <w:lvlJc w:val="left"/>
      <w:lvlText w:val="(%1)"/>
      <w:numFmt w:val="lowerRoman"/>
      <w:start w:val="8"/>
    </w:lvl>
    <w:lvl w:ilvl="1">
      <w:lvlJc w:val="left"/>
      <w:lvlText w:val="(%2)"/>
      <w:numFmt w:val="lowerLetter"/>
      <w:start w:val="3"/>
    </w:lvl>
  </w:abstractNum>
  <w:abstractNum w:abstractNumId="75">
    <w:nsid w:val="2A155DBC"/>
    <w:multiLevelType w:val="hybridMultilevel"/>
    <w:lvl w:ilvl="0">
      <w:lvlJc w:val="left"/>
      <w:lvlText w:val="%1"/>
      <w:numFmt w:val="lowerLetter"/>
      <w:start w:val="1"/>
    </w:lvl>
    <w:lvl w:ilvl="1">
      <w:lvlJc w:val="left"/>
      <w:lvlText w:val="(%2)"/>
      <w:numFmt w:val="lowerLetter"/>
      <w:start w:val="1"/>
    </w:lvl>
  </w:abstractNum>
  <w:abstractNum w:abstractNumId="76">
    <w:nsid w:val="1D9F6E5F"/>
    <w:multiLevelType w:val="hybridMultilevel"/>
    <w:lvl w:ilvl="0">
      <w:lvlJc w:val="left"/>
      <w:lvlText w:val="(%1)"/>
      <w:numFmt w:val="lowerLetter"/>
      <w:start w:val="35"/>
    </w:lvl>
    <w:lvl w:ilvl="1">
      <w:lvlJc w:val="left"/>
      <w:lvlText w:val="%2"/>
      <w:numFmt w:val="lowerLetter"/>
      <w:start w:val="1"/>
    </w:lvl>
  </w:abstractNum>
  <w:abstractNum w:abstractNumId="77">
    <w:nsid w:val="97E1B4E"/>
    <w:multiLevelType w:val="hybridMultilevel"/>
    <w:lvl w:ilvl="0">
      <w:lvlJc w:val="left"/>
      <w:lvlText w:val="(%1)"/>
      <w:numFmt w:val="lowerLetter"/>
      <w:start w:val="5"/>
    </w:lvl>
  </w:abstractNum>
  <w:abstractNum w:abstractNumId="78">
    <w:nsid w:val="51088277"/>
    <w:multiLevelType w:val="hybridMultilevel"/>
    <w:lvl w:ilvl="0">
      <w:lvlJc w:val="left"/>
      <w:lvlText w:val="%1"/>
      <w:numFmt w:val="lowerLetter"/>
      <w:start w:val="1"/>
    </w:lvl>
    <w:lvl w:ilvl="1">
      <w:lvlJc w:val="left"/>
      <w:lvlText w:val="(%2)"/>
      <w:numFmt w:val="lowerLetter"/>
      <w:start w:val="1"/>
    </w:lvl>
  </w:abstractNum>
  <w:abstractNum w:abstractNumId="79">
    <w:nsid w:val="1CA0C5FA"/>
    <w:multiLevelType w:val="hybridMultilevel"/>
    <w:lvl w:ilvl="0">
      <w:lvlJc w:val="left"/>
      <w:lvlText w:val="(%1)"/>
      <w:numFmt w:val="lowerLetter"/>
      <w:start w:val="35"/>
    </w:lvl>
    <w:lvl w:ilvl="1">
      <w:lvlJc w:val="left"/>
      <w:lvlText w:val="%2"/>
      <w:numFmt w:val="lowerLetter"/>
      <w:start w:val="1"/>
    </w:lvl>
  </w:abstractNum>
  <w:abstractNum w:abstractNumId="80">
    <w:nsid w:val="53584BCB"/>
    <w:multiLevelType w:val="hybridMultilevel"/>
    <w:lvl w:ilvl="0">
      <w:lvlJc w:val="left"/>
      <w:lvlText w:val="(%1)"/>
      <w:numFmt w:val="lowerRoman"/>
      <w:start w:val="7"/>
    </w:lvl>
    <w:lvl w:ilvl="1">
      <w:lvlJc w:val="left"/>
      <w:lvlText w:val="(%2)"/>
      <w:numFmt w:val="lowerLetter"/>
      <w:start w:val="5"/>
    </w:lvl>
  </w:abstractNum>
  <w:abstractNum w:abstractNumId="81">
    <w:nsid w:val="415E286C"/>
    <w:multiLevelType w:val="hybridMultilevel"/>
    <w:lvl w:ilvl="0">
      <w:lvlJc w:val="left"/>
      <w:lvlText w:val="(%1)"/>
      <w:numFmt w:val="lowerLetter"/>
      <w:start w:val="1"/>
    </w:lvl>
  </w:abstractNum>
  <w:abstractNum w:abstractNumId="82">
    <w:nsid w:val="7C58FD05"/>
    <w:multiLevelType w:val="hybridMultilevel"/>
    <w:lvl w:ilvl="0">
      <w:lvlJc w:val="left"/>
      <w:lvlText w:val="%1"/>
      <w:numFmt w:val="lowerLetter"/>
      <w:start w:val="1"/>
    </w:lvl>
    <w:lvl w:ilvl="1">
      <w:lvlJc w:val="left"/>
      <w:lvlText w:val="(%2)"/>
      <w:numFmt w:val="lowerLetter"/>
      <w:start w:val="3"/>
    </w:lvl>
  </w:abstractNum>
  <w:abstractNum w:abstractNumId="83">
    <w:nsid w:val="23D86AAC"/>
    <w:multiLevelType w:val="hybridMultilevel"/>
    <w:lvl w:ilvl="0">
      <w:lvlJc w:val="left"/>
      <w:lvlText w:val="(%1)"/>
      <w:numFmt w:val="lowerLetter"/>
      <w:start w:val="35"/>
    </w:lvl>
    <w:lvl w:ilvl="1">
      <w:lvlJc w:val="left"/>
      <w:lvlText w:val="(%2)"/>
      <w:numFmt w:val="lowerLetter"/>
      <w:start w:val="5"/>
    </w:lvl>
  </w:abstractNum>
  <w:abstractNum w:abstractNumId="84">
    <w:nsid w:val="45E6D486"/>
    <w:multiLevelType w:val="hybridMultilevel"/>
    <w:lvl w:ilvl="0">
      <w:lvlJc w:val="left"/>
      <w:lvlText w:val="(%1)"/>
      <w:numFmt w:val="lowerLetter"/>
      <w:start w:val="2"/>
    </w:lvl>
  </w:abstractNum>
  <w:abstractNum w:abstractNumId="85">
    <w:nsid w:val="5C10FE21"/>
    <w:multiLevelType w:val="hybridMultilevel"/>
    <w:lvl w:ilvl="0">
      <w:lvlJc w:val="left"/>
      <w:lvlText w:val="(%1)"/>
      <w:numFmt w:val="lowerLetter"/>
      <w:start w:val="1"/>
    </w:lvl>
  </w:abstractNum>
  <w:abstractNum w:abstractNumId="86">
    <w:nsid w:val="E7FFA2B"/>
    <w:multiLevelType w:val="hybridMultilevel"/>
    <w:lvl w:ilvl="0">
      <w:lvlJc w:val="left"/>
      <w:lvlText w:val="%1"/>
      <w:numFmt w:val="lowerLetter"/>
      <w:start w:val="1"/>
    </w:lvl>
    <w:lvl w:ilvl="1">
      <w:lvlJc w:val="left"/>
      <w:lvlText w:val="(%2)"/>
      <w:numFmt w:val="lowerLetter"/>
      <w:start w:val="2"/>
    </w:lvl>
  </w:abstractNum>
  <w:abstractNum w:abstractNumId="87">
    <w:nsid w:val="3C5991AA"/>
    <w:multiLevelType w:val="hybridMultilevel"/>
    <w:lvl w:ilvl="0">
      <w:lvlJc w:val="left"/>
      <w:lvlText w:val="(%1)"/>
      <w:numFmt w:val="lowerLetter"/>
      <w:start w:val="9"/>
    </w:lvl>
    <w:lvl w:ilvl="1">
      <w:lvlJc w:val="left"/>
      <w:lvlText w:val="%2"/>
      <w:numFmt w:val="lowerLetter"/>
      <w:start w:val="1"/>
    </w:lvl>
  </w:abstractNum>
  <w:abstractNum w:abstractNumId="88">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9">
    <w:nsid w:val="78DF6A55"/>
    <w:multiLevelType w:val="hybridMultilevel"/>
    <w:lvl w:ilvl="0">
      <w:lvlJc w:val="left"/>
      <w:lvlText w:val="%1"/>
      <w:numFmt w:val="lowerLetter"/>
      <w:start w:val="1"/>
    </w:lvl>
    <w:lvl w:ilvl="1">
      <w:lvlJc w:val="left"/>
      <w:lvlText w:val="(%2)"/>
      <w:numFmt w:val="decimal"/>
      <w:start w:val="3"/>
    </w:lvl>
  </w:abstractNum>
  <w:abstractNum w:abstractNumId="90">
    <w:nsid w:val="39B7AAA2"/>
    <w:multiLevelType w:val="hybridMultilevel"/>
    <w:lvl w:ilvl="0">
      <w:lvlJc w:val="left"/>
      <w:lvlText w:val="(%1)"/>
      <w:numFmt w:val="lowerLetter"/>
      <w:start w:val="3"/>
    </w:lvl>
    <w:lvl w:ilvl="1">
      <w:lvlJc w:val="left"/>
      <w:lvlText w:val="%2"/>
      <w:numFmt w:val="decimal"/>
      <w:start w:val="1"/>
    </w:lvl>
  </w:abstractNum>
  <w:abstractNum w:abstractNumId="91">
    <w:nsid w:val="2B0D8DBE"/>
    <w:multiLevelType w:val="hybridMultilevel"/>
    <w:lvl w:ilvl="0">
      <w:lvlJc w:val="left"/>
      <w:lvlText w:val="(%1)"/>
      <w:numFmt w:val="lowerLetter"/>
      <w:start w:val="1"/>
    </w:lvl>
  </w:abstractNum>
  <w:abstractNum w:abstractNumId="92">
    <w:nsid w:val="6C80EC70"/>
    <w:multiLevelType w:val="hybridMultilevel"/>
    <w:lvl w:ilvl="0">
      <w:lvlJc w:val="left"/>
      <w:lvlText w:val="(%1)"/>
      <w:numFmt w:val="lowerLetter"/>
      <w:start w:val="1"/>
    </w:lvl>
  </w:abstractNum>
  <w:abstractNum w:abstractNumId="93">
    <w:nsid w:val="379E21B5"/>
    <w:multiLevelType w:val="hybridMultilevel"/>
    <w:lvl w:ilvl="0">
      <w:lvlJc w:val="left"/>
      <w:lvlText w:val="(%1)"/>
      <w:numFmt w:val="lowerLetter"/>
      <w:start w:val="1"/>
    </w:lvl>
  </w:abstractNum>
  <w:abstractNum w:abstractNumId="94">
    <w:nsid w:val="69E373"/>
    <w:multiLevelType w:val="hybridMultilevel"/>
    <w:lvl w:ilvl="0">
      <w:lvlJc w:val="left"/>
      <w:lvlText w:val="(%1)"/>
      <w:numFmt w:val="lowerLetter"/>
      <w:start w:val="1"/>
    </w:lvl>
  </w:abstractNum>
  <w:abstractNum w:abstractNumId="95">
    <w:nsid w:val="2C27173B"/>
    <w:multiLevelType w:val="hybridMultilevel"/>
    <w:lvl w:ilvl="0">
      <w:lvlJc w:val="left"/>
      <w:lvlText w:val="&amp;"/>
      <w:numFmt w:val="bullet"/>
      <w:start w:val="1"/>
    </w:lvl>
    <w:lvl w:ilvl="1">
      <w:lvlJc w:val="left"/>
      <w:lvlText w:val="(%2)"/>
      <w:numFmt w:val="lowerLetter"/>
      <w:start w:val="2"/>
    </w:lvl>
  </w:abstractNum>
  <w:abstractNum w:abstractNumId="96">
    <w:nsid w:val="4C9B0904"/>
    <w:multiLevelType w:val="hybridMultilevel"/>
    <w:lvl w:ilvl="0">
      <w:lvlJc w:val="left"/>
      <w:lvlText w:val="&amp;"/>
      <w:numFmt w:val="bullet"/>
      <w:start w:val="1"/>
    </w:lvl>
    <w:lvl w:ilvl="1">
      <w:lvlJc w:val="left"/>
      <w:lvlText w:val="(%2)"/>
      <w:numFmt w:val="lowerLetter"/>
      <w:start w:val="4"/>
    </w:lvl>
  </w:abstractNum>
  <w:abstractNum w:abstractNumId="97">
    <w:nsid w:val="6AA7B75C"/>
    <w:multiLevelType w:val="hybridMultilevel"/>
    <w:lvl w:ilvl="0">
      <w:lvlJc w:val="left"/>
      <w:lvlText w:val="(%1)"/>
      <w:numFmt w:val="lowerLetter"/>
      <w:start w:val="1"/>
    </w:lvl>
  </w:abstractNum>
  <w:abstractNum w:abstractNumId="98">
    <w:nsid w:val="1DF029D3"/>
    <w:multiLevelType w:val="hybridMultilevel"/>
    <w:lvl w:ilvl="0">
      <w:lvlJc w:val="left"/>
      <w:lvlText w:val="(%1)"/>
      <w:numFmt w:val="lowerLetter"/>
      <w:start w:val="3"/>
    </w:lvl>
  </w:abstractNum>
  <w:abstractNum w:abstractNumId="99">
    <w:nsid w:val="5675FF36"/>
    <w:multiLevelType w:val="hybridMultilevel"/>
    <w:lvl w:ilvl="0">
      <w:lvlJc w:val="left"/>
      <w:lvlText w:val="(%1)"/>
      <w:numFmt w:val="lowerLetter"/>
      <w:start w:val="1"/>
    </w:lvl>
    <w:lvl w:ilvl="1">
      <w:lvlJc w:val="left"/>
      <w:lvlText w:val="(%2)"/>
      <w:numFmt w:val="lowerLetter"/>
      <w:start w:val="9"/>
    </w:lvl>
  </w:abstractNum>
  <w:abstractNum w:abstractNumId="100">
    <w:nsid w:val="3DD1509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1">
    <w:nsid w:val="3DB012B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02">
    <w:nsid w:val="2708C9A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lvl w:ilvl="3">
      <w:lvlJc w:val="left"/>
      <w:lvlText w:val="%4"/>
      <w:numFmt w:val="upperLetter"/>
      <w:start w:val="1"/>
    </w:lvl>
  </w:abstractNum>
  <w:abstractNum w:abstractNumId="103">
    <w:nsid w:val="5B25ACE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4">
    <w:nsid w:val="175DFCF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05">
    <w:nsid w:val="4F97E3E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6">
    <w:nsid w:val="53B0A9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7">
    <w:nsid w:val="34FD6B4F"/>
    <w:multiLevelType w:val="hybridMultilevel"/>
    <w:lvl w:ilvl="0">
      <w:lvlJc w:val="left"/>
      <w:lvlText w:val="(%1)"/>
      <w:numFmt w:val="lowerLetter"/>
      <w:start w:val="2"/>
    </w:lvl>
  </w:abstractNum>
  <w:abstractNum w:abstractNumId="108">
    <w:nsid w:val="5915FF32"/>
    <w:multiLevelType w:val="hybridMultilevel"/>
    <w:lvl w:ilvl="0">
      <w:lvlJc w:val="left"/>
      <w:lvlText w:val="(%1)"/>
      <w:numFmt w:val="lowerLetter"/>
      <w:start w:val="2"/>
    </w:lvl>
  </w:abstractNum>
  <w:abstractNum w:abstractNumId="109">
    <w:nsid w:val="56438D15"/>
    <w:multiLevelType w:val="hybridMultilevel"/>
    <w:lvl w:ilvl="0">
      <w:lvlJc w:val="left"/>
      <w:lvlText w:val="(%1)"/>
      <w:numFmt w:val="lowerLetter"/>
      <w:start w:val="1"/>
    </w:lvl>
  </w:abstractNum>
  <w:abstractNum w:abstractNumId="110">
    <w:nsid w:val="519E3149"/>
    <w:multiLevelType w:val="hybridMultilevel"/>
    <w:lvl w:ilvl="0">
      <w:lvlJc w:val="left"/>
      <w:lvlText w:val="(%1)"/>
      <w:numFmt w:val="lowerLetter"/>
      <w:start w:val="2"/>
    </w:lvl>
  </w:abstractNum>
  <w:abstractNum w:abstractNumId="111">
    <w:nsid w:val="2C6E4AFD"/>
    <w:multiLevelType w:val="hybridMultilevel"/>
    <w:lvl w:ilvl="0">
      <w:lvlJc w:val="left"/>
      <w:lvlText w:val="(%1)"/>
      <w:numFmt w:val="lowerLetter"/>
      <w:start w:val="3"/>
    </w:lvl>
  </w:abstractNum>
  <w:abstractNum w:abstractNumId="112">
    <w:nsid w:val="17A1B582"/>
    <w:multiLevelType w:val="hybridMultilevel"/>
    <w:lvl w:ilvl="0">
      <w:lvlJc w:val="left"/>
      <w:lvlText w:val="(%1)"/>
      <w:numFmt w:val="lowerLetter"/>
      <w:start w:val="1"/>
    </w:lvl>
  </w:abstractNum>
  <w:abstractNum w:abstractNumId="113">
    <w:nsid w:val="4DF72E4E"/>
    <w:multiLevelType w:val="hybridMultilevel"/>
    <w:lvl w:ilvl="0">
      <w:lvlJc w:val="left"/>
      <w:lvlText w:val="(%1)"/>
      <w:numFmt w:val="lowerLetter"/>
      <w:start w:val="1"/>
    </w:lvl>
  </w:abstractNum>
  <w:abstractNum w:abstractNumId="114">
    <w:nsid w:val="5046B5A9"/>
    <w:multiLevelType w:val="hybridMultilevel"/>
    <w:lvl w:ilvl="0">
      <w:lvlJc w:val="left"/>
      <w:lvlText w:val="(%1)"/>
      <w:numFmt w:val="decimal"/>
      <w:start w:val="1"/>
    </w:lvl>
  </w:abstractNum>
  <w:abstractNum w:abstractNumId="115">
    <w:nsid w:val="5D888A08"/>
    <w:multiLevelType w:val="hybridMultilevel"/>
    <w:lvl w:ilvl="0">
      <w:lvlJc w:val="left"/>
      <w:lvlText w:val="%1"/>
      <w:numFmt w:val="upperLetter"/>
      <w:start w:val="1"/>
    </w:lvl>
    <w:lvl w:ilvl="1">
      <w:lvlJc w:val="left"/>
      <w:lvlText w:val="(%2)"/>
      <w:numFmt w:val="decimal"/>
      <w:start w:val="5"/>
    </w:lvl>
  </w:abstractNum>
  <w:abstractNum w:abstractNumId="116">
    <w:nsid w:val="2A082C70"/>
    <w:multiLevelType w:val="hybridMultilevel"/>
    <w:lvl w:ilvl="0">
      <w:lvlJc w:val="left"/>
      <w:lvlText w:val="%1."/>
      <w:numFmt w:val="upperLetter"/>
      <w:start w:val="4"/>
    </w:lvl>
    <w:lvl w:ilvl="1">
      <w:lvlJc w:val="left"/>
      <w:lvlText w:val="%2"/>
      <w:numFmt w:val="decimal"/>
      <w:start w:val="1"/>
    </w:lvl>
  </w:abstractNum>
  <w:abstractNum w:abstractNumId="117">
    <w:nsid w:val="5EC6AFD4"/>
    <w:multiLevelType w:val="hybridMultilevel"/>
    <w:lvl w:ilvl="0">
      <w:lvlJc w:val="left"/>
      <w:lvlText w:val="(%1)"/>
      <w:numFmt w:val="lowerRoman"/>
      <w:start w:val="3"/>
    </w:lvl>
  </w:abstractNum>
  <w:abstractNum w:abstractNumId="118">
    <w:nsid w:val="19E21BB2"/>
    <w:multiLevelType w:val="hybridMultilevel"/>
    <w:lvl w:ilvl="0">
      <w:lvlJc w:val="left"/>
      <w:lvlText w:val="(%1)"/>
      <w:numFmt w:val="upperLetter"/>
      <w:start w:val="2"/>
    </w:lvl>
  </w:abstractNum>
  <w:abstractNum w:abstractNumId="119">
    <w:nsid w:val="75E0858A"/>
    <w:multiLevelType w:val="hybridMultilevel"/>
    <w:lvl w:ilvl="0">
      <w:lvlJc w:val="left"/>
      <w:lvlText w:val="(%1)"/>
      <w:numFmt w:val="upperLetter"/>
      <w:start w:val="4"/>
    </w:lvl>
  </w:abstractNum>
  <w:abstractNum w:abstractNumId="120">
    <w:nsid w:val="57A61A29"/>
    <w:multiLevelType w:val="hybridMultilevel"/>
    <w:lvl w:ilvl="0">
      <w:lvlJc w:val="left"/>
      <w:lvlText w:val="(%1)"/>
      <w:numFmt w:val="lowerLetter"/>
      <w:start w:val="1"/>
    </w:lvl>
  </w:abstractNum>
  <w:abstractNum w:abstractNumId="121">
    <w:nsid w:val="5399C654"/>
    <w:multiLevelType w:val="hybridMultilevel"/>
    <w:lvl w:ilvl="0">
      <w:lvlJc w:val="left"/>
      <w:lvlText w:val="(%1)"/>
      <w:numFmt w:val="lowerLetter"/>
      <w:start w:val="3"/>
    </w:lvl>
  </w:abstractNum>
  <w:abstractNum w:abstractNumId="122">
    <w:nsid w:val="20EE1348"/>
    <w:multiLevelType w:val="hybridMultilevel"/>
    <w:lvl w:ilvl="0">
      <w:lvlJc w:val="left"/>
      <w:lvlText w:val="(%1)"/>
      <w:numFmt w:val="lowerLetter"/>
      <w:start w:val="1"/>
    </w:lvl>
  </w:abstractNum>
  <w:abstractNum w:abstractNumId="123">
    <w:nsid w:val="4427069A"/>
    <w:multiLevelType w:val="hybridMultilevel"/>
    <w:lvl w:ilvl="0">
      <w:lvlJc w:val="left"/>
      <w:lvlText w:val="(%1)"/>
      <w:numFmt w:val="lowerLetter"/>
      <w:start w:val="8"/>
    </w:lvl>
  </w:abstractNum>
  <w:abstractNum w:abstractNumId="124">
    <w:nsid w:val="B37E80A"/>
    <w:multiLevelType w:val="hybridMultilevel"/>
    <w:lvl w:ilvl="0">
      <w:lvlJc w:val="left"/>
      <w:lvlText w:val="(%1)"/>
      <w:numFmt w:val="lowerRoman"/>
      <w:start w:val="4"/>
    </w:lvl>
  </w:abstractNum>
  <w:abstractNum w:abstractNumId="125">
    <w:nsid w:val="2157F6BC"/>
    <w:multiLevelType w:val="hybridMultilevel"/>
    <w:lvl w:ilvl="0">
      <w:lvlJc w:val="left"/>
      <w:lvlText w:val="(%1)"/>
      <w:numFmt w:val="upperLetter"/>
      <w:start w:val="2"/>
    </w:lvl>
  </w:abstractNum>
  <w:abstractNum w:abstractNumId="126">
    <w:nsid w:val="704E1DD5"/>
    <w:multiLevelType w:val="hybridMultilevel"/>
    <w:lvl w:ilvl="0">
      <w:lvlJc w:val="left"/>
      <w:lvlText w:val="(%1)"/>
      <w:numFmt w:val="upperLetter"/>
      <w:start w:val="7"/>
    </w:lvl>
  </w:abstractNum>
  <w:abstractNum w:abstractNumId="127">
    <w:nsid w:val="57D2F10E"/>
    <w:multiLevelType w:val="hybridMultilevel"/>
    <w:lvl w:ilvl="0">
      <w:lvlJc w:val="left"/>
      <w:lvlText w:val="(%1)"/>
      <w:numFmt w:val="lowerLetter"/>
      <w:start w:val="1"/>
    </w:lvl>
  </w:abstractNum>
  <w:abstractNum w:abstractNumId="128">
    <w:nsid w:val="BFFAE18"/>
    <w:multiLevelType w:val="hybridMultilevel"/>
    <w:lvl w:ilvl="0">
      <w:lvlJc w:val="left"/>
      <w:lvlText w:val="%1"/>
      <w:numFmt w:val="decimal"/>
      <w:start w:val="21"/>
    </w:lvl>
  </w:abstractNum>
  <w:abstractNum w:abstractNumId="129">
    <w:nsid w:val="E3E47A8"/>
    <w:multiLevelType w:val="hybridMultilevel"/>
    <w:lvl w:ilvl="0">
      <w:lvlJc w:val="left"/>
      <w:lvlText w:val="-"/>
      <w:numFmt w:val="bullet"/>
      <w:start w:val="1"/>
    </w:lvl>
  </w:abstractNum>
  <w:abstractNum w:abstractNumId="130">
    <w:nsid w:val="2E48F044"/>
    <w:multiLevelType w:val="hybridMultilevel"/>
    <w:lvl w:ilvl="0">
      <w:lvlJc w:val="left"/>
      <w:lvlText w:val="%1"/>
      <w:numFmt w:val="decimal"/>
      <w:start w:val="1"/>
    </w:lvl>
    <w:lvl w:ilvl="1">
      <w:lvlJc w:val="left"/>
      <w:lvlText w:val="(%2)"/>
      <w:numFmt w:val="decimal"/>
      <w:start w:val="1"/>
    </w:lvl>
  </w:abstractNum>
  <w:abstractNum w:abstractNumId="131">
    <w:nsid w:val="49D0FEAC"/>
    <w:multiLevelType w:val="hybridMultilevel"/>
    <w:lvl w:ilvl="0">
      <w:lvlJc w:val="left"/>
      <w:lvlText w:val="(%1)"/>
      <w:numFmt w:val="decimal"/>
      <w:start w:val="4"/>
    </w:lvl>
    <w:lvl w:ilvl="1">
      <w:lvlJc w:val="left"/>
      <w:lvlText w:val="(%2)"/>
      <w:numFmt w:val="decimal"/>
      <w:start w:val="2"/>
    </w:lvl>
  </w:abstractNum>
  <w:abstractNum w:abstractNumId="132">
    <w:nsid w:val="4BEE5A5B"/>
    <w:multiLevelType w:val="hybridMultilevel"/>
    <w:lvl w:ilvl="0">
      <w:lvlJc w:val="left"/>
      <w:lvlText w:val="(%1)"/>
      <w:numFmt w:val="decimal"/>
      <w:start w:val="1"/>
    </w:lvl>
  </w:abstractNum>
  <w:abstractNum w:abstractNumId="133">
    <w:nsid w:val="5551B9F3"/>
    <w:multiLevelType w:val="hybridMultilevel"/>
    <w:lvl w:ilvl="0">
      <w:lvlJc w:val="left"/>
      <w:lvlText w:val="(%1)"/>
      <w:numFmt w:val="decimal"/>
      <w:start w:val="2"/>
    </w:lvl>
  </w:abstractNum>
  <w:abstractNum w:abstractNumId="134">
    <w:nsid w:val="24F6AB8E"/>
    <w:multiLevelType w:val="hybridMultilevel"/>
    <w:lvl w:ilvl="0">
      <w:lvlJc w:val="left"/>
      <w:lvlText w:val="%1."/>
      <w:numFmt w:val="decimal"/>
      <w:start w:val="1"/>
    </w:lvl>
  </w:abstractNum>
  <w:abstractNum w:abstractNumId="135">
    <w:nsid w:val="634C574C"/>
    <w:multiLevelType w:val="hybridMultilevel"/>
    <w:lvl w:ilvl="0">
      <w:lvlJc w:val="left"/>
      <w:lvlText w:val="%1."/>
      <w:numFmt w:val="decimal"/>
      <w:start w:val="3"/>
    </w:lvl>
  </w:abstractNum>
  <w:abstractNum w:abstractNumId="136">
    <w:nsid w:val="24E99DD7"/>
    <w:multiLevelType w:val="hybridMultilevel"/>
    <w:lvl w:ilvl="0">
      <w:lvlJc w:val="left"/>
      <w:lvlText w:val="%1."/>
      <w:numFmt w:val="decimal"/>
      <w:start w:val="4"/>
    </w:lvl>
  </w:abstractNum>
  <w:abstractNum w:abstractNumId="137">
    <w:nsid w:val="2A31B62D"/>
    <w:multiLevelType w:val="hybridMultilevel"/>
    <w:lvl w:ilvl="0">
      <w:lvlJc w:val="left"/>
      <w:lvlText w:val="%1."/>
      <w:numFmt w:val="decimal"/>
      <w:start w:val="5"/>
    </w:lvl>
  </w:abstractNum>
  <w:abstractNum w:abstractNumId="138">
    <w:nsid w:val="1849C29B"/>
    <w:multiLevelType w:val="hybridMultilevel"/>
    <w:lvl w:ilvl="0">
      <w:lvlJc w:val="left"/>
      <w:lvlText w:val="%1."/>
      <w:numFmt w:val="decimal"/>
      <w:start w:val="6"/>
    </w:lvl>
  </w:abstractNum>
  <w:abstractNum w:abstractNumId="139">
    <w:nsid w:val="7DFF9D09"/>
    <w:multiLevelType w:val="hybridMultilevel"/>
    <w:lvl w:ilvl="0">
      <w:lvlJc w:val="left"/>
      <w:lvlText w:val="%1"/>
      <w:numFmt w:val="decimal"/>
      <w:start w:val="21"/>
    </w:lvl>
  </w:abstractNum>
  <w:abstractNum w:abstractNumId="140">
    <w:nsid w:val="75434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2019-12-20T04:48:58Z</dcterms:created>
  <dcterms:modified xsi:type="dcterms:W3CDTF">2019-12-20T04:48:58Z</dcterms:modified>
</cp:coreProperties>
</file>